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0301" w:rsidRDefault="00C90301" w:rsidP="00C90301">
      <w:pPr>
        <w:spacing w:line="360" w:lineRule="auto"/>
        <w:jc w:val="center"/>
        <w:rPr>
          <w:rFonts w:ascii="Garamond" w:hAnsi="Garamond" w:cs="Times New Roman"/>
          <w:b/>
          <w:sz w:val="56"/>
          <w:szCs w:val="48"/>
        </w:rPr>
      </w:pPr>
      <w:r>
        <w:rPr>
          <w:rFonts w:ascii="Garamond" w:hAnsi="Garamond" w:cs="Times New Roman"/>
          <w:b/>
          <w:sz w:val="56"/>
          <w:szCs w:val="48"/>
        </w:rPr>
        <w:t>Commodity b</w:t>
      </w:r>
      <w:r w:rsidRPr="00446F6F">
        <w:rPr>
          <w:rFonts w:ascii="Garamond" w:hAnsi="Garamond" w:cs="Times New Roman"/>
          <w:b/>
          <w:sz w:val="56"/>
          <w:szCs w:val="48"/>
        </w:rPr>
        <w:t xml:space="preserve">oycotts, </w:t>
      </w:r>
      <w:r>
        <w:rPr>
          <w:rFonts w:ascii="Garamond" w:hAnsi="Garamond" w:cs="Times New Roman"/>
          <w:b/>
          <w:sz w:val="56"/>
          <w:szCs w:val="48"/>
        </w:rPr>
        <w:t>activist bodywork and race</w:t>
      </w:r>
    </w:p>
    <w:p w:rsidR="00C90301" w:rsidRPr="00446F6F" w:rsidRDefault="00C90301" w:rsidP="00C90301">
      <w:pPr>
        <w:spacing w:line="360" w:lineRule="auto"/>
        <w:jc w:val="center"/>
        <w:rPr>
          <w:rFonts w:ascii="Garamond" w:hAnsi="Garamond" w:cs="Times New Roman"/>
          <w:b/>
          <w:sz w:val="56"/>
          <w:szCs w:val="48"/>
        </w:rPr>
      </w:pPr>
    </w:p>
    <w:p w:rsidR="00C90301" w:rsidRDefault="00C90301" w:rsidP="00C90301">
      <w:pPr>
        <w:spacing w:line="360" w:lineRule="auto"/>
        <w:jc w:val="center"/>
        <w:rPr>
          <w:rFonts w:ascii="Garamond" w:hAnsi="Garamond" w:cs="Times New Roman"/>
          <w:b/>
          <w:sz w:val="40"/>
          <w:szCs w:val="48"/>
        </w:rPr>
      </w:pPr>
      <w:r w:rsidRPr="00446F6F">
        <w:rPr>
          <w:rFonts w:ascii="Garamond" w:hAnsi="Garamond" w:cs="Times New Roman"/>
          <w:b/>
          <w:sz w:val="40"/>
          <w:szCs w:val="48"/>
        </w:rPr>
        <w:t>A study of the anti-apartheid campaigns of Boycott Outspan Action (1970-1992) and the anti-trafficking campaigns of Stop The Traffik (2006-2013)</w:t>
      </w:r>
    </w:p>
    <w:p w:rsidR="00CA2C51" w:rsidRDefault="00CA2C51" w:rsidP="00C90301">
      <w:pPr>
        <w:spacing w:line="360" w:lineRule="auto"/>
        <w:jc w:val="center"/>
        <w:rPr>
          <w:rFonts w:ascii="Garamond" w:hAnsi="Garamond" w:cs="Times New Roman"/>
          <w:b/>
          <w:sz w:val="40"/>
          <w:szCs w:val="48"/>
        </w:rPr>
      </w:pPr>
    </w:p>
    <w:p w:rsidR="00C90301" w:rsidRDefault="00C90301" w:rsidP="00C90301">
      <w:pPr>
        <w:jc w:val="center"/>
        <w:rPr>
          <w:rFonts w:ascii="Garamond" w:hAnsi="Garamond" w:cs="Times New Roman"/>
          <w:b/>
          <w:sz w:val="40"/>
          <w:szCs w:val="48"/>
        </w:rPr>
      </w:pPr>
    </w:p>
    <w:p w:rsidR="0001718F" w:rsidRDefault="0001718F" w:rsidP="00C90301">
      <w:pPr>
        <w:jc w:val="center"/>
        <w:rPr>
          <w:rFonts w:ascii="Garamond" w:hAnsi="Garamond" w:cs="Times New Roman"/>
          <w:b/>
          <w:sz w:val="56"/>
          <w:szCs w:val="56"/>
        </w:rPr>
      </w:pPr>
    </w:p>
    <w:p w:rsidR="00C90301" w:rsidRPr="00446F6F" w:rsidRDefault="00C90301" w:rsidP="00C90301">
      <w:pPr>
        <w:jc w:val="center"/>
        <w:rPr>
          <w:rFonts w:ascii="Garamond" w:hAnsi="Garamond" w:cs="Times New Roman"/>
          <w:sz w:val="36"/>
          <w:szCs w:val="36"/>
        </w:rPr>
      </w:pPr>
      <w:r w:rsidRPr="00446F6F">
        <w:rPr>
          <w:rFonts w:ascii="Garamond" w:hAnsi="Garamond" w:cs="Times New Roman"/>
          <w:sz w:val="36"/>
          <w:szCs w:val="36"/>
        </w:rPr>
        <w:t>Hugh Crosfield</w:t>
      </w:r>
    </w:p>
    <w:p w:rsidR="00C90301" w:rsidRPr="00446F6F" w:rsidRDefault="00C90301" w:rsidP="00C90301">
      <w:pPr>
        <w:jc w:val="center"/>
        <w:rPr>
          <w:rFonts w:ascii="Garamond" w:hAnsi="Garamond" w:cs="Times New Roman"/>
          <w:sz w:val="36"/>
          <w:szCs w:val="36"/>
        </w:rPr>
      </w:pPr>
      <w:r w:rsidRPr="00446F6F">
        <w:rPr>
          <w:rFonts w:ascii="Garamond" w:hAnsi="Garamond" w:cs="Times New Roman"/>
          <w:sz w:val="36"/>
          <w:szCs w:val="36"/>
        </w:rPr>
        <w:t>Department of Geography</w:t>
      </w:r>
    </w:p>
    <w:p w:rsidR="00C90301" w:rsidRPr="00446F6F" w:rsidRDefault="00C90301" w:rsidP="00C90301">
      <w:pPr>
        <w:jc w:val="center"/>
        <w:rPr>
          <w:rFonts w:ascii="Garamond" w:hAnsi="Garamond" w:cs="Times New Roman"/>
          <w:sz w:val="36"/>
          <w:szCs w:val="36"/>
        </w:rPr>
      </w:pPr>
      <w:r w:rsidRPr="00446F6F">
        <w:rPr>
          <w:rFonts w:ascii="Garamond" w:hAnsi="Garamond" w:cs="Times New Roman"/>
          <w:sz w:val="36"/>
          <w:szCs w:val="36"/>
        </w:rPr>
        <w:t>Royal Holloway, University of London</w:t>
      </w:r>
    </w:p>
    <w:p w:rsidR="00C90301" w:rsidRDefault="00C90301" w:rsidP="00C90301">
      <w:pPr>
        <w:jc w:val="center"/>
        <w:rPr>
          <w:rFonts w:ascii="Garamond" w:hAnsi="Garamond" w:cs="Times New Roman"/>
          <w:sz w:val="36"/>
          <w:szCs w:val="36"/>
        </w:rPr>
      </w:pPr>
    </w:p>
    <w:p w:rsidR="00C90301" w:rsidRPr="00446F6F" w:rsidRDefault="00C90301" w:rsidP="00C90301">
      <w:pPr>
        <w:jc w:val="center"/>
        <w:rPr>
          <w:rFonts w:ascii="Garamond" w:hAnsi="Garamond" w:cs="Times New Roman"/>
          <w:sz w:val="36"/>
          <w:szCs w:val="36"/>
        </w:rPr>
      </w:pPr>
    </w:p>
    <w:p w:rsidR="00C90301" w:rsidRPr="00446F6F" w:rsidRDefault="00C90301" w:rsidP="00C90301">
      <w:pPr>
        <w:jc w:val="center"/>
        <w:rPr>
          <w:rFonts w:ascii="Garamond" w:hAnsi="Garamond" w:cs="Times New Roman"/>
          <w:sz w:val="36"/>
          <w:szCs w:val="36"/>
        </w:rPr>
      </w:pPr>
      <w:r w:rsidRPr="00446F6F">
        <w:rPr>
          <w:rFonts w:ascii="Garamond" w:hAnsi="Garamond" w:cs="Times New Roman"/>
          <w:sz w:val="36"/>
          <w:szCs w:val="36"/>
        </w:rPr>
        <w:t>This thesis is in support of a PhD in Geography</w:t>
      </w:r>
    </w:p>
    <w:p w:rsidR="00C90301" w:rsidRDefault="00C90301" w:rsidP="00C90301">
      <w:pPr>
        <w:jc w:val="center"/>
        <w:rPr>
          <w:rFonts w:ascii="Garamond" w:hAnsi="Garamond" w:cs="Times New Roman"/>
          <w:sz w:val="36"/>
          <w:szCs w:val="36"/>
        </w:rPr>
      </w:pPr>
      <w:r w:rsidRPr="00446F6F">
        <w:rPr>
          <w:rFonts w:ascii="Garamond" w:hAnsi="Garamond" w:cs="Times New Roman"/>
          <w:sz w:val="36"/>
          <w:szCs w:val="36"/>
        </w:rPr>
        <w:t>October 2013</w:t>
      </w:r>
    </w:p>
    <w:p w:rsidR="00C90301" w:rsidRPr="00C46C07" w:rsidRDefault="00C90301" w:rsidP="00C90301">
      <w:pPr>
        <w:rPr>
          <w:rFonts w:ascii="Garamond" w:hAnsi="Garamond" w:cs="Times New Roman"/>
          <w:sz w:val="36"/>
          <w:szCs w:val="36"/>
        </w:rPr>
      </w:pPr>
      <w:r>
        <w:rPr>
          <w:rFonts w:ascii="Garamond" w:hAnsi="Garamond" w:cs="Times New Roman"/>
          <w:sz w:val="36"/>
          <w:szCs w:val="36"/>
        </w:rPr>
        <w:br w:type="page"/>
      </w:r>
      <w:r w:rsidRPr="00446F6F">
        <w:rPr>
          <w:rFonts w:ascii="Garamond" w:hAnsi="Garamond"/>
          <w:b/>
          <w:sz w:val="28"/>
          <w:szCs w:val="40"/>
        </w:rPr>
        <w:lastRenderedPageBreak/>
        <w:t>Declaration of authorship</w:t>
      </w:r>
    </w:p>
    <w:p w:rsidR="00C90301" w:rsidRPr="00446F6F" w:rsidRDefault="00C90301" w:rsidP="00C90301">
      <w:pPr>
        <w:pStyle w:val="Default"/>
        <w:rPr>
          <w:rFonts w:ascii="Garamond" w:hAnsi="Garamond"/>
          <w:sz w:val="28"/>
          <w:szCs w:val="36"/>
        </w:rPr>
      </w:pPr>
    </w:p>
    <w:p w:rsidR="00C90301" w:rsidRPr="00446F6F" w:rsidRDefault="00C90301" w:rsidP="00C90301">
      <w:pPr>
        <w:pStyle w:val="Default"/>
        <w:rPr>
          <w:rFonts w:ascii="Garamond" w:hAnsi="Garamond"/>
          <w:sz w:val="28"/>
          <w:szCs w:val="36"/>
        </w:rPr>
      </w:pPr>
    </w:p>
    <w:p w:rsidR="00C90301" w:rsidRPr="00446F6F" w:rsidRDefault="00C90301" w:rsidP="00C90301">
      <w:pPr>
        <w:pStyle w:val="Default"/>
        <w:rPr>
          <w:rFonts w:ascii="Garamond" w:hAnsi="Garamond"/>
          <w:sz w:val="28"/>
          <w:szCs w:val="36"/>
        </w:rPr>
      </w:pPr>
      <w:r w:rsidRPr="00446F6F">
        <w:rPr>
          <w:rFonts w:ascii="Garamond" w:hAnsi="Garamond"/>
          <w:sz w:val="28"/>
          <w:szCs w:val="36"/>
        </w:rPr>
        <w:t xml:space="preserve">I Hugh Crosfield hereby declare that this thesis and the work presented in it is entirely my own. Where I have consulted the work of others, this is always clearly stated. </w:t>
      </w:r>
    </w:p>
    <w:p w:rsidR="00C90301" w:rsidRPr="00446F6F" w:rsidRDefault="00C90301" w:rsidP="00C90301">
      <w:pPr>
        <w:rPr>
          <w:rFonts w:ascii="Garamond" w:hAnsi="Garamond"/>
          <w:sz w:val="28"/>
          <w:szCs w:val="36"/>
        </w:rPr>
      </w:pPr>
    </w:p>
    <w:p w:rsidR="00C90301" w:rsidRPr="00446F6F" w:rsidRDefault="00C90301" w:rsidP="00C90301">
      <w:pPr>
        <w:rPr>
          <w:rFonts w:ascii="Garamond" w:hAnsi="Garamond"/>
          <w:sz w:val="28"/>
          <w:szCs w:val="36"/>
        </w:rPr>
      </w:pPr>
    </w:p>
    <w:p w:rsidR="00C90301" w:rsidRPr="00446F6F" w:rsidRDefault="00C90301" w:rsidP="00C90301">
      <w:pPr>
        <w:rPr>
          <w:rFonts w:ascii="Garamond" w:hAnsi="Garamond"/>
          <w:sz w:val="28"/>
          <w:szCs w:val="36"/>
        </w:rPr>
      </w:pPr>
      <w:r w:rsidRPr="00446F6F">
        <w:rPr>
          <w:rFonts w:ascii="Garamond" w:hAnsi="Garamond"/>
          <w:sz w:val="28"/>
          <w:szCs w:val="36"/>
        </w:rPr>
        <w:t>Signed: ______________________</w:t>
      </w:r>
    </w:p>
    <w:p w:rsidR="00C90301" w:rsidRPr="00446F6F" w:rsidRDefault="00C90301" w:rsidP="00C90301">
      <w:pPr>
        <w:rPr>
          <w:rFonts w:ascii="Garamond" w:hAnsi="Garamond"/>
          <w:sz w:val="28"/>
          <w:szCs w:val="36"/>
        </w:rPr>
      </w:pPr>
    </w:p>
    <w:p w:rsidR="00C90301" w:rsidRPr="00446F6F" w:rsidRDefault="00C90301" w:rsidP="00C90301">
      <w:pPr>
        <w:rPr>
          <w:rFonts w:ascii="Garamond" w:hAnsi="Garamond"/>
          <w:b/>
          <w:sz w:val="28"/>
          <w:szCs w:val="36"/>
        </w:rPr>
      </w:pPr>
      <w:r w:rsidRPr="00446F6F">
        <w:rPr>
          <w:rFonts w:ascii="Garamond" w:hAnsi="Garamond"/>
          <w:sz w:val="28"/>
          <w:szCs w:val="36"/>
        </w:rPr>
        <w:t>Date: ______________________</w:t>
      </w:r>
    </w:p>
    <w:p w:rsidR="00847500" w:rsidRDefault="00847500" w:rsidP="00847500">
      <w:pPr>
        <w:rPr>
          <w:rFonts w:ascii="Garamond" w:hAnsi="Garamond"/>
          <w:b/>
          <w:sz w:val="28"/>
        </w:rPr>
        <w:sectPr w:rsidR="00847500">
          <w:headerReference w:type="default" r:id="rId7"/>
          <w:footerReference w:type="even" r:id="rId8"/>
          <w:footerReference w:type="default" r:id="rId9"/>
          <w:pgSz w:w="11900" w:h="16840"/>
          <w:pgMar w:top="1440" w:right="1800" w:bottom="1440" w:left="1800" w:header="708" w:footer="708" w:gutter="0"/>
          <w:pgNumType w:start="1"/>
          <w:cols w:space="708"/>
        </w:sectPr>
      </w:pPr>
    </w:p>
    <w:p w:rsidR="00FA7F0D" w:rsidRPr="00D4129F" w:rsidRDefault="00847500" w:rsidP="00D4129F">
      <w:pPr>
        <w:pStyle w:val="Heading1"/>
        <w:spacing w:after="200"/>
        <w:rPr>
          <w:rFonts w:ascii="Garamond" w:hAnsi="Garamond"/>
          <w:color w:val="auto"/>
          <w:sz w:val="28"/>
        </w:rPr>
      </w:pPr>
      <w:bookmarkStart w:id="0" w:name="_Toc244453610"/>
      <w:bookmarkStart w:id="1" w:name="_Toc244454127"/>
      <w:bookmarkStart w:id="2" w:name="_Toc244469574"/>
      <w:bookmarkStart w:id="3" w:name="_Toc244508030"/>
      <w:bookmarkStart w:id="4" w:name="_Toc244535724"/>
      <w:bookmarkStart w:id="5" w:name="_Toc244578356"/>
      <w:bookmarkStart w:id="6" w:name="_Toc244578740"/>
      <w:bookmarkStart w:id="7" w:name="_Toc263451989"/>
      <w:bookmarkStart w:id="8" w:name="_Toc263510907"/>
      <w:r w:rsidRPr="002049D4">
        <w:rPr>
          <w:rFonts w:ascii="Garamond" w:hAnsi="Garamond"/>
          <w:color w:val="auto"/>
          <w:sz w:val="28"/>
        </w:rPr>
        <w:lastRenderedPageBreak/>
        <w:t>Abstract</w:t>
      </w:r>
      <w:bookmarkEnd w:id="0"/>
      <w:bookmarkEnd w:id="1"/>
      <w:bookmarkEnd w:id="2"/>
      <w:bookmarkEnd w:id="3"/>
      <w:bookmarkEnd w:id="4"/>
      <w:bookmarkEnd w:id="5"/>
      <w:bookmarkEnd w:id="6"/>
      <w:bookmarkEnd w:id="7"/>
      <w:bookmarkEnd w:id="8"/>
    </w:p>
    <w:p w:rsidR="00847500" w:rsidRPr="00DD040B" w:rsidRDefault="00847500" w:rsidP="00D4129F">
      <w:pPr>
        <w:jc w:val="both"/>
        <w:rPr>
          <w:rFonts w:ascii="Garamond" w:hAnsi="Garamond" w:cs="Times New Roman"/>
        </w:rPr>
      </w:pPr>
      <w:r w:rsidRPr="00DD040B">
        <w:rPr>
          <w:rFonts w:ascii="Garamond" w:hAnsi="Garamond" w:cs="Times New Roman"/>
        </w:rPr>
        <w:t>The consumer boycott is described by James Jasper as "the mildest strategy of moral protest" (1997: 265). To bring boycotts to life you need to look 'beyond the boycott' and locate their 'companion tactics'. In such analyses, boycotts tend to be interpreted instrumentally as blunt tools for social reform. In ethical consumption organizations they are frequently erased from activist lexicon: consumer boycotts are 'bad'</w:t>
      </w:r>
      <w:r>
        <w:rPr>
          <w:rFonts w:ascii="Garamond" w:hAnsi="Garamond" w:cs="Times New Roman"/>
        </w:rPr>
        <w:t xml:space="preserve"> because they 'hurt' producers. </w:t>
      </w:r>
      <w:r w:rsidRPr="00DD040B">
        <w:rPr>
          <w:rFonts w:ascii="Garamond" w:hAnsi="Garamond" w:cs="Times New Roman"/>
        </w:rPr>
        <w:t>Instead of withholding purchase, citizens are encouraged to consume differentl</w:t>
      </w:r>
      <w:r>
        <w:rPr>
          <w:rFonts w:ascii="Garamond" w:hAnsi="Garamond" w:cs="Times New Roman"/>
        </w:rPr>
        <w:t xml:space="preserve">y and vote from their purses. </w:t>
      </w:r>
      <w:r w:rsidRPr="00DD040B">
        <w:rPr>
          <w:rFonts w:ascii="Garamond" w:hAnsi="Garamond" w:cs="Times New Roman"/>
        </w:rPr>
        <w:t xml:space="preserve">This study hopes to re-introduce consumer boycotts into academic discussions as a form of cultural production generative of specific visceral emotions, solidarities, responsibilities and subject positions. In the various tropes of connection and disconnection made between consumers, producers, commodities and activists, boycotter tactics and strategies are at the heart of this narrative. </w:t>
      </w:r>
      <w:r>
        <w:rPr>
          <w:rFonts w:ascii="Garamond" w:hAnsi="Garamond" w:cs="Times New Roman"/>
        </w:rPr>
        <w:t>In particular, the thesis develops</w:t>
      </w:r>
      <w:r w:rsidRPr="00DD040B">
        <w:rPr>
          <w:rFonts w:ascii="Garamond" w:hAnsi="Garamond" w:cs="Times New Roman"/>
        </w:rPr>
        <w:t xml:space="preserve"> th</w:t>
      </w:r>
      <w:r>
        <w:rPr>
          <w:rFonts w:ascii="Garamond" w:hAnsi="Garamond" w:cs="Times New Roman"/>
        </w:rPr>
        <w:t xml:space="preserve">e idea of </w:t>
      </w:r>
      <w:r w:rsidRPr="00DD040B">
        <w:rPr>
          <w:rFonts w:ascii="Garamond" w:hAnsi="Garamond" w:cs="Times New Roman"/>
        </w:rPr>
        <w:t>'bodywork'</w:t>
      </w:r>
      <w:r>
        <w:rPr>
          <w:rFonts w:ascii="Garamond" w:hAnsi="Garamond" w:cs="Times New Roman"/>
        </w:rPr>
        <w:t xml:space="preserve"> to describe:</w:t>
      </w:r>
      <w:r w:rsidRPr="00DD040B">
        <w:rPr>
          <w:rFonts w:ascii="Garamond" w:hAnsi="Garamond" w:cs="Times New Roman"/>
        </w:rPr>
        <w:t xml:space="preserve"> i) the activist performance of linking wider egregious politics (often signified by a particular commodity) to violence insinuated in producer and consumer b</w:t>
      </w:r>
      <w:r>
        <w:rPr>
          <w:rFonts w:ascii="Garamond" w:hAnsi="Garamond" w:cs="Times New Roman"/>
        </w:rPr>
        <w:t>ody relationships (e.g. anthrop</w:t>
      </w:r>
      <w:r w:rsidRPr="00DD040B">
        <w:rPr>
          <w:rFonts w:ascii="Garamond" w:hAnsi="Garamond" w:cs="Times New Roman"/>
        </w:rPr>
        <w:t>ophagia)</w:t>
      </w:r>
      <w:r>
        <w:rPr>
          <w:rFonts w:ascii="Garamond" w:hAnsi="Garamond" w:cs="Times New Roman"/>
        </w:rPr>
        <w:t>;</w:t>
      </w:r>
      <w:r w:rsidRPr="00DD040B">
        <w:rPr>
          <w:rFonts w:ascii="Garamond" w:hAnsi="Garamond" w:cs="Times New Roman"/>
        </w:rPr>
        <w:t xml:space="preserve"> ii) the visceral affects of</w:t>
      </w:r>
      <w:r>
        <w:rPr>
          <w:rFonts w:ascii="Garamond" w:hAnsi="Garamond" w:cs="Times New Roman"/>
        </w:rPr>
        <w:t xml:space="preserve"> body-commodity interventions; </w:t>
      </w:r>
      <w:r w:rsidRPr="00DD040B">
        <w:rPr>
          <w:rFonts w:ascii="Garamond" w:hAnsi="Garamond" w:cs="Times New Roman"/>
        </w:rPr>
        <w:t xml:space="preserve">and iii) how differently racially inscribed bodies are used to perform uneven geographies of pity, persuasion, complicity, guilt, solidarity and responsibility over distance. I show that </w:t>
      </w:r>
      <w:r>
        <w:rPr>
          <w:rFonts w:ascii="Garamond" w:hAnsi="Garamond" w:cs="Times New Roman"/>
        </w:rPr>
        <w:t xml:space="preserve">such </w:t>
      </w:r>
      <w:r w:rsidRPr="00DD040B">
        <w:rPr>
          <w:rFonts w:ascii="Garamond" w:hAnsi="Garamond" w:cs="Times New Roman"/>
        </w:rPr>
        <w:t xml:space="preserve">'bodywork' and other boycotter tactics extend from consumer boycotts into other forms of anti-apartheid and anti-trafficking activism. </w:t>
      </w:r>
      <w:r w:rsidRPr="00DD040B">
        <w:rPr>
          <w:rFonts w:ascii="Garamond" w:hAnsi="Garamond" w:cs="Times New Roman"/>
          <w:shd w:val="clear" w:color="auto" w:fill="FFFFFF"/>
        </w:rPr>
        <w:t>Through a series of extensive interviews with activists, and discourse analysis of campaign material, images and correspondence, I analyse th</w:t>
      </w:r>
      <w:r>
        <w:rPr>
          <w:rFonts w:ascii="Garamond" w:hAnsi="Garamond" w:cs="Times New Roman"/>
          <w:shd w:val="clear" w:color="auto" w:fill="FFFFFF"/>
        </w:rPr>
        <w:t>e bodywork of two organizations:</w:t>
      </w:r>
      <w:r w:rsidRPr="00DD040B">
        <w:rPr>
          <w:rFonts w:ascii="Garamond" w:hAnsi="Garamond" w:cs="Times New Roman"/>
          <w:shd w:val="clear" w:color="auto" w:fill="FFFFFF"/>
        </w:rPr>
        <w:t xml:space="preserve"> the anti-apartheid and antiracist Boycott Outspan Action (BOA), based in Leiden, Holland during the 1970s and</w:t>
      </w:r>
      <w:r>
        <w:rPr>
          <w:rFonts w:ascii="Garamond" w:hAnsi="Garamond" w:cs="Times New Roman"/>
          <w:shd w:val="clear" w:color="auto" w:fill="FFFFFF"/>
        </w:rPr>
        <w:t xml:space="preserve"> 80s;</w:t>
      </w:r>
      <w:r w:rsidRPr="00DD040B">
        <w:rPr>
          <w:rFonts w:ascii="Garamond" w:hAnsi="Garamond" w:cs="Times New Roman"/>
          <w:shd w:val="clear" w:color="auto" w:fill="FFFFFF"/>
        </w:rPr>
        <w:t xml:space="preserve"> and the contemporary global anti-human trafficking coalition, Stop The Traffik (STT), whose international chocolate campaigns are organized from offices in Amsterdam. </w:t>
      </w:r>
    </w:p>
    <w:p w:rsidR="00847500" w:rsidRPr="0010674D" w:rsidRDefault="00D4129F" w:rsidP="00847500">
      <w:pPr>
        <w:jc w:val="both"/>
      </w:pPr>
      <w:r>
        <w:rPr>
          <w:rFonts w:ascii="Garamond" w:hAnsi="Garamond" w:cs="Times New Roman"/>
        </w:rPr>
        <w:t>In Chapter One</w:t>
      </w:r>
      <w:r w:rsidR="00847500" w:rsidRPr="00DD040B">
        <w:rPr>
          <w:rFonts w:ascii="Garamond" w:hAnsi="Garamond" w:cs="Times New Roman"/>
        </w:rPr>
        <w:t xml:space="preserve"> I introduce the research and its aims, contextualize the two organizations, and outline my relationship to them and the methods used to resear</w:t>
      </w:r>
      <w:r>
        <w:rPr>
          <w:rFonts w:ascii="Garamond" w:hAnsi="Garamond" w:cs="Times New Roman"/>
        </w:rPr>
        <w:t>ch their campaigns. In Chapter Two</w:t>
      </w:r>
      <w:r w:rsidR="00847500" w:rsidRPr="00DD040B">
        <w:rPr>
          <w:rFonts w:ascii="Garamond" w:hAnsi="Garamond" w:cs="Times New Roman"/>
        </w:rPr>
        <w:t xml:space="preserve"> I set out my approach through the broader debates that the thesis advances, drawing from theories of ethical consumption, material culture and critical race theory to conceive the notions of bodywork and body/commodity topoi. The next five chapters deploy these notions in relation to my case study campai</w:t>
      </w:r>
      <w:r>
        <w:rPr>
          <w:rFonts w:ascii="Garamond" w:hAnsi="Garamond" w:cs="Times New Roman"/>
        </w:rPr>
        <w:t>gns and organisations. Chapter Three</w:t>
      </w:r>
      <w:r w:rsidR="00847500" w:rsidRPr="00DD040B">
        <w:rPr>
          <w:rFonts w:ascii="Garamond" w:hAnsi="Garamond" w:cs="Times New Roman"/>
        </w:rPr>
        <w:t xml:space="preserve"> considers relationships between citrus, apartheid and colonialism, and shows how the BOA attempted to unmake appetites for apartheid citrus while creating raciall</w:t>
      </w:r>
      <w:r>
        <w:rPr>
          <w:rFonts w:ascii="Garamond" w:hAnsi="Garamond" w:cs="Times New Roman"/>
        </w:rPr>
        <w:t>y reflexive consumers. Chapter Four</w:t>
      </w:r>
      <w:r w:rsidR="00847500" w:rsidRPr="00DD040B">
        <w:rPr>
          <w:rFonts w:ascii="Garamond" w:hAnsi="Garamond" w:cs="Times New Roman"/>
        </w:rPr>
        <w:t xml:space="preserve"> argues that STT alternate between two distinctive childhood-chocolate topoi so as to pursue advocacy within the chocolate industry, to intervene in everyday consumption routines, and to enable the marketing of fairtrade chocolate and anti-trafficking t</w:t>
      </w:r>
      <w:r>
        <w:rPr>
          <w:rFonts w:ascii="Garamond" w:hAnsi="Garamond" w:cs="Times New Roman"/>
        </w:rPr>
        <w:t>o different audiences. Chapter Five</w:t>
      </w:r>
      <w:r w:rsidR="00847500" w:rsidRPr="00DD040B">
        <w:rPr>
          <w:rFonts w:ascii="Garamond" w:hAnsi="Garamond" w:cs="Times New Roman"/>
        </w:rPr>
        <w:t xml:space="preserve"> presents a sympathetic critique of the un-reflexive presence of race across STT's chocolate politics of 'globalized responsibility', and proposes an antiracist historical-materialist approach to t</w:t>
      </w:r>
      <w:r>
        <w:rPr>
          <w:rFonts w:ascii="Garamond" w:hAnsi="Garamond" w:cs="Times New Roman"/>
        </w:rPr>
        <w:t>he chocolate industry. Chapter Six</w:t>
      </w:r>
      <w:r w:rsidR="00847500" w:rsidRPr="00DD040B">
        <w:rPr>
          <w:rFonts w:ascii="Garamond" w:hAnsi="Garamond" w:cs="Times New Roman"/>
        </w:rPr>
        <w:t xml:space="preserve"> studies the BOA's national and transnational campaigns against white migration to South Africa, and explores how the BOA adapted bodywork and media tactics from the Outspan boycott to emote racialized fear and subvert white capitalist imagin</w:t>
      </w:r>
      <w:r>
        <w:rPr>
          <w:rFonts w:ascii="Garamond" w:hAnsi="Garamond" w:cs="Times New Roman"/>
        </w:rPr>
        <w:t>aries of South Africa. Chapter Seven</w:t>
      </w:r>
      <w:r w:rsidR="00847500" w:rsidRPr="00DD040B">
        <w:rPr>
          <w:rFonts w:ascii="Garamond" w:hAnsi="Garamond" w:cs="Times New Roman"/>
        </w:rPr>
        <w:t xml:space="preserve"> examines the BOA's production of antiracist solidarities through transnational unionism and the local 'home front'. Their anti-apartheid and antiracist bus tours and first urban campaign are considered and situated as part of their wider contest with white and nationalist elements of Dutch anti-apartheid. In Conclusion, the thesis compares the different types of emotions and racial imaginations produced by the organizations in their commodity interventions and their more widely situated politics, and explains how the BOA's anti-colonial applications of solidarity differed from the neoliberal politics of globalized responsibility of STT's chocolate activism. </w:t>
      </w:r>
    </w:p>
    <w:p w:rsidR="00847500" w:rsidRDefault="00847500" w:rsidP="00847500"/>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rPr>
          <w:rFonts w:ascii="Garamond" w:hAnsi="Garamond"/>
          <w:b/>
          <w:sz w:val="28"/>
          <w:szCs w:val="28"/>
        </w:rPr>
      </w:pPr>
    </w:p>
    <w:p w:rsidR="00C90301" w:rsidRDefault="00C90301" w:rsidP="00C90301">
      <w:pPr>
        <w:jc w:val="center"/>
        <w:rPr>
          <w:rFonts w:ascii="Garamond" w:hAnsi="Garamond"/>
          <w:b/>
          <w:sz w:val="28"/>
          <w:szCs w:val="28"/>
        </w:rPr>
      </w:pPr>
      <w:r>
        <w:rPr>
          <w:rFonts w:ascii="Garamond" w:hAnsi="Garamond"/>
          <w:b/>
          <w:sz w:val="28"/>
          <w:szCs w:val="28"/>
        </w:rPr>
        <w:t>Dedication</w:t>
      </w:r>
    </w:p>
    <w:p w:rsidR="00C90301" w:rsidRDefault="00C90301" w:rsidP="00C90301">
      <w:pPr>
        <w:rPr>
          <w:rFonts w:ascii="Garamond" w:hAnsi="Garamond"/>
          <w:b/>
          <w:sz w:val="28"/>
          <w:szCs w:val="28"/>
        </w:rPr>
      </w:pPr>
    </w:p>
    <w:p w:rsidR="00FA7F0D" w:rsidRDefault="00C90301" w:rsidP="00FA7F0D">
      <w:pPr>
        <w:jc w:val="center"/>
        <w:rPr>
          <w:rFonts w:ascii="Garamond" w:hAnsi="Garamond"/>
          <w:sz w:val="24"/>
          <w:szCs w:val="24"/>
        </w:rPr>
      </w:pPr>
      <w:r>
        <w:rPr>
          <w:rFonts w:ascii="Garamond" w:hAnsi="Garamond"/>
          <w:sz w:val="24"/>
          <w:szCs w:val="24"/>
        </w:rPr>
        <w:t>This project</w:t>
      </w:r>
      <w:r w:rsidR="002C799B">
        <w:rPr>
          <w:rFonts w:ascii="Garamond" w:hAnsi="Garamond"/>
          <w:sz w:val="24"/>
          <w:szCs w:val="24"/>
        </w:rPr>
        <w:t xml:space="preserve"> is dedicated to</w:t>
      </w:r>
      <w:r w:rsidRPr="00EC62B4">
        <w:rPr>
          <w:rFonts w:ascii="Garamond" w:hAnsi="Garamond"/>
          <w:sz w:val="24"/>
          <w:szCs w:val="24"/>
        </w:rPr>
        <w:t xml:space="preserve"> my grandmother, Erica M</w:t>
      </w:r>
      <w:r w:rsidR="00E92BD6">
        <w:rPr>
          <w:rFonts w:ascii="Garamond" w:hAnsi="Garamond"/>
          <w:sz w:val="24"/>
          <w:szCs w:val="24"/>
        </w:rPr>
        <w:t>a</w:t>
      </w:r>
      <w:r w:rsidRPr="00EC62B4">
        <w:rPr>
          <w:rFonts w:ascii="Garamond" w:hAnsi="Garamond"/>
          <w:sz w:val="24"/>
          <w:szCs w:val="24"/>
        </w:rPr>
        <w:t>cPherson, who passed away in June 2013 and is missed by all</w:t>
      </w:r>
      <w:r>
        <w:rPr>
          <w:rFonts w:ascii="Garamond" w:hAnsi="Garamond"/>
          <w:sz w:val="24"/>
          <w:szCs w:val="24"/>
        </w:rPr>
        <w:t xml:space="preserve"> those</w:t>
      </w:r>
      <w:r w:rsidRPr="00EC62B4">
        <w:rPr>
          <w:rFonts w:ascii="Garamond" w:hAnsi="Garamond"/>
          <w:sz w:val="24"/>
          <w:szCs w:val="24"/>
        </w:rPr>
        <w:t xml:space="preserve"> she left behin</w:t>
      </w:r>
      <w:r w:rsidR="003C5544">
        <w:rPr>
          <w:rFonts w:ascii="Garamond" w:hAnsi="Garamond"/>
          <w:sz w:val="24"/>
          <w:szCs w:val="24"/>
        </w:rPr>
        <w:t>d</w:t>
      </w:r>
    </w:p>
    <w:p w:rsidR="00C90301" w:rsidRPr="002049D4" w:rsidRDefault="00FA7F0D" w:rsidP="002049D4">
      <w:pPr>
        <w:pStyle w:val="Heading1"/>
        <w:jc w:val="center"/>
        <w:rPr>
          <w:rFonts w:ascii="Garamond" w:hAnsi="Garamond"/>
          <w:color w:val="auto"/>
          <w:sz w:val="28"/>
        </w:rPr>
      </w:pPr>
      <w:r>
        <w:br w:type="page"/>
      </w:r>
      <w:bookmarkStart w:id="9" w:name="_Toc244453611"/>
      <w:bookmarkStart w:id="10" w:name="_Toc244454128"/>
      <w:bookmarkStart w:id="11" w:name="_Toc244469575"/>
      <w:bookmarkStart w:id="12" w:name="_Toc244508031"/>
      <w:bookmarkStart w:id="13" w:name="_Toc244535725"/>
      <w:bookmarkStart w:id="14" w:name="_Toc244578357"/>
      <w:bookmarkStart w:id="15" w:name="_Toc244578741"/>
      <w:bookmarkStart w:id="16" w:name="_Toc263451990"/>
      <w:bookmarkStart w:id="17" w:name="_Toc263510908"/>
      <w:r w:rsidR="00C90301" w:rsidRPr="002049D4">
        <w:rPr>
          <w:rFonts w:ascii="Garamond" w:hAnsi="Garamond"/>
          <w:color w:val="auto"/>
          <w:sz w:val="28"/>
        </w:rPr>
        <w:lastRenderedPageBreak/>
        <w:t>Acknowledgements</w:t>
      </w:r>
      <w:bookmarkEnd w:id="9"/>
      <w:bookmarkEnd w:id="10"/>
      <w:bookmarkEnd w:id="11"/>
      <w:bookmarkEnd w:id="12"/>
      <w:bookmarkEnd w:id="13"/>
      <w:bookmarkEnd w:id="14"/>
      <w:bookmarkEnd w:id="15"/>
      <w:bookmarkEnd w:id="16"/>
      <w:bookmarkEnd w:id="17"/>
    </w:p>
    <w:p w:rsidR="00C90301" w:rsidRPr="00BD0A0B" w:rsidRDefault="00C90301" w:rsidP="00C90301">
      <w:pPr>
        <w:rPr>
          <w:rFonts w:ascii="Garamond" w:hAnsi="Garamond"/>
          <w:b/>
          <w:sz w:val="20"/>
          <w:szCs w:val="24"/>
        </w:rPr>
      </w:pPr>
    </w:p>
    <w:p w:rsidR="00E92BD6" w:rsidRPr="00BD0A0B" w:rsidRDefault="00C90301" w:rsidP="00E92BD6">
      <w:pPr>
        <w:jc w:val="both"/>
        <w:rPr>
          <w:rFonts w:ascii="Garamond" w:hAnsi="Garamond"/>
          <w:sz w:val="20"/>
          <w:szCs w:val="24"/>
        </w:rPr>
      </w:pPr>
      <w:r w:rsidRPr="00BD0A0B">
        <w:rPr>
          <w:rFonts w:ascii="Garamond" w:hAnsi="Garamond"/>
          <w:sz w:val="20"/>
          <w:szCs w:val="24"/>
        </w:rPr>
        <w:t>I would like to thank my supervisors, Professor Phil Crang and Dr. David Lambert for their help, encouragement and inspiration throughout the process of conceiving, researching, and writing this thesis. They have shared their diverse knowledge and experience with warmth, generosity and good humour; I feel privileged to have benefited from both their inputs as supervisor</w:t>
      </w:r>
      <w:r w:rsidR="002D1C8E">
        <w:rPr>
          <w:rFonts w:ascii="Garamond" w:hAnsi="Garamond"/>
          <w:sz w:val="20"/>
          <w:szCs w:val="24"/>
        </w:rPr>
        <w:t>s</w:t>
      </w:r>
      <w:r w:rsidRPr="00BD0A0B">
        <w:rPr>
          <w:rFonts w:ascii="Garamond" w:hAnsi="Garamond"/>
          <w:sz w:val="20"/>
          <w:szCs w:val="24"/>
        </w:rPr>
        <w:t xml:space="preserve"> across the duration of the doctorate. I am grateful to the administration</w:t>
      </w:r>
      <w:r w:rsidR="00BD2DBB">
        <w:rPr>
          <w:rFonts w:ascii="Garamond" w:hAnsi="Garamond"/>
          <w:sz w:val="20"/>
          <w:szCs w:val="24"/>
        </w:rPr>
        <w:t xml:space="preserve"> staff from the Royal Holloway Geography D</w:t>
      </w:r>
      <w:r w:rsidRPr="00BD0A0B">
        <w:rPr>
          <w:rFonts w:ascii="Garamond" w:hAnsi="Garamond"/>
          <w:sz w:val="20"/>
          <w:szCs w:val="24"/>
        </w:rPr>
        <w:t>epartment including Alice Christie, Ann Ballard, Karen Oliver and Liz Hamilton who have offered support and understanding in challenging circumstances. In addition I am grateful for company and inspiration during the last four year</w:t>
      </w:r>
      <w:r w:rsidR="006B1236" w:rsidRPr="00BD0A0B">
        <w:rPr>
          <w:rFonts w:ascii="Garamond" w:hAnsi="Garamond"/>
          <w:sz w:val="20"/>
          <w:szCs w:val="24"/>
        </w:rPr>
        <w:t xml:space="preserve">s from colleagues and friends, </w:t>
      </w:r>
      <w:r w:rsidR="00051D37">
        <w:rPr>
          <w:rFonts w:ascii="Garamond" w:hAnsi="Garamond"/>
          <w:sz w:val="20"/>
          <w:szCs w:val="24"/>
        </w:rPr>
        <w:t>Innes Kreighren, Tim Cresswell</w:t>
      </w:r>
      <w:r w:rsidR="00E92BD6" w:rsidRPr="00BD0A0B">
        <w:rPr>
          <w:rFonts w:ascii="Garamond" w:hAnsi="Garamond"/>
          <w:sz w:val="20"/>
          <w:szCs w:val="24"/>
        </w:rPr>
        <w:t xml:space="preserve">, </w:t>
      </w:r>
      <w:r w:rsidRPr="00BD0A0B">
        <w:rPr>
          <w:rFonts w:ascii="Garamond" w:hAnsi="Garamond"/>
          <w:sz w:val="20"/>
          <w:szCs w:val="24"/>
        </w:rPr>
        <w:t>Bradley Garrett, Michael Anton, Ashley Dawkins, Rupert Griffiths and Amy Cutler. I am thankful for the platform and opportunities provided by the Landscape Surgery meetings of the SCG research group</w:t>
      </w:r>
      <w:r w:rsidR="005B52A5" w:rsidRPr="00BD0A0B">
        <w:rPr>
          <w:rFonts w:ascii="Garamond" w:hAnsi="Garamond"/>
          <w:sz w:val="20"/>
          <w:szCs w:val="24"/>
        </w:rPr>
        <w:t>.</w:t>
      </w:r>
      <w:r w:rsidR="00051D37">
        <w:rPr>
          <w:rFonts w:ascii="Garamond" w:hAnsi="Garamond"/>
          <w:sz w:val="20"/>
          <w:szCs w:val="24"/>
        </w:rPr>
        <w:t xml:space="preserve"> Thanks also go to Karen Till and Alex Loftus for their inspirational supervision as an undergraduate at RHUL</w:t>
      </w:r>
      <w:r w:rsidR="00417E04">
        <w:rPr>
          <w:rFonts w:ascii="Garamond" w:hAnsi="Garamond"/>
          <w:sz w:val="20"/>
          <w:szCs w:val="24"/>
        </w:rPr>
        <w:t>.</w:t>
      </w:r>
    </w:p>
    <w:p w:rsidR="00E92BD6" w:rsidRPr="00850BA2" w:rsidRDefault="00E92BD6" w:rsidP="00850BA2">
      <w:pPr>
        <w:jc w:val="both"/>
        <w:rPr>
          <w:rFonts w:ascii="Garamond" w:hAnsi="Garamond"/>
          <w:sz w:val="20"/>
          <w:szCs w:val="24"/>
        </w:rPr>
      </w:pPr>
      <w:r w:rsidRPr="00BD0A0B">
        <w:rPr>
          <w:rFonts w:ascii="Garamond" w:hAnsi="Garamond"/>
          <w:sz w:val="20"/>
        </w:rPr>
        <w:t>Many thanks go to Thomas Holloway Scholarship for providing this opportunity. I'm most grateful for feedback and proof reading done by Richard McDowell, Esau du Plessis, Hilary Geoghegan and Ashley Dawkins…I owe you some fun times!</w:t>
      </w:r>
    </w:p>
    <w:p w:rsidR="00E92BD6" w:rsidRPr="00BD0A0B" w:rsidRDefault="00E92BD6" w:rsidP="00E92BD6">
      <w:pPr>
        <w:rPr>
          <w:rFonts w:ascii="Garamond" w:hAnsi="Garamond"/>
          <w:sz w:val="20"/>
        </w:rPr>
      </w:pPr>
      <w:r w:rsidRPr="00BD0A0B">
        <w:rPr>
          <w:rFonts w:ascii="Garamond" w:hAnsi="Garamond"/>
          <w:sz w:val="20"/>
        </w:rPr>
        <w:t>Loving gratitude goes to my parents John and Melinda Crosfield for supporting me unerringly throughout the duration of the doctorate, and for offering a home to Simone and myself over the last year as money has got tight. You have made this possible!</w:t>
      </w:r>
    </w:p>
    <w:p w:rsidR="00E92BD6" w:rsidRPr="00BD0A0B" w:rsidRDefault="00E92BD6" w:rsidP="00E92BD6">
      <w:pPr>
        <w:rPr>
          <w:rFonts w:ascii="Garamond" w:hAnsi="Garamond"/>
          <w:sz w:val="20"/>
        </w:rPr>
      </w:pPr>
      <w:r w:rsidRPr="00BD0A0B">
        <w:rPr>
          <w:rFonts w:ascii="Garamond" w:hAnsi="Garamond"/>
          <w:sz w:val="20"/>
        </w:rPr>
        <w:t xml:space="preserve">Loving gratitude also goes to my grandmother Joyce (who herself is an RHUL alumni) for being a source of inspiration and for interest, support and feedback, on my work. </w:t>
      </w:r>
    </w:p>
    <w:p w:rsidR="00E92BD6" w:rsidRPr="00BD0A0B" w:rsidRDefault="00E92BD6" w:rsidP="00E92BD6">
      <w:pPr>
        <w:rPr>
          <w:rFonts w:ascii="Garamond" w:hAnsi="Garamond"/>
          <w:sz w:val="20"/>
        </w:rPr>
      </w:pPr>
      <w:r w:rsidRPr="00BD0A0B">
        <w:rPr>
          <w:rFonts w:ascii="Garamond" w:hAnsi="Garamond"/>
          <w:sz w:val="20"/>
        </w:rPr>
        <w:t>Love and appreciation to my sister, Candia Crosfield and her partner, Stuart Dickerson for their patience in my absence.</w:t>
      </w:r>
    </w:p>
    <w:p w:rsidR="00E92BD6" w:rsidRPr="00BD0A0B" w:rsidRDefault="00E92BD6" w:rsidP="00E92BD6">
      <w:pPr>
        <w:rPr>
          <w:rFonts w:ascii="Garamond" w:hAnsi="Garamond"/>
          <w:sz w:val="20"/>
        </w:rPr>
      </w:pPr>
      <w:r w:rsidRPr="00BD0A0B">
        <w:rPr>
          <w:rFonts w:ascii="Garamond" w:hAnsi="Garamond"/>
          <w:sz w:val="20"/>
        </w:rPr>
        <w:t>I met Simone Hancox as I embarked on this journey and she has been for the ride with me. Towards the end, as my nights have got longer she has been a wonderfully supportive presence. Across its highs and lows, she has given me love, strength, support, opinion, advice, and critique. Many thanks.</w:t>
      </w:r>
    </w:p>
    <w:p w:rsidR="00E92BD6" w:rsidRPr="00BD0A0B" w:rsidRDefault="006E2B44" w:rsidP="00E92BD6">
      <w:pPr>
        <w:rPr>
          <w:rFonts w:ascii="Garamond" w:hAnsi="Garamond"/>
          <w:sz w:val="20"/>
        </w:rPr>
      </w:pPr>
      <w:r>
        <w:rPr>
          <w:rFonts w:ascii="Garamond" w:hAnsi="Garamond"/>
          <w:sz w:val="20"/>
        </w:rPr>
        <w:t>My</w:t>
      </w:r>
      <w:r w:rsidR="00E92BD6" w:rsidRPr="00BD0A0B">
        <w:rPr>
          <w:rFonts w:ascii="Garamond" w:hAnsi="Garamond"/>
          <w:sz w:val="20"/>
        </w:rPr>
        <w:t xml:space="preserve"> thanks to Pamela Ngwenya-Richardson, Sarah Emily Duff and Kenneth Grundy for feedback and</w:t>
      </w:r>
      <w:r>
        <w:rPr>
          <w:rFonts w:ascii="Garamond" w:hAnsi="Garamond"/>
          <w:sz w:val="20"/>
        </w:rPr>
        <w:t xml:space="preserve"> inspiration on matters food</w:t>
      </w:r>
      <w:r w:rsidR="00E92BD6" w:rsidRPr="00BD0A0B">
        <w:rPr>
          <w:rFonts w:ascii="Garamond" w:hAnsi="Garamond"/>
          <w:sz w:val="20"/>
        </w:rPr>
        <w:t xml:space="preserve"> embodime</w:t>
      </w:r>
      <w:r>
        <w:rPr>
          <w:rFonts w:ascii="Garamond" w:hAnsi="Garamond"/>
          <w:sz w:val="20"/>
        </w:rPr>
        <w:t>nt and Dutch anti-apartheid.</w:t>
      </w:r>
      <w:r w:rsidR="00BD2DBB">
        <w:rPr>
          <w:rFonts w:ascii="Garamond" w:hAnsi="Garamond"/>
          <w:sz w:val="20"/>
        </w:rPr>
        <w:t xml:space="preserve"> Thanks must go to my T</w:t>
      </w:r>
      <w:r w:rsidR="00E92BD6" w:rsidRPr="00BD0A0B">
        <w:rPr>
          <w:rFonts w:ascii="Garamond" w:hAnsi="Garamond"/>
          <w:sz w:val="20"/>
        </w:rPr>
        <w:t xml:space="preserve">witter friends and fellow bloggers who </w:t>
      </w:r>
      <w:r w:rsidR="00BD2DBB">
        <w:rPr>
          <w:rFonts w:ascii="Garamond" w:hAnsi="Garamond"/>
          <w:sz w:val="20"/>
        </w:rPr>
        <w:t xml:space="preserve">continue to keep me interested in associated strands of work </w:t>
      </w:r>
      <w:r w:rsidR="00E92BD6" w:rsidRPr="00BD0A0B">
        <w:rPr>
          <w:rFonts w:ascii="Garamond" w:hAnsi="Garamond"/>
          <w:sz w:val="20"/>
        </w:rPr>
        <w:t>and</w:t>
      </w:r>
      <w:r w:rsidR="00BD2DBB">
        <w:rPr>
          <w:rFonts w:ascii="Garamond" w:hAnsi="Garamond"/>
          <w:sz w:val="20"/>
        </w:rPr>
        <w:t xml:space="preserve"> also keep me</w:t>
      </w:r>
      <w:r w:rsidR="00E92BD6" w:rsidRPr="00BD0A0B">
        <w:rPr>
          <w:rFonts w:ascii="Garamond" w:hAnsi="Garamond"/>
          <w:sz w:val="20"/>
        </w:rPr>
        <w:t xml:space="preserve"> on my toes!</w:t>
      </w:r>
    </w:p>
    <w:p w:rsidR="000B6D76" w:rsidRDefault="00E92BD6" w:rsidP="00E92BD6">
      <w:pPr>
        <w:rPr>
          <w:rFonts w:ascii="Garamond" w:hAnsi="Garamond"/>
          <w:sz w:val="20"/>
        </w:rPr>
      </w:pPr>
      <w:r w:rsidRPr="00BD0A0B">
        <w:rPr>
          <w:rFonts w:ascii="Garamond" w:hAnsi="Garamond"/>
          <w:sz w:val="20"/>
        </w:rPr>
        <w:t>Thanks to Lili Dreikhausen for supporting me with German to English translations of primary materials.</w:t>
      </w:r>
    </w:p>
    <w:p w:rsidR="00E92BD6" w:rsidRPr="00BD0A0B" w:rsidRDefault="000B6D76" w:rsidP="00E92BD6">
      <w:pPr>
        <w:rPr>
          <w:rFonts w:ascii="Garamond" w:hAnsi="Garamond"/>
          <w:sz w:val="20"/>
        </w:rPr>
      </w:pPr>
      <w:r>
        <w:rPr>
          <w:rFonts w:ascii="Garamond" w:hAnsi="Garamond"/>
          <w:sz w:val="20"/>
        </w:rPr>
        <w:t xml:space="preserve">Appreciation and thanks to Ann-Marie du Plessis for warm spiritedness, </w:t>
      </w:r>
      <w:r w:rsidRPr="00BD0A0B">
        <w:rPr>
          <w:rFonts w:ascii="Garamond" w:hAnsi="Garamond"/>
          <w:sz w:val="20"/>
        </w:rPr>
        <w:t>kindness and hospitality.</w:t>
      </w:r>
    </w:p>
    <w:p w:rsidR="00BD0A0B" w:rsidRDefault="00E92BD6" w:rsidP="00BD0A0B">
      <w:pPr>
        <w:rPr>
          <w:rFonts w:ascii="Garamond" w:hAnsi="Garamond"/>
          <w:sz w:val="20"/>
        </w:rPr>
      </w:pPr>
      <w:r w:rsidRPr="00BD0A0B">
        <w:rPr>
          <w:rFonts w:ascii="Garamond" w:hAnsi="Garamond"/>
          <w:sz w:val="20"/>
        </w:rPr>
        <w:t>Finally I'd like to thank the people who are in this thesis and make it breathe. To name a few; Rob van de</w:t>
      </w:r>
      <w:r w:rsidR="00BD2DBB">
        <w:rPr>
          <w:rFonts w:ascii="Garamond" w:hAnsi="Garamond"/>
          <w:sz w:val="20"/>
        </w:rPr>
        <w:t>r</w:t>
      </w:r>
      <w:r w:rsidRPr="00BD0A0B">
        <w:rPr>
          <w:rFonts w:ascii="Garamond" w:hAnsi="Garamond"/>
          <w:sz w:val="20"/>
        </w:rPr>
        <w:t xml:space="preserve"> Aa an</w:t>
      </w:r>
      <w:r w:rsidR="006E2B44">
        <w:rPr>
          <w:rFonts w:ascii="Garamond" w:hAnsi="Garamond"/>
          <w:sz w:val="20"/>
        </w:rPr>
        <w:t>d Theo Veerman</w:t>
      </w:r>
      <w:r w:rsidRPr="00BD0A0B">
        <w:rPr>
          <w:rFonts w:ascii="Garamond" w:hAnsi="Garamond"/>
          <w:sz w:val="20"/>
        </w:rPr>
        <w:t xml:space="preserve">, Steve Chalke, </w:t>
      </w:r>
      <w:r w:rsidR="00BD0A0B">
        <w:rPr>
          <w:rFonts w:ascii="Garamond" w:hAnsi="Garamond"/>
          <w:sz w:val="20"/>
        </w:rPr>
        <w:t xml:space="preserve">Lioe Tan, </w:t>
      </w:r>
      <w:r w:rsidR="000B6D76">
        <w:rPr>
          <w:rFonts w:ascii="Garamond" w:hAnsi="Garamond"/>
          <w:sz w:val="20"/>
        </w:rPr>
        <w:t xml:space="preserve">Ruth Dearnley, Mandy Flashman-Wells, </w:t>
      </w:r>
      <w:r w:rsidRPr="00BD0A0B">
        <w:rPr>
          <w:rFonts w:ascii="Garamond" w:hAnsi="Garamond"/>
          <w:sz w:val="20"/>
        </w:rPr>
        <w:t>Jane Clarke, and STT's committed interns. Special thanks to</w:t>
      </w:r>
      <w:r w:rsidR="006E2B44">
        <w:rPr>
          <w:rFonts w:ascii="Garamond" w:hAnsi="Garamond"/>
          <w:sz w:val="20"/>
        </w:rPr>
        <w:t xml:space="preserve"> Antonie Fountain fo</w:t>
      </w:r>
      <w:r w:rsidR="000B6D76">
        <w:rPr>
          <w:rFonts w:ascii="Garamond" w:hAnsi="Garamond"/>
          <w:sz w:val="20"/>
        </w:rPr>
        <w:t>r his patience and information. Last but by no means least, utmost gratitude</w:t>
      </w:r>
      <w:r w:rsidR="006E2B44">
        <w:rPr>
          <w:rFonts w:ascii="Garamond" w:hAnsi="Garamond"/>
          <w:sz w:val="20"/>
        </w:rPr>
        <w:t xml:space="preserve"> to</w:t>
      </w:r>
      <w:r w:rsidRPr="00BD0A0B">
        <w:rPr>
          <w:rFonts w:ascii="Garamond" w:hAnsi="Garamond"/>
          <w:sz w:val="20"/>
        </w:rPr>
        <w:t xml:space="preserve"> Esau du Plessis who h</w:t>
      </w:r>
      <w:r w:rsidR="006E2B44">
        <w:rPr>
          <w:rFonts w:ascii="Garamond" w:hAnsi="Garamond"/>
          <w:sz w:val="20"/>
        </w:rPr>
        <w:t>as</w:t>
      </w:r>
      <w:r w:rsidRPr="00BD0A0B">
        <w:rPr>
          <w:rFonts w:ascii="Garamond" w:hAnsi="Garamond"/>
          <w:sz w:val="20"/>
        </w:rPr>
        <w:t xml:space="preserve"> been</w:t>
      </w:r>
      <w:r w:rsidR="006E2B44">
        <w:rPr>
          <w:rFonts w:ascii="Garamond" w:hAnsi="Garamond"/>
          <w:sz w:val="20"/>
        </w:rPr>
        <w:t xml:space="preserve"> so</w:t>
      </w:r>
      <w:r w:rsidRPr="00BD0A0B">
        <w:rPr>
          <w:rFonts w:ascii="Garamond" w:hAnsi="Garamond"/>
          <w:sz w:val="20"/>
        </w:rPr>
        <w:t xml:space="preserve"> </w:t>
      </w:r>
      <w:r w:rsidR="006E2B44">
        <w:rPr>
          <w:rFonts w:ascii="Garamond" w:hAnsi="Garamond"/>
          <w:sz w:val="20"/>
        </w:rPr>
        <w:t>generous with his</w:t>
      </w:r>
      <w:r w:rsidRPr="00BD0A0B">
        <w:rPr>
          <w:rFonts w:ascii="Garamond" w:hAnsi="Garamond"/>
          <w:sz w:val="20"/>
        </w:rPr>
        <w:t xml:space="preserve"> t</w:t>
      </w:r>
      <w:r w:rsidR="000B6D76">
        <w:rPr>
          <w:rFonts w:ascii="Garamond" w:hAnsi="Garamond"/>
          <w:sz w:val="20"/>
        </w:rPr>
        <w:t xml:space="preserve">ime and feedback throughout </w:t>
      </w:r>
      <w:r w:rsidRPr="00BD0A0B">
        <w:rPr>
          <w:rFonts w:ascii="Garamond" w:hAnsi="Garamond"/>
          <w:sz w:val="20"/>
        </w:rPr>
        <w:t xml:space="preserve">this journey. </w:t>
      </w:r>
    </w:p>
    <w:p w:rsidR="00BD0A0B" w:rsidRDefault="00BD0A0B" w:rsidP="00BD0A0B">
      <w:pPr>
        <w:rPr>
          <w:rFonts w:ascii="Garamond" w:hAnsi="Garamond"/>
          <w:sz w:val="20"/>
        </w:rPr>
      </w:pPr>
    </w:p>
    <w:p w:rsidR="00BD0A0B" w:rsidRDefault="00BD0A0B" w:rsidP="00BD0A0B">
      <w:pPr>
        <w:rPr>
          <w:rFonts w:ascii="Garamond" w:hAnsi="Garamond"/>
          <w:sz w:val="20"/>
        </w:rPr>
      </w:pPr>
    </w:p>
    <w:p w:rsidR="00847500" w:rsidRPr="00BD0A0B" w:rsidRDefault="00847500" w:rsidP="00BD0A0B">
      <w:pPr>
        <w:rPr>
          <w:rFonts w:ascii="Garamond" w:hAnsi="Garamond"/>
          <w:sz w:val="20"/>
          <w:szCs w:val="24"/>
        </w:rPr>
        <w:sectPr w:rsidR="00847500" w:rsidRPr="00BD0A0B">
          <w:footerReference w:type="default" r:id="rId10"/>
          <w:pgSz w:w="11900" w:h="16840"/>
          <w:pgMar w:top="1276" w:right="1800" w:bottom="1134" w:left="1800" w:header="708" w:footer="708" w:gutter="0"/>
          <w:pgNumType w:fmt="lowerRoman" w:start="1"/>
          <w:cols w:space="708"/>
        </w:sectPr>
      </w:pPr>
    </w:p>
    <w:p w:rsidR="0044499A" w:rsidRPr="00AE029C" w:rsidRDefault="00847500" w:rsidP="00AE029C">
      <w:pPr>
        <w:jc w:val="center"/>
        <w:rPr>
          <w:rFonts w:ascii="Garamond" w:hAnsi="Garamond"/>
          <w:b/>
          <w:sz w:val="28"/>
        </w:rPr>
      </w:pPr>
      <w:r w:rsidRPr="001675F1">
        <w:rPr>
          <w:rFonts w:ascii="Garamond" w:hAnsi="Garamond"/>
          <w:b/>
          <w:sz w:val="28"/>
        </w:rPr>
        <w:lastRenderedPageBreak/>
        <w:t>Table of Contents</w:t>
      </w:r>
    </w:p>
    <w:p w:rsidR="00AE029C" w:rsidRPr="00AE029C" w:rsidRDefault="00DF2DF8" w:rsidP="00960766">
      <w:pPr>
        <w:pStyle w:val="TOC1"/>
        <w:rPr>
          <w:rFonts w:eastAsiaTheme="minorEastAsia"/>
          <w:lang w:val="en-US"/>
        </w:rPr>
      </w:pPr>
      <w:r w:rsidRPr="00DF2DF8">
        <w:fldChar w:fldCharType="begin"/>
      </w:r>
      <w:r w:rsidR="00AE029C" w:rsidRPr="00AE029C">
        <w:instrText xml:space="preserve"> TOC \o "1-3" </w:instrText>
      </w:r>
      <w:r w:rsidRPr="00DF2DF8">
        <w:fldChar w:fldCharType="separate"/>
      </w:r>
      <w:r w:rsidR="00AE029C" w:rsidRPr="00AE029C">
        <w:t>Abstract</w:t>
      </w:r>
      <w:r w:rsidR="00AE029C" w:rsidRPr="00AE029C">
        <w:tab/>
      </w:r>
      <w:r w:rsidRPr="00AE029C">
        <w:fldChar w:fldCharType="begin"/>
      </w:r>
      <w:r w:rsidR="00AE029C" w:rsidRPr="00AE029C">
        <w:instrText xml:space="preserve"> PAGEREF _Toc263510907 \h </w:instrText>
      </w:r>
      <w:r w:rsidRPr="00AE029C">
        <w:fldChar w:fldCharType="separate"/>
      </w:r>
      <w:r w:rsidR="002B3E92">
        <w:t>i</w:t>
      </w:r>
      <w:r w:rsidRPr="00AE029C">
        <w:fldChar w:fldCharType="end"/>
      </w:r>
    </w:p>
    <w:p w:rsidR="00AE029C" w:rsidRPr="00AE029C" w:rsidRDefault="00AE029C" w:rsidP="00960766">
      <w:pPr>
        <w:pStyle w:val="TOC1"/>
        <w:rPr>
          <w:rFonts w:eastAsiaTheme="minorEastAsia"/>
          <w:lang w:val="en-US"/>
        </w:rPr>
      </w:pPr>
      <w:r w:rsidRPr="00AE029C">
        <w:t>Acknowledgements</w:t>
      </w:r>
      <w:r w:rsidRPr="00AE029C">
        <w:tab/>
      </w:r>
      <w:r w:rsidR="00DF2DF8" w:rsidRPr="00AE029C">
        <w:fldChar w:fldCharType="begin"/>
      </w:r>
      <w:r w:rsidRPr="00AE029C">
        <w:instrText xml:space="preserve"> PAGEREF _Toc263510908 \h </w:instrText>
      </w:r>
      <w:r w:rsidR="00DF2DF8" w:rsidRPr="00AE029C">
        <w:fldChar w:fldCharType="separate"/>
      </w:r>
      <w:r w:rsidR="002B3E92">
        <w:t>iii</w:t>
      </w:r>
      <w:r w:rsidR="00DF2DF8" w:rsidRPr="00AE029C">
        <w:fldChar w:fldCharType="end"/>
      </w:r>
    </w:p>
    <w:p w:rsidR="00AE029C" w:rsidRPr="00AE029C" w:rsidRDefault="00AE029C" w:rsidP="00960766">
      <w:pPr>
        <w:pStyle w:val="TOC1"/>
        <w:rPr>
          <w:rFonts w:eastAsiaTheme="minorEastAsia"/>
          <w:lang w:val="en-US"/>
        </w:rPr>
      </w:pPr>
      <w:r w:rsidRPr="00AE029C">
        <w:t>List of Figures</w:t>
      </w:r>
      <w:r w:rsidRPr="00AE029C">
        <w:tab/>
      </w:r>
      <w:r w:rsidR="00DF2DF8" w:rsidRPr="00AE029C">
        <w:fldChar w:fldCharType="begin"/>
      </w:r>
      <w:r w:rsidRPr="00AE029C">
        <w:instrText xml:space="preserve"> PAGEREF _Toc263510909 \h </w:instrText>
      </w:r>
      <w:r w:rsidR="00DF2DF8" w:rsidRPr="00AE029C">
        <w:fldChar w:fldCharType="separate"/>
      </w:r>
      <w:r w:rsidR="002B3E92">
        <w:t>vi</w:t>
      </w:r>
      <w:r w:rsidR="00DF2DF8" w:rsidRPr="00AE029C">
        <w:fldChar w:fldCharType="end"/>
      </w:r>
    </w:p>
    <w:p w:rsidR="00AE029C" w:rsidRPr="00AE029C" w:rsidRDefault="00AE029C" w:rsidP="00960766">
      <w:pPr>
        <w:pStyle w:val="TOC1"/>
        <w:rPr>
          <w:rFonts w:eastAsiaTheme="minorEastAsia"/>
          <w:lang w:val="en-US"/>
        </w:rPr>
      </w:pPr>
      <w:r w:rsidRPr="00AE029C">
        <w:t>Glossary of Terms and Abbreviations</w:t>
      </w:r>
      <w:r w:rsidRPr="00AE029C">
        <w:tab/>
      </w:r>
      <w:r w:rsidR="00DF2DF8" w:rsidRPr="00AE029C">
        <w:fldChar w:fldCharType="begin"/>
      </w:r>
      <w:r w:rsidRPr="00AE029C">
        <w:instrText xml:space="preserve"> PAGEREF _Toc263510910 \h </w:instrText>
      </w:r>
      <w:r w:rsidR="00DF2DF8" w:rsidRPr="00AE029C">
        <w:fldChar w:fldCharType="separate"/>
      </w:r>
      <w:r w:rsidR="002B3E92">
        <w:t>xii</w:t>
      </w:r>
      <w:r w:rsidR="00DF2DF8" w:rsidRPr="00AE029C">
        <w:fldChar w:fldCharType="end"/>
      </w:r>
    </w:p>
    <w:p w:rsidR="00AE029C" w:rsidRPr="00960766" w:rsidRDefault="00AE029C" w:rsidP="00960766">
      <w:pPr>
        <w:pStyle w:val="TOC1"/>
      </w:pPr>
      <w:r w:rsidRPr="00960766">
        <w:t>Chapter One: Introduction</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eastAsia="Times New Roman" w:hAnsi="Garamond"/>
          <w:b w:val="0"/>
          <w:noProof/>
          <w:lang w:val="en-US"/>
        </w:rPr>
        <w:t>Introducing commodity boycotts and the 'body as battlefield'</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_Toc263510913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Thesis aims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The research process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10</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Introducing Boycott Outspan Action (1970-1992)</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_Toc263510916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15</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Researching the BOA</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_Toc263510917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18</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Introducing Stop The Traffik</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_Toc263510918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Researching STT</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_Toc263510919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29</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Notes on data, method and theoretical diversity</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_Toc263510920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Thesis Structure</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_Toc263510921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43</w:t>
      </w:r>
      <w:r w:rsidR="00DF2DF8" w:rsidRPr="00AE029C">
        <w:rPr>
          <w:rFonts w:ascii="Garamond" w:hAnsi="Garamond"/>
          <w:b w:val="0"/>
          <w:noProof/>
        </w:rPr>
        <w:fldChar w:fldCharType="end"/>
      </w:r>
    </w:p>
    <w:p w:rsidR="00AE029C" w:rsidRPr="00AE029C" w:rsidRDefault="00AE029C" w:rsidP="00960766">
      <w:pPr>
        <w:pStyle w:val="TOC1"/>
        <w:rPr>
          <w:rFonts w:eastAsiaTheme="minorEastAsia"/>
          <w:lang w:val="en-US"/>
        </w:rPr>
      </w:pPr>
      <w:r w:rsidRPr="00AE029C">
        <w:t>Chapter Two</w:t>
      </w:r>
      <w:r>
        <w:rPr>
          <w:rFonts w:eastAsiaTheme="minorEastAsia"/>
          <w:lang w:val="en-US"/>
        </w:rPr>
        <w:t xml:space="preserve">: </w:t>
      </w:r>
      <w:r w:rsidRPr="00AE029C">
        <w:t>Approaching commodity boycotts, bodywork and the production of race</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47</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One: The commodity boycott as an application of radical and anti-colonial politics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48</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Two: Commodity boycotts as moral consumption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_Toc263510926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56</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Three: The political relationship between ethical consumption and commodity boycotts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_Toc263510927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70</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Four: Boycott types and practices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_Toc263510928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74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Five: Approaching activist bodywork</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_Toc263510929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82</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Six: The production of race</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_Toc263510930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93</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Conclusions: Developing activist bodywork</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_Toc263510931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101</w:t>
      </w:r>
      <w:r w:rsidR="00DF2DF8" w:rsidRPr="00AE029C">
        <w:rPr>
          <w:rFonts w:ascii="Garamond" w:hAnsi="Garamond"/>
          <w:b w:val="0"/>
          <w:noProof/>
        </w:rPr>
        <w:fldChar w:fldCharType="end"/>
      </w:r>
    </w:p>
    <w:p w:rsidR="00AE029C" w:rsidRPr="00AE029C" w:rsidRDefault="00AE029C" w:rsidP="00960766">
      <w:pPr>
        <w:pStyle w:val="TOC1"/>
      </w:pPr>
      <w:r w:rsidRPr="00AE029C">
        <w:t>Chapter Three</w:t>
      </w:r>
      <w:r>
        <w:t xml:space="preserve">: </w:t>
      </w:r>
      <w:r w:rsidRPr="00AE029C">
        <w:t xml:space="preserve">Unmaking appetites for apartheid and creating reflexive whiteness: Boycott Outspan Action and citrus activism (1970-74) </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 "Pers Geen Zuid-Afrikaan uit!" ("Don't Squeeze A South African Dry!")</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105</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Preparing for boycott bodywork: geographies of connecting colonialism, citrus and activism</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122</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Unmaking appetites for Outspan citrus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_Toc263510936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134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Conclusions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_Toc263510937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159</w:t>
      </w:r>
      <w:r w:rsidR="00DF2DF8" w:rsidRPr="00AE029C">
        <w:rPr>
          <w:rFonts w:ascii="Garamond" w:hAnsi="Garamond"/>
          <w:b w:val="0"/>
          <w:noProof/>
        </w:rPr>
        <w:fldChar w:fldCharType="end"/>
      </w:r>
    </w:p>
    <w:p w:rsidR="00AE029C" w:rsidRPr="00AE029C" w:rsidRDefault="00AE029C" w:rsidP="00960766">
      <w:pPr>
        <w:pStyle w:val="TOC1"/>
        <w:rPr>
          <w:rFonts w:eastAsiaTheme="minorEastAsia"/>
          <w:lang w:val="en-US"/>
        </w:rPr>
      </w:pPr>
      <w:r w:rsidRPr="00AE029C">
        <w:t>Chapter Four</w:t>
      </w:r>
      <w:r>
        <w:rPr>
          <w:rFonts w:eastAsiaTheme="minorEastAsia"/>
          <w:lang w:val="en-US"/>
        </w:rPr>
        <w:t xml:space="preserve">: </w:t>
      </w:r>
      <w:r w:rsidRPr="00AE029C">
        <w:t>‘Do you like the taste of children being exploited?’: Chocolate, purity and childhood in Stop The Traffik's bodywork (2006-Present)</w:t>
      </w:r>
      <w:r w:rsidRPr="00AE029C">
        <w:rPr>
          <w:rFonts w:eastAsiaTheme="minorEastAsia"/>
          <w:lang w:val="en-US"/>
        </w:rPr>
        <w:t xml:space="preserve"> </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_Toc263510940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166</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Contextualizing Childhood, Chocolate and Purity in Anti-Trafficking Discourse</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_Toc263510941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167</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Deploying the child-producer topos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_Toc263510942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194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Deploying the child-consumer chocolate topos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_Toc263510943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206</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Situating STT's child-consumer topos with the Tunbridge Wells Fairtrade Town Chocolate Campaign (2007)</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216</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Conclusion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226</w:t>
      </w:r>
      <w:r w:rsidR="00DF2DF8" w:rsidRPr="00AE029C">
        <w:rPr>
          <w:rFonts w:ascii="Garamond" w:hAnsi="Garamond"/>
          <w:b w:val="0"/>
          <w:noProof/>
        </w:rPr>
        <w:fldChar w:fldCharType="end"/>
      </w:r>
    </w:p>
    <w:p w:rsidR="00AE029C" w:rsidRPr="00AE029C" w:rsidRDefault="00AE029C" w:rsidP="00960766">
      <w:pPr>
        <w:pStyle w:val="TOC1"/>
      </w:pPr>
      <w:r w:rsidRPr="00AE029C">
        <w:t>Chapter Five</w:t>
      </w:r>
      <w:r>
        <w:t xml:space="preserve">: </w:t>
      </w:r>
      <w:r w:rsidRPr="00AE029C">
        <w:t xml:space="preserve">The production of race in the bodywork and campaigns of Stop The Traffik (2006-Present) </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_Toc263510948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229</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Racial Assemblages of STT’s Communicative Paradigms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_Toc263510949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232</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lastRenderedPageBreak/>
        <w:t>Intervening in the Political Economy of Cocoa: STT Amsterdam</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_Toc263510950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249</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Conclusions</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_Toc263510951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263</w:t>
      </w:r>
      <w:r w:rsidR="00DF2DF8" w:rsidRPr="00AE029C">
        <w:rPr>
          <w:rFonts w:ascii="Garamond" w:hAnsi="Garamond"/>
          <w:b w:val="0"/>
          <w:noProof/>
        </w:rPr>
        <w:fldChar w:fldCharType="end"/>
      </w:r>
    </w:p>
    <w:p w:rsidR="00AE029C" w:rsidRPr="00AE029C" w:rsidRDefault="00AE029C" w:rsidP="00960766">
      <w:pPr>
        <w:pStyle w:val="TOC1"/>
      </w:pPr>
      <w:r w:rsidRPr="00AE029C">
        <w:t>Chapter Six</w:t>
      </w:r>
      <w:r>
        <w:t xml:space="preserve">: </w:t>
      </w:r>
      <w:r w:rsidRPr="00AE029C">
        <w:t xml:space="preserve">Contesting white migrant identities: the BOA boycott of white migration to South Africa and the apartheid 'war of imagination' (1974-1976) </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265</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Why White Migration?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270</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White migration and the war of representation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_Toc263510956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273</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The BOA's anti-emigration campaign 1974-75: Dismantling the racial assemblages of white migration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_Toc263510957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292</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'Picking the fruits of apartheid': The BOA in the 1974-75 transnational anti-emigration campaign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_Toc263510958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321</w:t>
      </w:r>
      <w:r w:rsidR="00DF2DF8" w:rsidRPr="00AE029C">
        <w:rPr>
          <w:rFonts w:ascii="Garamond" w:hAnsi="Garamond"/>
          <w:b w:val="0"/>
          <w:noProof/>
        </w:rPr>
        <w:fldChar w:fldCharType="end"/>
      </w:r>
    </w:p>
    <w:p w:rsidR="00AE029C" w:rsidRPr="00AE029C" w:rsidRDefault="00AE029C" w:rsidP="00960766">
      <w:pPr>
        <w:pStyle w:val="TOC1"/>
      </w:pPr>
      <w:r w:rsidRPr="00AE029C">
        <w:t>Chapter Seven</w:t>
      </w:r>
      <w:r>
        <w:rPr>
          <w:rFonts w:eastAsiaTheme="minorEastAsia"/>
          <w:lang w:val="en-US"/>
        </w:rPr>
        <w:t xml:space="preserve">: </w:t>
      </w:r>
      <w:r w:rsidRPr="00AE029C">
        <w:rPr>
          <w:i/>
        </w:rPr>
        <w:t>Racism here, apartheid there</w:t>
      </w:r>
      <w:r>
        <w:t>:</w:t>
      </w:r>
      <w:r w:rsidRPr="00AE029C">
        <w:t xml:space="preserve"> The BOA and contesting distanciated and proximate</w:t>
      </w:r>
      <w:r>
        <w:t xml:space="preserve"> racisms</w:t>
      </w:r>
      <w:r w:rsidR="008B61F1">
        <w:t xml:space="preserve"> (1977-1990)</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_Toc263510962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343</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Racism here, apartheid there</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_Toc263510963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346</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Opposing 'maps of grievances' for apartheid: fascism and whole worlds of racism</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_Toc263510964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360</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Grassroots solidarity: the bus caravans, urban campaigns (1977-1990) and international labour</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_Toc263510965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368</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'Workers Of The World United Against Apartheid': SACTU, Labour and Solidarity</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_Toc263510966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389</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Conclusions:</w:t>
      </w:r>
      <w:r w:rsidRPr="00AE029C">
        <w:rPr>
          <w:rFonts w:ascii="Garamond" w:hAnsi="Garamond"/>
          <w:b w:val="0"/>
          <w:noProof/>
          <w:shd w:val="clear" w:color="auto" w:fill="FFFFFF"/>
        </w:rPr>
        <w:t xml:space="preserve"> some thoughts on the BOA's antiracist solidarities and post-racialism</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_Toc263510967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402</w:t>
      </w:r>
      <w:r w:rsidR="00DF2DF8" w:rsidRPr="00AE029C">
        <w:rPr>
          <w:rFonts w:ascii="Garamond" w:hAnsi="Garamond"/>
          <w:b w:val="0"/>
          <w:noProof/>
        </w:rPr>
        <w:fldChar w:fldCharType="end"/>
      </w:r>
    </w:p>
    <w:p w:rsidR="00AE029C" w:rsidRPr="008B61F1" w:rsidRDefault="00AE029C" w:rsidP="00960766">
      <w:pPr>
        <w:pStyle w:val="TOC1"/>
      </w:pPr>
      <w:r w:rsidRPr="00AE029C">
        <w:t>Chapter Eight</w:t>
      </w:r>
      <w:r w:rsidR="008B61F1">
        <w:t xml:space="preserve">: </w:t>
      </w:r>
      <w:r w:rsidRPr="00AE029C">
        <w:t>Conclusions: Consumer boycotts and world-making process</w:t>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Introduction</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_Toc263510970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411</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Boycott Outspan Action: boycotting apartheid and solidarity-making</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_Toc263510971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414</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Stop The Traffik: anti-trafficking fair trade and the politics of globalizing responsibility</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_Toc263510972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417</w:t>
      </w:r>
      <w:r w:rsidR="00DF2DF8" w:rsidRPr="00AE029C">
        <w:rPr>
          <w:rFonts w:ascii="Garamond" w:hAnsi="Garamond"/>
          <w:b w:val="0"/>
          <w:noProof/>
        </w:rPr>
        <w:fldChar w:fldCharType="end"/>
      </w:r>
    </w:p>
    <w:p w:rsidR="00AE029C" w:rsidRPr="00AE029C" w:rsidRDefault="00AE029C">
      <w:pPr>
        <w:pStyle w:val="TOC2"/>
        <w:tabs>
          <w:tab w:val="right" w:leader="dot" w:pos="8290"/>
        </w:tabs>
        <w:rPr>
          <w:rFonts w:ascii="Garamond" w:eastAsiaTheme="minorEastAsia" w:hAnsi="Garamond"/>
          <w:b w:val="0"/>
          <w:noProof/>
          <w:szCs w:val="24"/>
          <w:lang w:val="en-US"/>
        </w:rPr>
      </w:pPr>
      <w:r w:rsidRPr="00AE029C">
        <w:rPr>
          <w:rFonts w:ascii="Garamond" w:hAnsi="Garamond"/>
          <w:b w:val="0"/>
          <w:noProof/>
        </w:rPr>
        <w:t>Expanding understandings of what boycott activists do</w:t>
      </w:r>
      <w:r w:rsidRPr="00AE029C">
        <w:rPr>
          <w:rFonts w:ascii="Garamond" w:hAnsi="Garamond"/>
          <w:b w:val="0"/>
          <w:noProof/>
        </w:rPr>
        <w:tab/>
      </w:r>
      <w:r w:rsidR="00DF2DF8" w:rsidRPr="00AE029C">
        <w:rPr>
          <w:rFonts w:ascii="Garamond" w:hAnsi="Garamond"/>
          <w:b w:val="0"/>
          <w:noProof/>
        </w:rPr>
        <w:fldChar w:fldCharType="begin"/>
      </w:r>
      <w:r w:rsidRPr="00AE029C">
        <w:rPr>
          <w:rFonts w:ascii="Garamond" w:hAnsi="Garamond"/>
          <w:b w:val="0"/>
          <w:noProof/>
        </w:rPr>
        <w:instrText xml:space="preserve"> PAGEREF _Toc263510973 \h </w:instrText>
      </w:r>
      <w:r w:rsidR="00DF2DF8" w:rsidRPr="00AE029C">
        <w:rPr>
          <w:rFonts w:ascii="Garamond" w:hAnsi="Garamond"/>
          <w:b w:val="0"/>
          <w:noProof/>
        </w:rPr>
      </w:r>
      <w:r w:rsidR="00DF2DF8" w:rsidRPr="00AE029C">
        <w:rPr>
          <w:rFonts w:ascii="Garamond" w:hAnsi="Garamond"/>
          <w:b w:val="0"/>
          <w:noProof/>
        </w:rPr>
        <w:fldChar w:fldCharType="separate"/>
      </w:r>
      <w:r w:rsidR="002B3E92">
        <w:rPr>
          <w:rFonts w:ascii="Garamond" w:hAnsi="Garamond"/>
          <w:b w:val="0"/>
          <w:noProof/>
        </w:rPr>
        <w:t>420</w:t>
      </w:r>
      <w:r w:rsidR="00DF2DF8" w:rsidRPr="00AE029C">
        <w:rPr>
          <w:rFonts w:ascii="Garamond" w:hAnsi="Garamond"/>
          <w:b w:val="0"/>
          <w:noProof/>
        </w:rPr>
        <w:fldChar w:fldCharType="end"/>
      </w:r>
    </w:p>
    <w:p w:rsidR="00AE029C" w:rsidRPr="00AE029C" w:rsidRDefault="00AE029C" w:rsidP="00960766">
      <w:pPr>
        <w:pStyle w:val="TOC1"/>
        <w:rPr>
          <w:rFonts w:eastAsiaTheme="minorEastAsia"/>
          <w:lang w:val="en-US"/>
        </w:rPr>
      </w:pPr>
      <w:r w:rsidRPr="00AE029C">
        <w:t>Bibliography</w:t>
      </w:r>
      <w:r w:rsidRPr="00AE029C">
        <w:tab/>
      </w:r>
      <w:r w:rsidR="00DF2DF8" w:rsidRPr="00AE029C">
        <w:fldChar w:fldCharType="begin"/>
      </w:r>
      <w:r w:rsidRPr="00AE029C">
        <w:instrText xml:space="preserve"> PAGEREF _Toc263510974 \h </w:instrText>
      </w:r>
      <w:r w:rsidR="00DF2DF8" w:rsidRPr="00AE029C">
        <w:fldChar w:fldCharType="separate"/>
      </w:r>
      <w:r w:rsidR="002B3E92">
        <w:t>432</w:t>
      </w:r>
      <w:r w:rsidR="00DF2DF8" w:rsidRPr="00AE029C">
        <w:fldChar w:fldCharType="end"/>
      </w:r>
    </w:p>
    <w:p w:rsidR="002C0568" w:rsidRPr="001675F1" w:rsidRDefault="00DF2DF8" w:rsidP="001675F1">
      <w:pPr>
        <w:jc w:val="center"/>
        <w:rPr>
          <w:rFonts w:ascii="Garamond" w:hAnsi="Garamond"/>
          <w:b/>
          <w:sz w:val="28"/>
        </w:rPr>
      </w:pPr>
      <w:r w:rsidRPr="00AE029C">
        <w:rPr>
          <w:rFonts w:ascii="Garamond" w:hAnsi="Garamond"/>
          <w:szCs w:val="24"/>
        </w:rPr>
        <w:fldChar w:fldCharType="end"/>
      </w:r>
    </w:p>
    <w:p w:rsidR="00AE029C" w:rsidRPr="00AE029C" w:rsidRDefault="00AE029C" w:rsidP="00AE029C">
      <w:pPr>
        <w:pStyle w:val="Heading1"/>
        <w:jc w:val="center"/>
        <w:rPr>
          <w:rFonts w:ascii="Garamond" w:hAnsi="Garamond"/>
          <w:color w:val="auto"/>
          <w:sz w:val="28"/>
        </w:rPr>
      </w:pPr>
      <w:bookmarkStart w:id="18" w:name="_Toc263510909"/>
      <w:bookmarkStart w:id="19" w:name="_Toc244453612"/>
      <w:bookmarkStart w:id="20" w:name="_Toc244454129"/>
      <w:bookmarkStart w:id="21" w:name="_Toc244469576"/>
      <w:bookmarkStart w:id="22" w:name="_Toc244508032"/>
      <w:bookmarkStart w:id="23" w:name="_Toc244535726"/>
      <w:bookmarkStart w:id="24" w:name="_Toc244578358"/>
      <w:bookmarkStart w:id="25" w:name="_Toc244578742"/>
      <w:bookmarkStart w:id="26" w:name="_Toc263451991"/>
      <w:r>
        <w:rPr>
          <w:rFonts w:ascii="Garamond" w:hAnsi="Garamond"/>
          <w:color w:val="auto"/>
          <w:sz w:val="28"/>
        </w:rPr>
        <w:br w:type="page"/>
      </w:r>
      <w:r w:rsidRPr="00AE029C">
        <w:rPr>
          <w:rFonts w:ascii="Garamond" w:hAnsi="Garamond"/>
          <w:color w:val="auto"/>
          <w:sz w:val="28"/>
        </w:rPr>
        <w:lastRenderedPageBreak/>
        <w:t>List of Figures</w:t>
      </w:r>
      <w:bookmarkEnd w:id="18"/>
    </w:p>
    <w:p w:rsidR="00AE029C" w:rsidRPr="00AE029C" w:rsidRDefault="00AE029C" w:rsidP="00AE029C">
      <w:pPr>
        <w:rPr>
          <w:rFonts w:ascii="Garamond" w:hAnsi="Garamond"/>
        </w:rPr>
      </w:pPr>
    </w:p>
    <w:p w:rsidR="00AE029C" w:rsidRPr="00AE029C" w:rsidRDefault="00DF2DF8">
      <w:pPr>
        <w:pStyle w:val="TableofFigures"/>
        <w:tabs>
          <w:tab w:val="right" w:leader="dot" w:pos="8290"/>
        </w:tabs>
        <w:rPr>
          <w:rFonts w:ascii="Garamond" w:eastAsiaTheme="minorEastAsia" w:hAnsi="Garamond"/>
          <w:noProof/>
          <w:sz w:val="24"/>
          <w:szCs w:val="24"/>
          <w:lang w:val="en-US"/>
        </w:rPr>
      </w:pPr>
      <w:r w:rsidRPr="00AE029C">
        <w:rPr>
          <w:rFonts w:ascii="Garamond" w:hAnsi="Garamond"/>
        </w:rPr>
        <w:fldChar w:fldCharType="begin"/>
      </w:r>
      <w:r w:rsidR="00AE029C" w:rsidRPr="00AE029C">
        <w:rPr>
          <w:rFonts w:ascii="Garamond" w:hAnsi="Garamond"/>
        </w:rPr>
        <w:instrText xml:space="preserve"> TOC \c "Figure" </w:instrText>
      </w:r>
      <w:r w:rsidRPr="00AE029C">
        <w:rPr>
          <w:rFonts w:ascii="Garamond" w:hAnsi="Garamond"/>
        </w:rPr>
        <w:fldChar w:fldCharType="separate"/>
      </w:r>
      <w:r w:rsidR="00AE029C" w:rsidRPr="00AE029C">
        <w:rPr>
          <w:rFonts w:ascii="Garamond" w:hAnsi="Garamond"/>
          <w:noProof/>
        </w:rPr>
        <w:t>Figure 1: Photograph of Esau du Plessi (holding the Outspan sign) on a reconnaissance mission with Bernard Teillefer in a busy Parisian market during the summer of 1975.</w:t>
      </w:r>
      <w:r w:rsidR="00AE029C" w:rsidRPr="00AE029C">
        <w:rPr>
          <w:rFonts w:ascii="Garamond" w:hAnsi="Garamond"/>
          <w:noProof/>
        </w:rPr>
        <w:tab/>
      </w:r>
      <w:r w:rsidRPr="00AE029C">
        <w:rPr>
          <w:rFonts w:ascii="Garamond" w:hAnsi="Garamond"/>
          <w:noProof/>
        </w:rPr>
        <w:fldChar w:fldCharType="begin"/>
      </w:r>
      <w:r w:rsidR="00AE029C" w:rsidRPr="00AE029C">
        <w:rPr>
          <w:rFonts w:ascii="Garamond" w:hAnsi="Garamond"/>
          <w:noProof/>
        </w:rPr>
        <w:instrText xml:space="preserve"> PAGEREF _Toc263510785 \h </w:instrText>
      </w:r>
      <w:r w:rsidRPr="00AE029C">
        <w:rPr>
          <w:rFonts w:ascii="Garamond" w:hAnsi="Garamond"/>
          <w:noProof/>
        </w:rPr>
      </w:r>
      <w:r w:rsidRPr="00AE029C">
        <w:rPr>
          <w:rFonts w:ascii="Garamond" w:hAnsi="Garamond"/>
          <w:noProof/>
        </w:rPr>
        <w:fldChar w:fldCharType="separate"/>
      </w:r>
      <w:r w:rsidR="002B3E92">
        <w:rPr>
          <w:rFonts w:ascii="Garamond" w:hAnsi="Garamond"/>
          <w:noProof/>
        </w:rPr>
        <w:t>18</w:t>
      </w:r>
      <w:r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 Photograph of author with Esau du Plessis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_Toc263510786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 Photograph of Steve Chalke, founder of Stop the Traffik.</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_Toc263510787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 Illustration of percentage of certified cocoa, 2011. Shows commitments for future conversions by individual chocolate grinding and manufacturing companies (Hutz-Adams and Fountain, 2011: 11).</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_Toc263510788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 Screen Capture of Antonie Fountain.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_Toc263510789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 1880s photograph portrait of Captain Charles Cunningham Boycott.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49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 Photograph of Boston Tea Party Uprising commemorative plaque.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51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 'Boycott British Goods', a collection of Swaraj 'forbidden stamps' from the 1920s and 1930s.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53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 'Cultures of Swadeshi buycotting', photograph of 20 Rupee Certificate of Swadeshi shares from Gujarat, 1910.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53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10: Postage stamp commemorating the life of Sister Nivedita.</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55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11: 'Branded hand' culture jam illustration.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56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12: 'Am i not a man and a brother?', a stoneware Wedgewood antislavery medallion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86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13: 'Barbarities in the West Indies' illustration by James Gillray.</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91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14: Photograph of article in </w:t>
      </w:r>
      <w:r w:rsidRPr="00AE029C">
        <w:rPr>
          <w:rFonts w:ascii="Garamond" w:hAnsi="Garamond"/>
          <w:i/>
          <w:noProof/>
        </w:rPr>
        <w:t>The New International</w:t>
      </w:r>
      <w:r w:rsidRPr="00AE029C">
        <w:rPr>
          <w:rFonts w:ascii="Garamond" w:hAnsi="Garamond"/>
          <w:noProof/>
        </w:rPr>
        <w:t>, July 1976, on the BOA Outspan boycott.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111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15: Photograph of Ruth First with Inspan Girls from the Dutch Antilles and Suriname.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_Toc263510799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112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16: Photograph of anti-apartheid picket outside Barclays Bank, Dublin, 1986.</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114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17: Selection of BOA Posters, 'Don't Squeeze a South African Dry'.</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115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18: Photograph of Esau du Plessi at a press conference in Leiden.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125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19: Right: Photograph of BOA co-founder Karel Roskam (1964). Left: photograph of Roskam's thesis Apartheid and Discrimination.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126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20: Photograph of embellishments made by du Plessis on newspaper reports of conditions in the 'Bantustans'.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129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21: Photograph of anti-apartheid march in Amsterdam, 1964.</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134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lastRenderedPageBreak/>
        <w:t xml:space="preserve">Figure 22: </w:t>
      </w:r>
      <w:r w:rsidRPr="00AE029C">
        <w:rPr>
          <w:rFonts w:ascii="Garamond" w:hAnsi="Garamond"/>
          <w:iCs/>
          <w:noProof/>
        </w:rPr>
        <w:t>Protestactie Comité Zuid-Afrika against Outspan oranges and other South African products in Amsterdam.</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135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23: Photograph of 6d 'Union' pair stamps, 1927.</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136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24: Photograph of Fitzpatrick's Outspan Citrus label.</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139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25: Photograph of Outspan Girls 'In Flower Formation'. Image sourced from Cartwright (1977: 58)</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_Toc263510809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26: Photograph of the multi-ethnic Inspan Girls, 1973.</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27: Photograph of article on Inspan Girls from </w:t>
      </w:r>
      <w:r w:rsidRPr="00AE029C">
        <w:rPr>
          <w:rFonts w:ascii="Garamond" w:hAnsi="Garamond"/>
          <w:i/>
          <w:noProof/>
        </w:rPr>
        <w:t>The New Internationalist,</w:t>
      </w:r>
      <w:r w:rsidRPr="00AE029C">
        <w:rPr>
          <w:rFonts w:ascii="Garamond" w:hAnsi="Garamond"/>
          <w:noProof/>
        </w:rPr>
        <w:t xml:space="preserve"> 1976.</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28: Photograph of article in </w:t>
      </w:r>
      <w:r w:rsidRPr="00AE029C">
        <w:rPr>
          <w:rFonts w:ascii="Garamond" w:hAnsi="Garamond"/>
          <w:i/>
          <w:noProof/>
        </w:rPr>
        <w:t>Oost Groninger Dagblad</w:t>
      </w:r>
      <w:r w:rsidRPr="00AE029C">
        <w:rPr>
          <w:rFonts w:ascii="Garamond" w:hAnsi="Garamond"/>
          <w:noProof/>
        </w:rPr>
        <w:t xml:space="preserve"> in which Inspan Girl, Faith de Haas, is interviewed.</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29: Photograph of article taken from </w:t>
      </w:r>
      <w:r w:rsidRPr="00AE029C">
        <w:rPr>
          <w:rFonts w:ascii="Garamond" w:hAnsi="Garamond"/>
          <w:i/>
          <w:noProof/>
        </w:rPr>
        <w:t>Winschoter Courant</w:t>
      </w:r>
      <w:r w:rsidRPr="00AE029C">
        <w:rPr>
          <w:rFonts w:ascii="Garamond" w:hAnsi="Garamond"/>
          <w:noProof/>
        </w:rPr>
        <w:t>, 9 July 1973.</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30: Photograph of article taken from NRC, May 1973.</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31</w:t>
      </w:r>
      <w:r w:rsidRPr="00AE029C">
        <w:rPr>
          <w:rFonts w:ascii="Garamond" w:hAnsi="Garamond"/>
          <w:noProof/>
          <w:lang w:eastAsia="en-GB"/>
        </w:rPr>
        <w:t>: Citrus Exchange advert from 1971.</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149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32: Photograph of black body-Outspan relationships.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33: BOA Outspan boycott poster.</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34: BOA poster from 1973 depicting famine from the 'Bantustans'.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35: Pre-bodywork BOA anti-Outspan poster, 1972.</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_Toc263510819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36: BOA poster, 1975, adapted from the CAO.</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37: Left: Adhesive stickers, 'Warning! Product of Apartheid'. Right: photograph taken of image from </w:t>
      </w:r>
      <w:r w:rsidRPr="00AE029C">
        <w:rPr>
          <w:rFonts w:ascii="Garamond" w:hAnsi="Garamond"/>
          <w:i/>
          <w:noProof/>
        </w:rPr>
        <w:t>The New Internationalist</w:t>
      </w:r>
      <w:r w:rsidRPr="00AE029C">
        <w:rPr>
          <w:rFonts w:ascii="Garamond" w:hAnsi="Garamond"/>
          <w:noProof/>
        </w:rPr>
        <w:t>, 1976, of ‘contaminated’ orange with sticker.</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157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38: Children in chocolate advertisement posters from the 1880s (UK), 1920s (UK) and 1950s (USA).</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169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39: Pure Origin Chocolates (</w:t>
      </w:r>
      <w:r w:rsidRPr="00AE029C">
        <w:rPr>
          <w:rFonts w:ascii="Garamond" w:hAnsi="Garamond"/>
          <w:i/>
          <w:noProof/>
        </w:rPr>
        <w:t>top left</w:t>
      </w:r>
      <w:r w:rsidRPr="00AE029C">
        <w:rPr>
          <w:rFonts w:ascii="Garamond" w:hAnsi="Garamond"/>
          <w:noProof/>
        </w:rPr>
        <w:t>); 'Pure Cocoa' Cadburys advert from an 1884 medical journal (</w:t>
      </w:r>
      <w:r w:rsidRPr="00AE029C">
        <w:rPr>
          <w:rFonts w:ascii="Garamond" w:hAnsi="Garamond"/>
          <w:i/>
          <w:noProof/>
        </w:rPr>
        <w:t>top right</w:t>
      </w:r>
      <w:r w:rsidRPr="00AE029C">
        <w:rPr>
          <w:rFonts w:ascii="Garamond" w:hAnsi="Garamond"/>
          <w:noProof/>
        </w:rPr>
        <w:t>); the sensual qualities of darkness in a 1935 'Black Magic' advertising poster (</w:t>
      </w:r>
      <w:r w:rsidRPr="00AE029C">
        <w:rPr>
          <w:rFonts w:ascii="Garamond" w:hAnsi="Garamond"/>
          <w:i/>
          <w:noProof/>
        </w:rPr>
        <w:t>bottom</w:t>
      </w:r>
      <w:r w:rsidRPr="00AE029C">
        <w:rPr>
          <w:rFonts w:ascii="Garamond" w:hAnsi="Garamond"/>
          <w:noProof/>
        </w:rPr>
        <w: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171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40: STT leaflet, 2011. 'You don't have to eat this chocolate for it to make you feel sick'.</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180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41</w:t>
      </w:r>
      <w:r w:rsidRPr="00AE029C">
        <w:rPr>
          <w:rFonts w:ascii="Garamond" w:hAnsi="Garamond" w:cs="Times New Roman"/>
          <w:noProof/>
        </w:rPr>
        <w:t>: Photograph of cardboard cut-outs for the Verkade and Kinder Campaigns on The Plein outside the Dutch parliament in The Hague on December 17th, 2007.</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184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42: STT Amsterdam ad-busting logos: “the children of Verkade” and “child labour?”.</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184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43: </w:t>
      </w:r>
      <w:r w:rsidRPr="00AE029C">
        <w:rPr>
          <w:rFonts w:ascii="Garamond" w:hAnsi="Garamond" w:cs="Times New Roman"/>
          <w:noProof/>
        </w:rPr>
        <w:t>Map from STT's website (September, 2013) that demonstrates Globalizing' responsibility for trafficking.</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187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44: </w:t>
      </w:r>
      <w:r w:rsidRPr="00AE029C">
        <w:rPr>
          <w:rFonts w:ascii="Garamond" w:eastAsia="Times New Roman" w:hAnsi="Garamond" w:cs="Times New Roman"/>
          <w:noProof/>
          <w:shd w:val="clear" w:color="auto" w:fill="FFFFFF"/>
          <w:lang w:eastAsia="en-GB"/>
        </w:rPr>
        <w:t>Map from STT’s website that illustrates their 'global' chocolate campaigns.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188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lastRenderedPageBreak/>
        <w:t>Figure 45</w:t>
      </w:r>
      <w:r w:rsidRPr="00AE029C">
        <w:rPr>
          <w:rFonts w:ascii="Garamond" w:hAnsi="Garamond" w:cs="Times New Roman"/>
          <w:noProof/>
        </w:rPr>
        <w:t>: STT campaign material, ‘When you each chocolate, you eat my flesh’.</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_Toc263510829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195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46: </w:t>
      </w:r>
      <w:r w:rsidRPr="00AE029C">
        <w:rPr>
          <w:rFonts w:ascii="Garamond" w:hAnsi="Garamond"/>
          <w:noProof/>
          <w:lang w:eastAsia="en-GB"/>
        </w:rPr>
        <w:t xml:space="preserve">Illustration from </w:t>
      </w:r>
      <w:r w:rsidRPr="00AE029C">
        <w:rPr>
          <w:rFonts w:ascii="Garamond" w:hAnsi="Garamond"/>
          <w:i/>
          <w:noProof/>
          <w:lang w:eastAsia="en-GB"/>
        </w:rPr>
        <w:t xml:space="preserve">Chocolate Chaga </w:t>
      </w:r>
      <w:r w:rsidRPr="00AE029C">
        <w:rPr>
          <w:rFonts w:ascii="Garamond" w:hAnsi="Garamond"/>
          <w:noProof/>
          <w:lang w:eastAsia="en-GB"/>
        </w:rPr>
        <w:t>(Hartman, 2006) on the STT website.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202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47: </w:t>
      </w:r>
      <w:r w:rsidRPr="00AE029C">
        <w:rPr>
          <w:rFonts w:ascii="Garamond" w:hAnsi="Garamond" w:cs="Times New Roman"/>
          <w:noProof/>
        </w:rPr>
        <w:t xml:space="preserve">Image of extract from </w:t>
      </w:r>
      <w:r w:rsidRPr="00AE029C">
        <w:rPr>
          <w:rFonts w:ascii="Garamond" w:hAnsi="Garamond"/>
          <w:i/>
          <w:iCs/>
          <w:noProof/>
          <w:bdr w:val="none" w:sz="0" w:space="0" w:color="auto" w:frame="1"/>
          <w:shd w:val="clear" w:color="auto" w:fill="FFFFFF"/>
        </w:rPr>
        <w:t>The Memoirs of Granville Sharp</w:t>
      </w:r>
      <w:r w:rsidRPr="00AE029C">
        <w:rPr>
          <w:rFonts w:ascii="Garamond" w:hAnsi="Garamond"/>
          <w:noProof/>
          <w:shd w:val="clear" w:color="auto" w:fill="FFFFFF"/>
        </w:rPr>
        <w:t> (1820: 7).</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205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48: Image of STT campaign material ‘Crush the cocoa trade traffickers. Hold a giant fondue party.’</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207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49</w:t>
      </w:r>
      <w:r w:rsidRPr="00AE029C">
        <w:rPr>
          <w:rFonts w:ascii="Garamond" w:hAnsi="Garamond" w:cs="Times New Roman"/>
          <w:noProof/>
        </w:rPr>
        <w:t>: Stop The Traffik (Nottingham University group header) with the STT hand mortise key logo.</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210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50: </w:t>
      </w:r>
      <w:r w:rsidRPr="00AE029C">
        <w:rPr>
          <w:rFonts w:ascii="Garamond" w:hAnsi="Garamond" w:cs="Times New Roman"/>
          <w:noProof/>
        </w:rPr>
        <w:t>Photographs of branding anti-trafficking through celebrity embodiments of the STT 'end slavery, turn the key, free the slaves' logo.</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211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51: </w:t>
      </w:r>
      <w:r w:rsidRPr="00AE029C">
        <w:rPr>
          <w:rFonts w:ascii="Garamond" w:hAnsi="Garamond" w:cs="Times New Roman"/>
          <w:noProof/>
        </w:rPr>
        <w:t>Left, plaque commemorating ‘Fairtrade Town’ status for Tunbridge Wells in Kent. Right, Tunbridge Wells’ Caverley shopping precinct adorned with fair trade cotton flags.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216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52</w:t>
      </w:r>
      <w:r w:rsidRPr="00AE029C">
        <w:rPr>
          <w:rFonts w:ascii="Garamond" w:hAnsi="Garamond" w:cs="Times New Roman"/>
          <w:noProof/>
        </w:rPr>
        <w:t>: Photograph of art installation co-ordinated by artist Julian Rowe of the Tunbridge Wells Fairtrade Town steering committee (2006).</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218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53: Image of STT Easter Egg Poster.</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219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54: Fairtrade Town art installation in Tunbridge Wells, 2007.</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222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55: </w:t>
      </w:r>
      <w:r w:rsidRPr="00AE029C">
        <w:rPr>
          <w:rFonts w:ascii="Garamond" w:hAnsi="Garamond" w:cs="Times New Roman"/>
          <w:noProof/>
        </w:rPr>
        <w:t>Selection of photographs of painted eggs hung in trees by students in STT participating schools.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_Toc263510839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223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56: Photograph of students from a Tunbridge Wells primary school holding up the </w:t>
      </w:r>
      <w:r w:rsidRPr="00AE029C">
        <w:rPr>
          <w:rFonts w:ascii="Garamond" w:hAnsi="Garamond" w:cs="Arial"/>
          <w:noProof/>
        </w:rPr>
        <w:t>papier-mâché Easter eggs.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223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57: </w:t>
      </w:r>
      <w:r w:rsidRPr="00AE029C">
        <w:rPr>
          <w:rFonts w:ascii="Garamond" w:hAnsi="Garamond" w:cs="Times New Roman"/>
          <w:noProof/>
        </w:rPr>
        <w:t>Left: STT leaflet, 2010. Right: the reverse side of the leaflet: The Dark Side of Chocolate.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237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58: Photograph of peaceful crowds fleeing gunfire from South African Police at Sharpeville, 21 March 1960.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59: Photograph of police assaulting men, women and children at Sharpeville after Sabre aircraft were used to 'buzz' and disperse the 20,000 protesters, 21 March 1960.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60: "Recollections of Sharpeville": watercolour painting by Gerard Sekoto.</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61: Photograph of the Sharpville massacre by Corbis.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62: 1970s British anti-apartheid sports boycott poster drawing on brutal iconography from Sharpeville.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63: Advertisements in the Dutch press for immigrant white labour in Dutch press Trouw 19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279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64: A South African Immigration Department investment advert placed in </w:t>
      </w:r>
      <w:r w:rsidRPr="00AE029C">
        <w:rPr>
          <w:rFonts w:ascii="Garamond" w:hAnsi="Garamond"/>
          <w:i/>
          <w:noProof/>
        </w:rPr>
        <w:t>The Economist</w:t>
      </w:r>
      <w:r w:rsidRPr="00AE029C">
        <w:rPr>
          <w:rFonts w:ascii="Garamond" w:hAnsi="Garamond"/>
          <w:noProof/>
        </w:rPr>
        <w:t>, 17 April, 1974.</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65: UK corporate advertising for computer programmers for the South African operations of the multinational, Anglo American Insurance Holding LTD, 1980.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_Toc263510849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lastRenderedPageBreak/>
        <w:t>Figure 66: IBM advert from the BOA quarterly magazine,</w:t>
      </w:r>
      <w:r w:rsidRPr="00AE029C">
        <w:rPr>
          <w:rFonts w:ascii="Garamond" w:hAnsi="Garamond"/>
          <w:i/>
          <w:noProof/>
        </w:rPr>
        <w:t xml:space="preserve"> Perspektief</w:t>
      </w:r>
      <w:r w:rsidRPr="00AE029C">
        <w:rPr>
          <w:rFonts w:ascii="Garamond" w:hAnsi="Garamond"/>
          <w:noProof/>
        </w:rPr>
        <w:t>, 1980.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67: Image of data from Dutch Ecumenical Exchange in White Migration to South Africa stating professions of Migrants 1970-72.</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68: Image of data of Dutch Emigration to South Africa 1948-73.</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69: Photograph of article from </w:t>
      </w:r>
      <w:r w:rsidRPr="00AE029C">
        <w:rPr>
          <w:rFonts w:ascii="Garamond" w:hAnsi="Garamond"/>
          <w:i/>
          <w:noProof/>
        </w:rPr>
        <w:t xml:space="preserve">The Hervormd Nederland </w:t>
      </w:r>
      <w:r w:rsidRPr="00AE029C">
        <w:rPr>
          <w:rFonts w:ascii="Garamond" w:hAnsi="Garamond"/>
          <w:noProof/>
        </w:rPr>
        <w:t>(The Reformed Netherlands), 22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70: Photograph of article from</w:t>
      </w:r>
      <w:r w:rsidRPr="00AE029C">
        <w:rPr>
          <w:rFonts w:ascii="Garamond" w:hAnsi="Garamond"/>
          <w:i/>
          <w:noProof/>
        </w:rPr>
        <w:t xml:space="preserve"> De Volskrant </w:t>
      </w:r>
      <w:r w:rsidRPr="00AE029C">
        <w:rPr>
          <w:rFonts w:ascii="Garamond" w:hAnsi="Garamond"/>
          <w:noProof/>
        </w:rPr>
        <w:t>(The Peoples Paper), 20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71: Photograph of image and text reproduced in </w:t>
      </w:r>
      <w:r w:rsidRPr="00AE029C">
        <w:rPr>
          <w:rFonts w:ascii="Garamond" w:hAnsi="Garamond"/>
          <w:i/>
          <w:noProof/>
        </w:rPr>
        <w:t>Utrecht News</w:t>
      </w:r>
      <w:r w:rsidRPr="00AE029C">
        <w:rPr>
          <w:rFonts w:ascii="Garamond" w:hAnsi="Garamond"/>
          <w:noProof/>
        </w:rPr>
        <w:t xml:space="preserve"> and several other regional and national Dutch dailies on 20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72: Photograph of article in </w:t>
      </w:r>
      <w:r w:rsidRPr="00AE029C">
        <w:rPr>
          <w:rFonts w:ascii="Garamond" w:hAnsi="Garamond"/>
          <w:i/>
          <w:noProof/>
        </w:rPr>
        <w:t>Trouw</w:t>
      </w:r>
      <w:r w:rsidRPr="00AE029C">
        <w:rPr>
          <w:rFonts w:ascii="Garamond" w:hAnsi="Garamond"/>
          <w:noProof/>
        </w:rPr>
        <w:t>, 20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73: Photograph of article in </w:t>
      </w:r>
      <w:r w:rsidRPr="00AE029C">
        <w:rPr>
          <w:rFonts w:ascii="Garamond" w:hAnsi="Garamond"/>
          <w:i/>
          <w:noProof/>
        </w:rPr>
        <w:t>Het Vrije Volk,</w:t>
      </w:r>
      <w:r w:rsidRPr="00AE029C">
        <w:rPr>
          <w:rFonts w:ascii="Garamond" w:hAnsi="Garamond"/>
          <w:noProof/>
        </w:rPr>
        <w:t xml:space="preserve"> 20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74: Photograph of </w:t>
      </w:r>
      <w:r w:rsidRPr="00AE029C">
        <w:rPr>
          <w:rFonts w:ascii="Garamond" w:hAnsi="Garamond"/>
          <w:noProof/>
          <w:lang w:val="de-CH"/>
        </w:rPr>
        <w:t>Karel Roskam's Poster (Dutch version).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75: English translation of Roskam's Poster, as presented in Dutch on VARA TV.</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_Toc263510859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305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76: Front cover of BOA booklet by van Kaam and du Plessis,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313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77: Photograph of reprinted BOA poster in </w:t>
      </w:r>
      <w:r w:rsidRPr="00AE029C">
        <w:rPr>
          <w:rFonts w:ascii="Garamond" w:hAnsi="Garamond"/>
          <w:i/>
          <w:noProof/>
        </w:rPr>
        <w:t>Trouw</w:t>
      </w:r>
      <w:r w:rsidRPr="00AE029C">
        <w:rPr>
          <w:rFonts w:ascii="Garamond" w:hAnsi="Garamond"/>
          <w:noProof/>
        </w:rPr>
        <w:t>, 21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313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78: BOA Anti-emigration posters reprinted in Dutch press on the 15th Sharpeville anniversary, 21 March 1975.</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313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79: 1980s South African police poster depicting the 'black communist terror threat'.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314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80: Illustrated cartoon poster by Willem van Manen, 1980.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360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81: BOA satirical cartoon ‘Mine was a majority regime’ created by Willem van Manen in 1988.</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366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82: Photograph of du Plessis speaking during a 1976 visit to Beverwijk</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83: Photograph of BOA school campaign Leiden, 1976.</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84: Photograph of the BOA Bus Caravan.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85: Photograph of BOA activists Rita Isaacs-Jonathan and Esau du Plessis at a 1977 bus tour event in Leiden.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_Toc263510869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86: 1979 poster advertising the programme and activities for the BOA's first urban campaign, Leiden Against Apartheid.</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87: Photograph of De Waag, the seventeenth century weighing house, or Leiden Corn Exchange.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88: Photograph from the art exhibition in De Waag during the BOA's union solidarity action-week against apartheid in 1982.</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379</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 xml:space="preserve">Figure 89: Pairing front covers to </w:t>
      </w:r>
      <w:r w:rsidRPr="00AE029C">
        <w:rPr>
          <w:rFonts w:ascii="Garamond" w:hAnsi="Garamond"/>
          <w:i/>
          <w:noProof/>
        </w:rPr>
        <w:t>Writers Against Apartheid</w:t>
      </w:r>
      <w:r w:rsidRPr="00AE029C">
        <w:rPr>
          <w:rFonts w:ascii="Garamond" w:hAnsi="Garamond"/>
          <w:noProof/>
        </w:rPr>
        <w:t xml:space="preserve"> (1979).</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lastRenderedPageBreak/>
        <w:t>Figure 90: Photograph of the ‘Writers Against Apartheid' (Manuel Kneepkens on left) protesting outside the South African Embassy, 1982.</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91: Transnational anti-apartheid music poster for musian Brian Isaacs, “A South African artist against apartheid" (1979).</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92: Photograph of Leiden BOA office window displaying a selection of BOA posters during the 1979 urban campaign.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381</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93: 'Artists Against Apartheid' poster 1985 by the BOA and Gavin Jantjes.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382</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94: Regional map of Tanzania showing ANC centres across the country.</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384</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95: Photograph of entrance to the Solomon Mahlangu Campus in Mazimbu, Tanzania.</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_Toc263510879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385</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96: Photograph of FNV Against Apartheid</w:t>
      </w:r>
      <w:r w:rsidRPr="00AE029C">
        <w:rPr>
          <w:rFonts w:ascii="Garamond" w:eastAsia="Arial Unicode MS" w:hAnsi="Garamond"/>
          <w:noProof/>
          <w:shd w:val="clear" w:color="auto" w:fill="FFFFFF"/>
        </w:rPr>
        <w: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97</w:t>
      </w:r>
      <w:r w:rsidRPr="00AE029C">
        <w:rPr>
          <w:rFonts w:ascii="Garamond" w:hAnsi="Garamond"/>
          <w:noProof/>
          <w:shd w:val="clear" w:color="auto" w:fill="FFFFFF"/>
        </w:rPr>
        <w:t>: Left, 1978 FNV poster: "Apartheid: Solidarity Against Vorster". Right, 1978 newspaper advert: "With the FNV against apartheid".</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386</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98: Recruitment Poster for the Urban Campaigns. Boycot Outspan Atkie, Leiden, 1980.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_Toc263510882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387</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99: Left, BOA poster, 'Proletarians of all countries united against apartheid'. Right, SACTU poster, '</w:t>
      </w:r>
      <w:r w:rsidRPr="00AE029C">
        <w:rPr>
          <w:rFonts w:ascii="Garamond" w:hAnsi="Garamond"/>
          <w:iCs/>
          <w:noProof/>
        </w:rPr>
        <w:t>An injury to one is an injury to all'.</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390</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100: The exiled president of SACTU, Stephen Dhlamini (left) and du Plessis  in conversation during the BOA International Trade Unions Conference Leiden , ‘Workers of the World United Against Apartheid’. 9-7 October 1977.</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393</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101: Photograph of SACTU delegate James Phillips speaking at BOA Congress in Leiden, 1972.</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398</w:t>
      </w:r>
      <w:r w:rsidR="00DF2DF8" w:rsidRPr="00AE029C">
        <w:rPr>
          <w:rFonts w:ascii="Garamond" w:hAnsi="Garamond"/>
          <w:noProof/>
        </w:rPr>
        <w:fldChar w:fldCharType="end"/>
      </w:r>
    </w:p>
    <w:p w:rsidR="00AE029C" w:rsidRPr="00AE029C" w:rsidRDefault="00AE029C">
      <w:pPr>
        <w:pStyle w:val="TableofFigures"/>
        <w:tabs>
          <w:tab w:val="right" w:leader="dot" w:pos="8290"/>
        </w:tabs>
        <w:rPr>
          <w:rFonts w:ascii="Garamond" w:eastAsiaTheme="minorEastAsia" w:hAnsi="Garamond"/>
          <w:noProof/>
          <w:sz w:val="24"/>
          <w:szCs w:val="24"/>
          <w:lang w:val="en-US"/>
        </w:rPr>
      </w:pPr>
      <w:r w:rsidRPr="00AE029C">
        <w:rPr>
          <w:rFonts w:ascii="Garamond" w:hAnsi="Garamond"/>
          <w:noProof/>
        </w:rPr>
        <w:t>Figure 102</w:t>
      </w:r>
      <w:r w:rsidRPr="00AE029C">
        <w:rPr>
          <w:rFonts w:ascii="Garamond" w:hAnsi="Garamond" w:cs="Times New Roman"/>
          <w:noProof/>
        </w:rPr>
        <w:t>: Photograph of table showing categories and examples of emotions in social movements.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_Toc263510886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428</w:t>
      </w:r>
      <w:r w:rsidR="00DF2DF8" w:rsidRPr="00AE029C">
        <w:rPr>
          <w:rFonts w:ascii="Garamond" w:hAnsi="Garamond"/>
          <w:noProof/>
        </w:rPr>
        <w:fldChar w:fldCharType="end"/>
      </w:r>
    </w:p>
    <w:p w:rsidR="00AE029C" w:rsidRDefault="00DF2DF8" w:rsidP="00AE029C">
      <w:r w:rsidRPr="00AE029C">
        <w:rPr>
          <w:rFonts w:ascii="Garamond" w:hAnsi="Garamond"/>
        </w:rPr>
        <w:fldChar w:fldCharType="end"/>
      </w:r>
    </w:p>
    <w:p w:rsidR="00AE029C" w:rsidRDefault="00AE029C" w:rsidP="00AE029C">
      <w:r>
        <w:br w:type="page"/>
      </w:r>
    </w:p>
    <w:p w:rsidR="00AE029C" w:rsidRPr="00AE029C" w:rsidRDefault="00AE029C" w:rsidP="00AE029C">
      <w:pPr>
        <w:jc w:val="center"/>
        <w:rPr>
          <w:rFonts w:ascii="Garamond" w:hAnsi="Garamond"/>
          <w:b/>
        </w:rPr>
      </w:pPr>
      <w:r w:rsidRPr="00AE029C">
        <w:rPr>
          <w:rFonts w:ascii="Garamond" w:hAnsi="Garamond"/>
          <w:b/>
        </w:rPr>
        <w:t>List of Tables</w:t>
      </w:r>
    </w:p>
    <w:p w:rsidR="00AE029C" w:rsidRPr="00AE029C" w:rsidRDefault="00AE029C" w:rsidP="00AE029C">
      <w:pPr>
        <w:jc w:val="center"/>
        <w:rPr>
          <w:rFonts w:ascii="Garamond" w:hAnsi="Garamond"/>
          <w:b/>
        </w:rPr>
      </w:pPr>
    </w:p>
    <w:p w:rsidR="00AE029C" w:rsidRPr="00AE029C" w:rsidRDefault="00DF2DF8" w:rsidP="00AE029C">
      <w:pPr>
        <w:pStyle w:val="TableofFigures"/>
        <w:tabs>
          <w:tab w:val="right" w:leader="dot" w:pos="8290"/>
        </w:tabs>
        <w:rPr>
          <w:rFonts w:ascii="Garamond" w:eastAsiaTheme="minorEastAsia" w:hAnsi="Garamond"/>
          <w:noProof/>
          <w:szCs w:val="24"/>
          <w:lang w:val="en-US"/>
        </w:rPr>
      </w:pPr>
      <w:r w:rsidRPr="00AE029C">
        <w:rPr>
          <w:rFonts w:ascii="Garamond" w:hAnsi="Garamond"/>
          <w:szCs w:val="24"/>
        </w:rPr>
        <w:fldChar w:fldCharType="begin"/>
      </w:r>
      <w:r w:rsidR="00AE029C" w:rsidRPr="00AE029C">
        <w:rPr>
          <w:rFonts w:ascii="Garamond" w:hAnsi="Garamond"/>
          <w:szCs w:val="24"/>
        </w:rPr>
        <w:instrText xml:space="preserve"> TOC \c "Table" </w:instrText>
      </w:r>
      <w:r w:rsidRPr="00AE029C">
        <w:rPr>
          <w:rFonts w:ascii="Garamond" w:hAnsi="Garamond"/>
          <w:szCs w:val="24"/>
        </w:rPr>
        <w:fldChar w:fldCharType="separate"/>
      </w:r>
      <w:r w:rsidR="00AE029C" w:rsidRPr="00AE029C">
        <w:rPr>
          <w:rFonts w:ascii="Garamond" w:hAnsi="Garamond"/>
          <w:noProof/>
        </w:rPr>
        <w:t>Table 1: Taxonomy of commodity boycott emotions and embodiments.</w:t>
      </w:r>
      <w:r w:rsidR="00AE029C" w:rsidRPr="00AE029C">
        <w:rPr>
          <w:rFonts w:ascii="Garamond" w:hAnsi="Garamond"/>
          <w:noProof/>
        </w:rPr>
        <w:tab/>
      </w:r>
      <w:r w:rsidRPr="00AE029C">
        <w:rPr>
          <w:rFonts w:ascii="Garamond" w:hAnsi="Garamond"/>
          <w:noProof/>
        </w:rPr>
        <w:fldChar w:fldCharType="begin"/>
      </w:r>
      <w:r w:rsidR="00AE029C" w:rsidRPr="00AE029C">
        <w:rPr>
          <w:rFonts w:ascii="Garamond" w:hAnsi="Garamond"/>
          <w:noProof/>
        </w:rPr>
        <w:instrText xml:space="preserve"> PAGEREF _Toc244578422 \h </w:instrText>
      </w:r>
      <w:r w:rsidRPr="00AE029C">
        <w:rPr>
          <w:rFonts w:ascii="Garamond" w:hAnsi="Garamond"/>
          <w:noProof/>
        </w:rPr>
      </w:r>
      <w:r w:rsidRPr="00AE029C">
        <w:rPr>
          <w:rFonts w:ascii="Garamond" w:hAnsi="Garamond"/>
          <w:noProof/>
        </w:rPr>
        <w:fldChar w:fldCharType="separate"/>
      </w:r>
      <w:r w:rsidR="002B3E92">
        <w:rPr>
          <w:rFonts w:ascii="Garamond" w:hAnsi="Garamond"/>
          <w:noProof/>
        </w:rPr>
        <w:t>14</w:t>
      </w:r>
      <w:r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2: BOA interviews: names, dates and locations.</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_Toc244578423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22</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3: Constructing an oral history.</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_Toc244578424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23</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 xml:space="preserve">Table 4: </w:t>
      </w:r>
      <w:r w:rsidRPr="00AE029C">
        <w:rPr>
          <w:rFonts w:ascii="Garamond" w:hAnsi="Garamond" w:cs="Tahoma"/>
          <w:noProof/>
          <w:shd w:val="clear" w:color="auto" w:fill="FFFFFF"/>
        </w:rPr>
        <w:t>Structured interview questions for Ruth Dearnley and Steve Chalke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_Toc244578425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32</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5</w:t>
      </w:r>
      <w:r w:rsidRPr="00AE029C">
        <w:rPr>
          <w:rFonts w:ascii="Garamond" w:hAnsi="Garamond" w:cs="Times New Roman"/>
          <w:noProof/>
        </w:rPr>
        <w:t>: Chronology of interview process with STT..</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_Toc244578426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33</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6: Global Cocoa Production 2007-2010.</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_Toc244578427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174</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7: Chocolate certification scheme structures in the Côte D’Ivoire.</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_Toc244578428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175</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8</w:t>
      </w:r>
      <w:r w:rsidRPr="00AE029C">
        <w:rPr>
          <w:rFonts w:ascii="Garamond" w:hAnsi="Garamond" w:cs="Times New Roman"/>
          <w:noProof/>
        </w:rPr>
        <w:t>: ACT: Outreach and research in London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_Toc244578429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244</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 xml:space="preserve">Table 9: Advert in </w:t>
      </w:r>
      <w:r w:rsidRPr="00AE029C">
        <w:rPr>
          <w:rFonts w:ascii="Garamond" w:hAnsi="Garamond"/>
          <w:i/>
          <w:noProof/>
        </w:rPr>
        <w:t xml:space="preserve">The Royal African Society </w:t>
      </w:r>
      <w:r w:rsidRPr="00AE029C">
        <w:rPr>
          <w:rFonts w:ascii="Garamond" w:hAnsi="Garamond"/>
          <w:noProof/>
        </w:rPr>
        <w:t>for white tourism.</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_Toc244578430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282</w:t>
      </w:r>
      <w:r w:rsidR="00DF2DF8" w:rsidRPr="00AE029C">
        <w:rPr>
          <w:rFonts w:ascii="Garamond" w:hAnsi="Garamond"/>
          <w:noProof/>
        </w:rPr>
        <w:fldChar w:fldCharType="end"/>
      </w:r>
    </w:p>
    <w:p w:rsidR="00AE029C" w:rsidRPr="00AE029C" w:rsidRDefault="00AE029C" w:rsidP="00AE029C">
      <w:pPr>
        <w:pStyle w:val="TableofFigures"/>
        <w:tabs>
          <w:tab w:val="right" w:leader="dot" w:pos="8290"/>
        </w:tabs>
        <w:rPr>
          <w:rFonts w:ascii="Garamond" w:eastAsiaTheme="minorEastAsia" w:hAnsi="Garamond"/>
          <w:noProof/>
          <w:szCs w:val="24"/>
          <w:lang w:val="en-US"/>
        </w:rPr>
      </w:pPr>
      <w:r w:rsidRPr="00AE029C">
        <w:rPr>
          <w:rFonts w:ascii="Garamond" w:hAnsi="Garamond"/>
          <w:noProof/>
        </w:rPr>
        <w:t>Table 10:</w:t>
      </w:r>
      <w:r w:rsidRPr="00AE029C">
        <w:rPr>
          <w:rFonts w:ascii="Garamond" w:hAnsi="Garamond"/>
          <w:iCs/>
          <w:noProof/>
        </w:rPr>
        <w:t>Southern Africa: Immigration from Britain</w:t>
      </w:r>
      <w:r w:rsidRPr="00AE029C">
        <w:rPr>
          <w:rFonts w:ascii="Garamond" w:hAnsi="Garamond"/>
          <w:noProof/>
        </w:rPr>
        <w:tab/>
      </w:r>
      <w:r w:rsidR="00DF2DF8" w:rsidRPr="00AE029C">
        <w:rPr>
          <w:rFonts w:ascii="Garamond" w:hAnsi="Garamond"/>
          <w:noProof/>
        </w:rPr>
        <w:fldChar w:fldCharType="begin"/>
      </w:r>
      <w:r w:rsidRPr="00AE029C">
        <w:rPr>
          <w:rFonts w:ascii="Garamond" w:hAnsi="Garamond"/>
          <w:noProof/>
        </w:rPr>
        <w:instrText xml:space="preserve"> PAGEREF _Toc244578431 \h </w:instrText>
      </w:r>
      <w:r w:rsidR="00DF2DF8" w:rsidRPr="00AE029C">
        <w:rPr>
          <w:rFonts w:ascii="Garamond" w:hAnsi="Garamond"/>
          <w:noProof/>
        </w:rPr>
      </w:r>
      <w:r w:rsidR="00DF2DF8" w:rsidRPr="00AE029C">
        <w:rPr>
          <w:rFonts w:ascii="Garamond" w:hAnsi="Garamond"/>
          <w:noProof/>
        </w:rPr>
        <w:fldChar w:fldCharType="separate"/>
      </w:r>
      <w:r w:rsidR="002B3E92">
        <w:rPr>
          <w:rFonts w:ascii="Garamond" w:hAnsi="Garamond"/>
          <w:noProof/>
        </w:rPr>
        <w:t>286</w:t>
      </w:r>
      <w:r w:rsidR="00DF2DF8" w:rsidRPr="00AE029C">
        <w:rPr>
          <w:rFonts w:ascii="Garamond" w:hAnsi="Garamond"/>
          <w:noProof/>
        </w:rPr>
        <w:fldChar w:fldCharType="end"/>
      </w:r>
    </w:p>
    <w:p w:rsidR="00AE029C" w:rsidRPr="002049D4" w:rsidRDefault="00DF2DF8" w:rsidP="00AE029C">
      <w:pPr>
        <w:jc w:val="center"/>
        <w:rPr>
          <w:rFonts w:ascii="Garamond" w:hAnsi="Garamond"/>
          <w:b/>
          <w:sz w:val="28"/>
        </w:rPr>
      </w:pPr>
      <w:r w:rsidRPr="00AE029C">
        <w:rPr>
          <w:rFonts w:ascii="Garamond" w:hAnsi="Garamond"/>
          <w:szCs w:val="24"/>
        </w:rPr>
        <w:fldChar w:fldCharType="end"/>
      </w:r>
    </w:p>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p w:rsidR="00AE029C" w:rsidRDefault="00AE029C" w:rsidP="00AE029C"/>
    <w:bookmarkEnd w:id="19"/>
    <w:bookmarkEnd w:id="20"/>
    <w:bookmarkEnd w:id="21"/>
    <w:bookmarkEnd w:id="22"/>
    <w:bookmarkEnd w:id="23"/>
    <w:bookmarkEnd w:id="24"/>
    <w:bookmarkEnd w:id="25"/>
    <w:bookmarkEnd w:id="26"/>
    <w:p w:rsidR="00AD306C" w:rsidRPr="00AE029C" w:rsidRDefault="00AD306C" w:rsidP="00AE029C">
      <w:pPr>
        <w:rPr>
          <w:rFonts w:ascii="Garamond" w:hAnsi="Garamond"/>
          <w:b/>
          <w:sz w:val="28"/>
        </w:rPr>
        <w:sectPr w:rsidR="00AD306C" w:rsidRPr="00AE029C">
          <w:pgSz w:w="11900" w:h="16840"/>
          <w:pgMar w:top="1440" w:right="1800" w:bottom="1440" w:left="1800" w:header="708" w:footer="708" w:gutter="0"/>
          <w:pgNumType w:fmt="lowerRoman"/>
          <w:cols w:space="708"/>
        </w:sectPr>
      </w:pPr>
    </w:p>
    <w:p w:rsidR="001675F1" w:rsidRDefault="00AD306C" w:rsidP="00AE029C">
      <w:pPr>
        <w:pStyle w:val="Heading1"/>
        <w:jc w:val="center"/>
        <w:rPr>
          <w:rFonts w:ascii="Garamond" w:hAnsi="Garamond"/>
          <w:color w:val="auto"/>
          <w:sz w:val="28"/>
        </w:rPr>
      </w:pPr>
      <w:bookmarkStart w:id="27" w:name="_Toc244453613"/>
      <w:bookmarkStart w:id="28" w:name="_Toc244454130"/>
      <w:bookmarkStart w:id="29" w:name="_Toc244469577"/>
      <w:bookmarkStart w:id="30" w:name="_Toc244508033"/>
      <w:bookmarkStart w:id="31" w:name="_Toc244535727"/>
      <w:bookmarkStart w:id="32" w:name="_Toc244578359"/>
      <w:bookmarkStart w:id="33" w:name="_Toc244578743"/>
      <w:bookmarkStart w:id="34" w:name="_Toc263451992"/>
      <w:bookmarkStart w:id="35" w:name="_Toc263510910"/>
      <w:r w:rsidRPr="002049D4">
        <w:rPr>
          <w:rFonts w:ascii="Garamond" w:hAnsi="Garamond"/>
          <w:color w:val="auto"/>
          <w:sz w:val="28"/>
        </w:rPr>
        <w:lastRenderedPageBreak/>
        <w:t xml:space="preserve">Glossary of </w:t>
      </w:r>
      <w:r w:rsidR="00A15440">
        <w:rPr>
          <w:rFonts w:ascii="Garamond" w:hAnsi="Garamond"/>
          <w:color w:val="auto"/>
          <w:sz w:val="28"/>
        </w:rPr>
        <w:t xml:space="preserve">Terms and </w:t>
      </w:r>
      <w:r w:rsidRPr="002049D4">
        <w:rPr>
          <w:rFonts w:ascii="Garamond" w:hAnsi="Garamond"/>
          <w:color w:val="auto"/>
          <w:sz w:val="28"/>
        </w:rPr>
        <w:t>Abbreviatio</w:t>
      </w:r>
      <w:bookmarkEnd w:id="27"/>
      <w:bookmarkEnd w:id="28"/>
      <w:bookmarkEnd w:id="29"/>
      <w:bookmarkEnd w:id="30"/>
      <w:bookmarkEnd w:id="31"/>
      <w:r w:rsidR="002706A8">
        <w:rPr>
          <w:rFonts w:ascii="Garamond" w:hAnsi="Garamond"/>
          <w:color w:val="auto"/>
          <w:sz w:val="28"/>
        </w:rPr>
        <w:t>ns</w:t>
      </w:r>
      <w:bookmarkEnd w:id="32"/>
      <w:bookmarkEnd w:id="33"/>
      <w:bookmarkEnd w:id="34"/>
      <w:bookmarkEnd w:id="35"/>
    </w:p>
    <w:p w:rsidR="001675F1" w:rsidRDefault="001675F1" w:rsidP="001675F1"/>
    <w:p w:rsidR="001675F1" w:rsidRPr="00AF0FBD" w:rsidRDefault="001675F1" w:rsidP="001675F1">
      <w:pPr>
        <w:rPr>
          <w:rFonts w:ascii="Garamond" w:hAnsi="Garamond"/>
          <w:b/>
          <w:sz w:val="20"/>
          <w:szCs w:val="20"/>
        </w:rPr>
      </w:pPr>
      <w:r w:rsidRPr="00AF0FBD">
        <w:rPr>
          <w:rFonts w:ascii="Garamond" w:hAnsi="Garamond"/>
          <w:b/>
          <w:sz w:val="20"/>
          <w:szCs w:val="20"/>
        </w:rPr>
        <w:t>Stop the Traffik</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ACT</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Active Communities against Trafficking</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CCC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Conseil du Café-Cacao</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CFA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Western African Francs</w:t>
      </w:r>
    </w:p>
    <w:p w:rsidR="001675F1" w:rsidRPr="00AF0FBD" w:rsidRDefault="001675F1" w:rsidP="001675F1">
      <w:pPr>
        <w:spacing w:after="0" w:line="240" w:lineRule="auto"/>
        <w:rPr>
          <w:rFonts w:ascii="Garamond" w:hAnsi="Garamond" w:cs="Times New Roman"/>
          <w:sz w:val="20"/>
          <w:szCs w:val="20"/>
        </w:rPr>
      </w:pPr>
      <w:r w:rsidRPr="00AF0FBD">
        <w:rPr>
          <w:rFonts w:ascii="Garamond" w:hAnsi="Garamond" w:cs="Times New Roman"/>
          <w:sz w:val="20"/>
          <w:szCs w:val="20"/>
        </w:rPr>
        <w:t>CU</w:t>
      </w:r>
      <w:r w:rsidRPr="00AF0FBD">
        <w:rPr>
          <w:rFonts w:ascii="Garamond" w:hAnsi="Garamond" w:cs="Times New Roman"/>
          <w:sz w:val="20"/>
          <w:szCs w:val="20"/>
        </w:rPr>
        <w:tab/>
      </w:r>
      <w:r w:rsidRPr="00AF0FBD">
        <w:rPr>
          <w:rFonts w:ascii="Garamond" w:hAnsi="Garamond" w:cs="Times New Roman"/>
          <w:sz w:val="20"/>
          <w:szCs w:val="20"/>
        </w:rPr>
        <w:tab/>
      </w:r>
      <w:r w:rsidRPr="00AF0FBD">
        <w:rPr>
          <w:rFonts w:ascii="Garamond" w:hAnsi="Garamond" w:cs="Times New Roman"/>
          <w:sz w:val="20"/>
          <w:szCs w:val="20"/>
        </w:rPr>
        <w:tab/>
        <w:t>Christian Union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fair trade</w:t>
      </w:r>
      <w:r w:rsidRPr="00AF0FBD">
        <w:rPr>
          <w:rFonts w:ascii="Garamond" w:hAnsi="Garamond"/>
          <w:sz w:val="20"/>
          <w:szCs w:val="20"/>
        </w:rPr>
        <w:tab/>
      </w:r>
      <w:r w:rsidRPr="00AF0FBD">
        <w:rPr>
          <w:rFonts w:ascii="Garamond" w:hAnsi="Garamond"/>
          <w:sz w:val="20"/>
          <w:szCs w:val="20"/>
        </w:rPr>
        <w:tab/>
      </w:r>
      <w:r>
        <w:rPr>
          <w:rFonts w:ascii="Garamond" w:hAnsi="Garamond"/>
          <w:sz w:val="20"/>
          <w:szCs w:val="20"/>
        </w:rPr>
        <w:tab/>
      </w:r>
      <w:r w:rsidR="00AB34E6">
        <w:rPr>
          <w:rFonts w:ascii="Garamond" w:hAnsi="Garamond"/>
          <w:sz w:val="20"/>
          <w:szCs w:val="20"/>
        </w:rPr>
        <w:t>B</w:t>
      </w:r>
      <w:r w:rsidRPr="00AF0FBD">
        <w:rPr>
          <w:rFonts w:ascii="Garamond" w:hAnsi="Garamond"/>
          <w:sz w:val="20"/>
          <w:szCs w:val="20"/>
        </w:rPr>
        <w:t>roadly conceived forms of 'ethical' consumption</w:t>
      </w:r>
    </w:p>
    <w:p w:rsidR="001675F1" w:rsidRDefault="001675F1" w:rsidP="001675F1">
      <w:pPr>
        <w:spacing w:after="0" w:line="240" w:lineRule="auto"/>
        <w:rPr>
          <w:rFonts w:ascii="Garamond" w:hAnsi="Garamond"/>
          <w:sz w:val="20"/>
          <w:szCs w:val="20"/>
        </w:rPr>
      </w:pPr>
      <w:r>
        <w:rPr>
          <w:rFonts w:ascii="Garamond" w:hAnsi="Garamond"/>
          <w:sz w:val="20"/>
          <w:szCs w:val="20"/>
        </w:rPr>
        <w:t>Fairtrade</w:t>
      </w:r>
      <w:r>
        <w:rPr>
          <w:rFonts w:ascii="Garamond" w:hAnsi="Garamond"/>
          <w:sz w:val="20"/>
          <w:szCs w:val="20"/>
        </w:rPr>
        <w:tab/>
      </w:r>
      <w:r>
        <w:rPr>
          <w:rFonts w:ascii="Garamond" w:hAnsi="Garamond"/>
          <w:sz w:val="20"/>
          <w:szCs w:val="20"/>
        </w:rPr>
        <w:tab/>
      </w:r>
      <w:r>
        <w:rPr>
          <w:rFonts w:ascii="Garamond" w:hAnsi="Garamond"/>
          <w:sz w:val="20"/>
          <w:szCs w:val="20"/>
        </w:rPr>
        <w:tab/>
      </w:r>
      <w:r w:rsidRPr="00AF0FBD">
        <w:rPr>
          <w:rFonts w:ascii="Garamond" w:hAnsi="Garamond"/>
          <w:sz w:val="20"/>
          <w:szCs w:val="20"/>
        </w:rPr>
        <w:t>Fairtrade Foundation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FFT</w:t>
      </w:r>
      <w:r>
        <w:rPr>
          <w:rFonts w:ascii="Garamond" w:hAnsi="Garamond"/>
          <w:sz w:val="20"/>
          <w:szCs w:val="20"/>
        </w:rPr>
        <w:tab/>
      </w:r>
      <w:r>
        <w:rPr>
          <w:rFonts w:ascii="Garamond" w:hAnsi="Garamond"/>
          <w:sz w:val="20"/>
          <w:szCs w:val="20"/>
        </w:rPr>
        <w:tab/>
      </w:r>
      <w:r>
        <w:rPr>
          <w:rFonts w:ascii="Garamond" w:hAnsi="Garamond"/>
          <w:sz w:val="20"/>
          <w:szCs w:val="20"/>
        </w:rPr>
        <w:tab/>
      </w:r>
      <w:r w:rsidRPr="00AF0FBD">
        <w:rPr>
          <w:rFonts w:ascii="Garamond" w:hAnsi="Garamond"/>
          <w:sz w:val="20"/>
          <w:szCs w:val="20"/>
        </w:rPr>
        <w:t>Fairtrade Foundation (or simply, Fairtrade)</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FLO</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Fairtrade Labelling Organization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ICI</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International Cocoa Initiative</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ILO</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International Labour Organization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NCA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National Crime Agency (previously known as SOCA)</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PvdA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Dutch Labour Party</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SD</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Social Democrats</w:t>
      </w:r>
    </w:p>
    <w:p w:rsidR="001675F1" w:rsidRPr="00AF0FBD" w:rsidRDefault="001675F1" w:rsidP="001675F1">
      <w:pPr>
        <w:spacing w:after="0" w:line="240" w:lineRule="auto"/>
        <w:ind w:left="2160" w:hanging="2160"/>
        <w:rPr>
          <w:rFonts w:ascii="Garamond" w:hAnsi="Garamond"/>
          <w:sz w:val="20"/>
          <w:szCs w:val="20"/>
        </w:rPr>
      </w:pPr>
      <w:r w:rsidRPr="00AF0FBD">
        <w:rPr>
          <w:rFonts w:ascii="Garamond" w:hAnsi="Garamond"/>
          <w:sz w:val="20"/>
          <w:szCs w:val="20"/>
        </w:rPr>
        <w:t>SOCA</w:t>
      </w:r>
      <w:r w:rsidRPr="00AF0FBD">
        <w:rPr>
          <w:rFonts w:ascii="Garamond" w:hAnsi="Garamond"/>
          <w:sz w:val="20"/>
          <w:szCs w:val="20"/>
        </w:rPr>
        <w:tab/>
        <w:t>Serious Organised Crime Agency (name changed to NCA on 7 October 2013)</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STT</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Stop The Traffik</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TCC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Tropical Commodity Coalition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TWFTG</w:t>
      </w:r>
      <w:r w:rsidRPr="00AF0FBD">
        <w:rPr>
          <w:rFonts w:ascii="Garamond" w:hAnsi="Garamond"/>
          <w:sz w:val="20"/>
          <w:szCs w:val="20"/>
        </w:rPr>
        <w:tab/>
      </w:r>
      <w:r w:rsidRPr="00AF0FBD">
        <w:rPr>
          <w:rFonts w:ascii="Garamond" w:hAnsi="Garamond"/>
          <w:sz w:val="20"/>
          <w:szCs w:val="20"/>
        </w:rPr>
        <w:tab/>
      </w:r>
      <w:r>
        <w:rPr>
          <w:rFonts w:ascii="Garamond" w:hAnsi="Garamond"/>
          <w:sz w:val="20"/>
          <w:szCs w:val="20"/>
        </w:rPr>
        <w:tab/>
      </w:r>
      <w:r w:rsidRPr="00AF0FBD">
        <w:rPr>
          <w:rFonts w:ascii="Garamond" w:hAnsi="Garamond"/>
          <w:sz w:val="20"/>
          <w:szCs w:val="20"/>
        </w:rPr>
        <w:t>Tunbridge Wells Fairtrade Town Group</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VOICE</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Voice of Organizations in Cocoa in Europe</w:t>
      </w:r>
    </w:p>
    <w:p w:rsidR="001675F1" w:rsidRPr="00AF0FBD" w:rsidRDefault="001675F1" w:rsidP="001675F1">
      <w:pPr>
        <w:spacing w:after="0" w:line="240" w:lineRule="auto"/>
        <w:rPr>
          <w:rFonts w:ascii="Garamond" w:hAnsi="Garamond"/>
          <w:sz w:val="20"/>
          <w:szCs w:val="20"/>
        </w:rPr>
      </w:pPr>
    </w:p>
    <w:p w:rsidR="001675F1" w:rsidRPr="00AF0FBD" w:rsidRDefault="001675F1" w:rsidP="001675F1">
      <w:pPr>
        <w:spacing w:after="0" w:line="240" w:lineRule="auto"/>
        <w:rPr>
          <w:rFonts w:ascii="Garamond" w:hAnsi="Garamond"/>
          <w:b/>
          <w:sz w:val="20"/>
          <w:szCs w:val="20"/>
        </w:rPr>
      </w:pPr>
    </w:p>
    <w:p w:rsidR="001675F1" w:rsidRPr="00AF0FBD" w:rsidRDefault="001675F1" w:rsidP="001675F1">
      <w:pPr>
        <w:spacing w:after="0" w:line="240" w:lineRule="auto"/>
        <w:rPr>
          <w:rFonts w:ascii="Garamond" w:hAnsi="Garamond"/>
          <w:b/>
          <w:sz w:val="20"/>
          <w:szCs w:val="20"/>
        </w:rPr>
      </w:pPr>
      <w:r w:rsidRPr="00AF0FBD">
        <w:rPr>
          <w:rFonts w:ascii="Garamond" w:hAnsi="Garamond"/>
          <w:b/>
          <w:sz w:val="20"/>
          <w:szCs w:val="20"/>
        </w:rPr>
        <w:t>Boycott Outspan Action</w:t>
      </w:r>
    </w:p>
    <w:p w:rsidR="001675F1" w:rsidRPr="00AF0FBD" w:rsidRDefault="001675F1" w:rsidP="001675F1">
      <w:pPr>
        <w:spacing w:after="0" w:line="240" w:lineRule="auto"/>
        <w:rPr>
          <w:rFonts w:ascii="Garamond" w:hAnsi="Garamond"/>
          <w:sz w:val="20"/>
          <w:szCs w:val="20"/>
        </w:rPr>
      </w:pPr>
    </w:p>
    <w:p w:rsidR="001675F1" w:rsidRPr="00AF0FBD" w:rsidRDefault="001675F1" w:rsidP="001675F1">
      <w:pPr>
        <w:spacing w:after="0"/>
        <w:rPr>
          <w:rFonts w:ascii="Garamond" w:hAnsi="Garamond"/>
          <w:sz w:val="20"/>
          <w:szCs w:val="20"/>
        </w:rPr>
      </w:pP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AABN</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Anti-Apartheidsbeweging Nederland</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AAM</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Anti-Apartheid Movement</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ANC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African National Congress</w:t>
      </w:r>
    </w:p>
    <w:p w:rsidR="001675F1" w:rsidRPr="00AF0FBD" w:rsidRDefault="001675F1" w:rsidP="001675F1">
      <w:pPr>
        <w:spacing w:after="0"/>
        <w:ind w:left="2160" w:hanging="2160"/>
        <w:rPr>
          <w:rFonts w:ascii="Garamond" w:hAnsi="Garamond"/>
          <w:sz w:val="20"/>
          <w:szCs w:val="20"/>
        </w:rPr>
      </w:pPr>
      <w:r w:rsidRPr="00AF0FBD">
        <w:rPr>
          <w:rFonts w:ascii="Garamond" w:hAnsi="Garamond"/>
          <w:sz w:val="20"/>
          <w:szCs w:val="20"/>
        </w:rPr>
        <w:t>ANP</w:t>
      </w:r>
      <w:r w:rsidRPr="00AF0FBD">
        <w:rPr>
          <w:rFonts w:ascii="Garamond" w:hAnsi="Garamond"/>
          <w:sz w:val="20"/>
          <w:szCs w:val="20"/>
        </w:rPr>
        <w:tab/>
      </w:r>
      <w:r w:rsidRPr="00AF0FBD">
        <w:rPr>
          <w:rFonts w:ascii="Garamond" w:hAnsi="Garamond"/>
          <w:bCs/>
          <w:sz w:val="20"/>
          <w:szCs w:val="20"/>
        </w:rPr>
        <w:t>Algemeen Nederlands Persbureau (Netherlands National News Agency)</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AZAPO</w:t>
      </w:r>
      <w:r w:rsidRPr="00AF0FBD">
        <w:rPr>
          <w:rFonts w:ascii="Garamond" w:hAnsi="Garamond"/>
          <w:sz w:val="20"/>
          <w:szCs w:val="20"/>
        </w:rPr>
        <w:tab/>
      </w:r>
      <w:r w:rsidRPr="00AF0FBD">
        <w:rPr>
          <w:rFonts w:ascii="Garamond" w:hAnsi="Garamond"/>
          <w:sz w:val="20"/>
          <w:szCs w:val="20"/>
        </w:rPr>
        <w:tab/>
      </w:r>
      <w:r w:rsidR="005227C3">
        <w:rPr>
          <w:rFonts w:ascii="Garamond" w:hAnsi="Garamond"/>
          <w:sz w:val="20"/>
          <w:szCs w:val="20"/>
        </w:rPr>
        <w:tab/>
      </w:r>
      <w:r w:rsidRPr="00AF0FBD">
        <w:rPr>
          <w:rFonts w:ascii="Garamond" w:hAnsi="Garamond"/>
          <w:sz w:val="20"/>
          <w:szCs w:val="20"/>
        </w:rPr>
        <w:t>Azanian People’s Organization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BOA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Boycott Outspan Action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BPC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Black People’s Convention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CAO</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Campagne Anti-Outspan</w:t>
      </w:r>
    </w:p>
    <w:p w:rsidR="001675F1" w:rsidRPr="00AF0FBD" w:rsidRDefault="001675F1" w:rsidP="001675F1">
      <w:pPr>
        <w:spacing w:after="0" w:line="240" w:lineRule="auto"/>
        <w:rPr>
          <w:rFonts w:ascii="Garamond" w:hAnsi="Garamond" w:cs="Times New Roman"/>
          <w:sz w:val="20"/>
          <w:szCs w:val="20"/>
        </w:rPr>
      </w:pPr>
      <w:r w:rsidRPr="00AF0FBD">
        <w:rPr>
          <w:rFonts w:ascii="Garamond" w:hAnsi="Garamond"/>
          <w:sz w:val="20"/>
          <w:szCs w:val="20"/>
        </w:rPr>
        <w:t>CETIM</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r>
      <w:r w:rsidRPr="00AF0FBD">
        <w:rPr>
          <w:rFonts w:ascii="Garamond" w:hAnsi="Garamond" w:cs="Times New Roman"/>
          <w:sz w:val="20"/>
          <w:szCs w:val="20"/>
        </w:rPr>
        <w:t>Centre Europe Tiers Monde</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CZA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Comite Zuid Afrika</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DAFN</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Defence and Aid Fund Netherlands</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EEC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European Economic Community</w:t>
      </w:r>
    </w:p>
    <w:p w:rsidR="001675F1" w:rsidRPr="00AF0FBD" w:rsidRDefault="001675F1" w:rsidP="001675F1">
      <w:pPr>
        <w:spacing w:after="0"/>
        <w:rPr>
          <w:rFonts w:ascii="Garamond" w:hAnsi="Garamond"/>
          <w:sz w:val="20"/>
          <w:szCs w:val="20"/>
        </w:rPr>
      </w:pPr>
      <w:r w:rsidRPr="00AF0FBD">
        <w:rPr>
          <w:rFonts w:ascii="Garamond" w:hAnsi="Garamond"/>
          <w:sz w:val="20"/>
          <w:szCs w:val="20"/>
        </w:rPr>
        <w:t>FNV</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r>
      <w:r w:rsidR="005227C3">
        <w:rPr>
          <w:rFonts w:ascii="Garamond" w:hAnsi="Garamond"/>
          <w:sz w:val="20"/>
          <w:szCs w:val="20"/>
        </w:rPr>
        <w:t>Dutch Trade Unions</w:t>
      </w:r>
    </w:p>
    <w:p w:rsidR="001675F1" w:rsidRPr="00AF0FBD" w:rsidRDefault="001675F1" w:rsidP="001675F1">
      <w:pPr>
        <w:spacing w:after="0"/>
        <w:rPr>
          <w:rFonts w:ascii="Garamond" w:hAnsi="Garamond"/>
          <w:sz w:val="20"/>
          <w:szCs w:val="20"/>
        </w:rPr>
      </w:pPr>
      <w:r w:rsidRPr="00AF0FBD">
        <w:rPr>
          <w:rFonts w:ascii="Garamond" w:hAnsi="Garamond"/>
          <w:sz w:val="20"/>
          <w:szCs w:val="20"/>
        </w:rPr>
        <w:t>GDP</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r>
      <w:r w:rsidRPr="00AF0FBD">
        <w:rPr>
          <w:rFonts w:ascii="Garamond" w:hAnsi="Garamond"/>
          <w:color w:val="000000"/>
          <w:sz w:val="20"/>
          <w:szCs w:val="20"/>
          <w:shd w:val="clear" w:color="auto" w:fill="FFFFFF"/>
        </w:rPr>
        <w:t>Geassocieerde Pers Diensten (Netherlands-based newspaper)</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IDAF</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International Defence And Aid Fund</w:t>
      </w:r>
      <w:r w:rsidRPr="00AF0FBD">
        <w:rPr>
          <w:rFonts w:ascii="Garamond" w:hAnsi="Garamond"/>
          <w:sz w:val="20"/>
          <w:szCs w:val="20"/>
        </w:rPr>
        <w:br/>
        <w:t>IISH</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 xml:space="preserve">International Institute of Social History </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MAA</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Mouvement Anti Apartheid</w:t>
      </w:r>
    </w:p>
    <w:p w:rsidR="001675F1" w:rsidRPr="00AF0FBD" w:rsidRDefault="001675F1" w:rsidP="001675F1">
      <w:pPr>
        <w:spacing w:after="0" w:line="240" w:lineRule="auto"/>
        <w:ind w:left="2160" w:hanging="2160"/>
        <w:rPr>
          <w:rFonts w:ascii="Garamond" w:hAnsi="Garamond"/>
          <w:sz w:val="20"/>
          <w:szCs w:val="20"/>
        </w:rPr>
      </w:pPr>
      <w:r w:rsidRPr="00AF0FBD">
        <w:rPr>
          <w:rFonts w:ascii="Garamond" w:hAnsi="Garamond"/>
          <w:sz w:val="20"/>
          <w:szCs w:val="20"/>
        </w:rPr>
        <w:t>NCO</w:t>
      </w:r>
      <w:r w:rsidRPr="00AF0FBD">
        <w:rPr>
          <w:rFonts w:ascii="Garamond" w:hAnsi="Garamond"/>
          <w:sz w:val="20"/>
          <w:szCs w:val="20"/>
        </w:rPr>
        <w:tab/>
        <w:t xml:space="preserve">National Commission for Development Information and Public Awareness </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PAC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Pan African Congress</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RCC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Reclame Code Commissie</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SACTU</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South African Congress of Trade Unions</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SADET</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South African Democracy Education Trust</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SWAPO</w:t>
      </w:r>
      <w:r w:rsidRPr="00AF0FBD">
        <w:rPr>
          <w:rFonts w:ascii="Garamond" w:hAnsi="Garamond"/>
          <w:sz w:val="20"/>
          <w:szCs w:val="20"/>
        </w:rPr>
        <w:tab/>
      </w:r>
      <w:r w:rsidRPr="00AF0FBD">
        <w:rPr>
          <w:rFonts w:ascii="Garamond" w:hAnsi="Garamond"/>
          <w:sz w:val="20"/>
          <w:szCs w:val="20"/>
        </w:rPr>
        <w:tab/>
      </w:r>
      <w:r w:rsidR="005227C3">
        <w:rPr>
          <w:rFonts w:ascii="Garamond" w:hAnsi="Garamond"/>
          <w:sz w:val="20"/>
          <w:szCs w:val="20"/>
        </w:rPr>
        <w:tab/>
      </w:r>
      <w:r w:rsidRPr="00AF0FBD">
        <w:rPr>
          <w:rFonts w:ascii="Garamond" w:hAnsi="Garamond"/>
          <w:sz w:val="20"/>
          <w:szCs w:val="20"/>
        </w:rPr>
        <w:t>South West African People’s Organization</w:t>
      </w:r>
    </w:p>
    <w:p w:rsidR="001675F1" w:rsidRPr="00AF0FBD" w:rsidRDefault="001675F1" w:rsidP="001675F1">
      <w:pPr>
        <w:spacing w:after="0" w:line="240" w:lineRule="auto"/>
        <w:rPr>
          <w:rFonts w:ascii="Garamond" w:hAnsi="Garamond"/>
          <w:sz w:val="20"/>
          <w:szCs w:val="20"/>
        </w:rPr>
      </w:pPr>
      <w:r w:rsidRPr="00AF0FBD">
        <w:rPr>
          <w:rFonts w:ascii="Garamond" w:hAnsi="Garamond"/>
          <w:sz w:val="20"/>
          <w:szCs w:val="20"/>
        </w:rPr>
        <w:t>WCC</w:t>
      </w:r>
      <w:r w:rsidRPr="00AF0FBD">
        <w:rPr>
          <w:rFonts w:ascii="Garamond" w:hAnsi="Garamond"/>
          <w:sz w:val="20"/>
          <w:szCs w:val="20"/>
        </w:rPr>
        <w:tab/>
      </w:r>
      <w:r w:rsidRPr="00AF0FBD">
        <w:rPr>
          <w:rFonts w:ascii="Garamond" w:hAnsi="Garamond"/>
          <w:sz w:val="20"/>
          <w:szCs w:val="20"/>
        </w:rPr>
        <w:tab/>
      </w:r>
      <w:r w:rsidRPr="00AF0FBD">
        <w:rPr>
          <w:rFonts w:ascii="Garamond" w:hAnsi="Garamond"/>
          <w:sz w:val="20"/>
          <w:szCs w:val="20"/>
        </w:rPr>
        <w:tab/>
        <w:t>World Council of Churches</w:t>
      </w:r>
      <w:r w:rsidRPr="00AF0FBD">
        <w:rPr>
          <w:rFonts w:ascii="Garamond" w:hAnsi="Garamond"/>
          <w:sz w:val="20"/>
          <w:szCs w:val="20"/>
        </w:rPr>
        <w:tab/>
      </w:r>
    </w:p>
    <w:p w:rsidR="001675F1" w:rsidRPr="00AF0FBD" w:rsidRDefault="001675F1" w:rsidP="001675F1">
      <w:pPr>
        <w:spacing w:after="0" w:line="240" w:lineRule="auto"/>
        <w:rPr>
          <w:rFonts w:ascii="Garamond" w:hAnsi="Garamond"/>
          <w:sz w:val="20"/>
          <w:szCs w:val="20"/>
        </w:rPr>
      </w:pPr>
      <w:r w:rsidRPr="00AF0FBD">
        <w:rPr>
          <w:rFonts w:ascii="Garamond" w:hAnsi="Garamond" w:cs="Times-Roman"/>
          <w:sz w:val="20"/>
          <w:szCs w:val="20"/>
        </w:rPr>
        <w:t xml:space="preserve">NOVIB- </w:t>
      </w:r>
      <w:r w:rsidRPr="00AF0FBD">
        <w:rPr>
          <w:rFonts w:ascii="Garamond" w:hAnsi="Garamond" w:cs="Times-Roman"/>
          <w:sz w:val="20"/>
          <w:szCs w:val="20"/>
        </w:rPr>
        <w:tab/>
      </w:r>
      <w:r w:rsidRPr="00AF0FBD">
        <w:rPr>
          <w:rFonts w:ascii="Garamond" w:hAnsi="Garamond" w:cs="Times-Roman"/>
          <w:sz w:val="20"/>
          <w:szCs w:val="20"/>
        </w:rPr>
        <w:tab/>
        <w:t xml:space="preserve">Nederlandse Organisatie voor </w:t>
      </w:r>
      <w:r w:rsidR="005227C3">
        <w:rPr>
          <w:rFonts w:ascii="Garamond" w:hAnsi="Garamond" w:cs="Times-Roman"/>
          <w:sz w:val="20"/>
          <w:szCs w:val="20"/>
        </w:rPr>
        <w:t xml:space="preserve">Internationale </w:t>
      </w:r>
      <w:r w:rsidR="005227C3">
        <w:rPr>
          <w:rFonts w:ascii="Garamond" w:hAnsi="Garamond" w:cs="Times-Roman"/>
          <w:sz w:val="20"/>
          <w:szCs w:val="20"/>
        </w:rPr>
        <w:tab/>
      </w:r>
      <w:r w:rsidR="005227C3">
        <w:rPr>
          <w:rFonts w:ascii="Garamond" w:hAnsi="Garamond" w:cs="Times-Roman"/>
          <w:sz w:val="20"/>
          <w:szCs w:val="20"/>
        </w:rPr>
        <w:tab/>
      </w:r>
      <w:r w:rsidR="005227C3">
        <w:rPr>
          <w:rFonts w:ascii="Garamond" w:hAnsi="Garamond" w:cs="Times-Roman"/>
          <w:sz w:val="20"/>
          <w:szCs w:val="20"/>
        </w:rPr>
        <w:tab/>
        <w:t xml:space="preserve">  </w:t>
      </w:r>
      <w:r w:rsidR="005227C3">
        <w:rPr>
          <w:rFonts w:ascii="Garamond" w:hAnsi="Garamond" w:cs="Times-Roman"/>
          <w:sz w:val="20"/>
          <w:szCs w:val="20"/>
        </w:rPr>
        <w:tab/>
      </w:r>
      <w:r w:rsidR="005227C3">
        <w:rPr>
          <w:rFonts w:ascii="Garamond" w:hAnsi="Garamond" w:cs="Times-Roman"/>
          <w:sz w:val="20"/>
          <w:szCs w:val="20"/>
        </w:rPr>
        <w:tab/>
      </w:r>
      <w:r w:rsidR="005227C3">
        <w:rPr>
          <w:rFonts w:ascii="Garamond" w:hAnsi="Garamond" w:cs="Times-Roman"/>
          <w:sz w:val="20"/>
          <w:szCs w:val="20"/>
        </w:rPr>
        <w:tab/>
      </w:r>
      <w:r w:rsidR="005227C3">
        <w:rPr>
          <w:rFonts w:ascii="Garamond" w:hAnsi="Garamond" w:cs="Times-Roman"/>
          <w:sz w:val="20"/>
          <w:szCs w:val="20"/>
        </w:rPr>
        <w:tab/>
      </w:r>
      <w:r w:rsidRPr="00AF0FBD">
        <w:rPr>
          <w:rFonts w:ascii="Garamond" w:hAnsi="Garamond" w:cs="Times-Roman"/>
          <w:sz w:val="20"/>
          <w:szCs w:val="20"/>
        </w:rPr>
        <w:t>Ontwikkelingssamenwerking</w:t>
      </w:r>
    </w:p>
    <w:p w:rsidR="002706A8" w:rsidRPr="001675F1" w:rsidRDefault="002706A8" w:rsidP="001675F1"/>
    <w:p w:rsidR="002706A8" w:rsidRDefault="002706A8" w:rsidP="002706A8"/>
    <w:p w:rsidR="00A15440" w:rsidRPr="00A15440" w:rsidRDefault="00A15440" w:rsidP="00A15440">
      <w:pPr>
        <w:sectPr w:rsidR="00A15440" w:rsidRPr="00A15440">
          <w:pgSz w:w="11900" w:h="16840"/>
          <w:pgMar w:top="1440" w:right="1800" w:bottom="1440" w:left="1800" w:header="708" w:footer="708" w:gutter="0"/>
          <w:pgNumType w:fmt="lowerRoman"/>
          <w:cols w:space="708"/>
        </w:sectPr>
      </w:pPr>
    </w:p>
    <w:p w:rsidR="00BB49E2" w:rsidRPr="00F07857" w:rsidRDefault="00BB49E2" w:rsidP="001B6D85">
      <w:pPr>
        <w:pStyle w:val="Heading1"/>
        <w:spacing w:before="0" w:line="360" w:lineRule="auto"/>
        <w:jc w:val="right"/>
        <w:rPr>
          <w:rFonts w:ascii="Garamond" w:hAnsi="Garamond"/>
          <w:color w:val="auto"/>
          <w:sz w:val="28"/>
        </w:rPr>
      </w:pPr>
      <w:bookmarkStart w:id="36" w:name="_Toc244424542"/>
      <w:bookmarkStart w:id="37" w:name="_Toc244424928"/>
      <w:bookmarkStart w:id="38" w:name="_Toc244453614"/>
      <w:bookmarkStart w:id="39" w:name="_Toc244454131"/>
      <w:bookmarkStart w:id="40" w:name="_Toc244469578"/>
      <w:bookmarkStart w:id="41" w:name="_Toc244508034"/>
      <w:bookmarkStart w:id="42" w:name="_Toc244535728"/>
      <w:bookmarkStart w:id="43" w:name="_Toc244578360"/>
      <w:bookmarkStart w:id="44" w:name="_Toc244578744"/>
      <w:bookmarkStart w:id="45" w:name="_Toc263451993"/>
      <w:bookmarkStart w:id="46" w:name="_Toc263510911"/>
      <w:r w:rsidRPr="00F07857">
        <w:rPr>
          <w:rFonts w:ascii="Garamond" w:hAnsi="Garamond"/>
          <w:color w:val="auto"/>
          <w:sz w:val="28"/>
          <w:szCs w:val="24"/>
        </w:rPr>
        <w:lastRenderedPageBreak/>
        <w:t>Chapter One</w:t>
      </w:r>
      <w:bookmarkEnd w:id="36"/>
      <w:bookmarkEnd w:id="37"/>
      <w:bookmarkEnd w:id="38"/>
      <w:bookmarkEnd w:id="39"/>
      <w:bookmarkEnd w:id="40"/>
      <w:bookmarkEnd w:id="41"/>
      <w:bookmarkEnd w:id="42"/>
      <w:bookmarkEnd w:id="43"/>
      <w:bookmarkEnd w:id="44"/>
      <w:bookmarkEnd w:id="45"/>
      <w:bookmarkEnd w:id="46"/>
    </w:p>
    <w:p w:rsidR="00BB49E2" w:rsidRPr="00F07857" w:rsidRDefault="00BB49E2" w:rsidP="001B6D85">
      <w:pPr>
        <w:pStyle w:val="Heading1"/>
        <w:spacing w:before="0" w:line="360" w:lineRule="auto"/>
        <w:rPr>
          <w:rFonts w:ascii="Garamond" w:hAnsi="Garamond"/>
          <w:color w:val="auto"/>
          <w:sz w:val="28"/>
          <w:szCs w:val="24"/>
        </w:rPr>
      </w:pPr>
      <w:bookmarkStart w:id="47" w:name="_Toc244424543"/>
      <w:bookmarkStart w:id="48" w:name="_Toc244424929"/>
    </w:p>
    <w:p w:rsidR="00BB49E2" w:rsidRPr="00F07857" w:rsidRDefault="00BB49E2" w:rsidP="00F07857">
      <w:pPr>
        <w:pStyle w:val="Heading1"/>
        <w:spacing w:before="0" w:line="360" w:lineRule="auto"/>
        <w:rPr>
          <w:rFonts w:ascii="Garamond" w:hAnsi="Garamond"/>
          <w:color w:val="auto"/>
          <w:sz w:val="28"/>
        </w:rPr>
      </w:pPr>
      <w:bookmarkStart w:id="49" w:name="_Toc244453615"/>
      <w:bookmarkStart w:id="50" w:name="_Toc244454132"/>
      <w:bookmarkStart w:id="51" w:name="_Toc244469579"/>
      <w:bookmarkStart w:id="52" w:name="_Toc244508035"/>
      <w:bookmarkStart w:id="53" w:name="_Toc244535729"/>
      <w:bookmarkStart w:id="54" w:name="_Toc244578361"/>
      <w:bookmarkStart w:id="55" w:name="_Toc244578745"/>
      <w:bookmarkStart w:id="56" w:name="_Toc263451994"/>
      <w:bookmarkStart w:id="57" w:name="_Toc263510912"/>
      <w:r w:rsidRPr="00F07857">
        <w:rPr>
          <w:rFonts w:ascii="Garamond" w:hAnsi="Garamond"/>
          <w:color w:val="auto"/>
          <w:sz w:val="28"/>
          <w:szCs w:val="24"/>
        </w:rPr>
        <w:t>Introduction</w:t>
      </w:r>
      <w:bookmarkEnd w:id="47"/>
      <w:bookmarkEnd w:id="48"/>
      <w:bookmarkEnd w:id="49"/>
      <w:bookmarkEnd w:id="50"/>
      <w:bookmarkEnd w:id="51"/>
      <w:bookmarkEnd w:id="52"/>
      <w:bookmarkEnd w:id="53"/>
      <w:bookmarkEnd w:id="54"/>
      <w:bookmarkEnd w:id="55"/>
      <w:bookmarkEnd w:id="56"/>
      <w:bookmarkEnd w:id="57"/>
    </w:p>
    <w:p w:rsidR="00BB49E2" w:rsidRDefault="00BB49E2" w:rsidP="001B6D85">
      <w:pPr>
        <w:pStyle w:val="Heading2"/>
        <w:rPr>
          <w:rFonts w:eastAsia="Times New Roman"/>
          <w:color w:val="345A8A" w:themeColor="accent1" w:themeShade="B5"/>
          <w:sz w:val="32"/>
          <w:szCs w:val="32"/>
          <w:lang w:val="en-US"/>
        </w:rPr>
      </w:pPr>
      <w:bookmarkStart w:id="58" w:name="_Toc244424544"/>
      <w:bookmarkStart w:id="59" w:name="_Toc244424930"/>
    </w:p>
    <w:p w:rsidR="00BB49E2" w:rsidRPr="0002611C" w:rsidRDefault="005D6F68" w:rsidP="001B6D85">
      <w:pPr>
        <w:pStyle w:val="Heading2"/>
        <w:rPr>
          <w:rFonts w:eastAsia="Times New Roman"/>
          <w:lang w:val="en-US"/>
        </w:rPr>
      </w:pPr>
      <w:bookmarkStart w:id="60" w:name="_Toc244453616"/>
      <w:bookmarkStart w:id="61" w:name="_Toc244454133"/>
      <w:bookmarkStart w:id="62" w:name="_Toc244469580"/>
      <w:bookmarkStart w:id="63" w:name="_Toc244508036"/>
      <w:bookmarkStart w:id="64" w:name="_Toc244535730"/>
      <w:bookmarkStart w:id="65" w:name="_Toc244578362"/>
      <w:bookmarkStart w:id="66" w:name="_Toc244578746"/>
      <w:bookmarkStart w:id="67" w:name="_Toc263451995"/>
      <w:bookmarkStart w:id="68" w:name="_Toc263510913"/>
      <w:r>
        <w:rPr>
          <w:rFonts w:eastAsia="Times New Roman"/>
          <w:lang w:val="en-US"/>
        </w:rPr>
        <w:t>Introducing c</w:t>
      </w:r>
      <w:r w:rsidR="00BB49E2" w:rsidRPr="0002611C">
        <w:rPr>
          <w:rFonts w:eastAsia="Times New Roman"/>
          <w:lang w:val="en-US"/>
        </w:rPr>
        <w:t>ommodity boycotts and the 'body as battlefield'</w:t>
      </w:r>
      <w:bookmarkEnd w:id="58"/>
      <w:bookmarkEnd w:id="59"/>
      <w:bookmarkEnd w:id="60"/>
      <w:bookmarkEnd w:id="61"/>
      <w:bookmarkEnd w:id="62"/>
      <w:bookmarkEnd w:id="63"/>
      <w:bookmarkEnd w:id="64"/>
      <w:bookmarkEnd w:id="65"/>
      <w:bookmarkEnd w:id="66"/>
      <w:bookmarkEnd w:id="67"/>
      <w:bookmarkEnd w:id="68"/>
    </w:p>
    <w:p w:rsidR="00BB49E2" w:rsidRDefault="00BB49E2" w:rsidP="001B6D85">
      <w:pPr>
        <w:autoSpaceDE w:val="0"/>
        <w:autoSpaceDN w:val="0"/>
        <w:adjustRightInd w:val="0"/>
        <w:spacing w:after="0" w:line="360" w:lineRule="auto"/>
        <w:jc w:val="both"/>
        <w:rPr>
          <w:rFonts w:ascii="Garamond" w:eastAsia="Times New Roman" w:hAnsi="Garamond"/>
          <w:sz w:val="24"/>
          <w:szCs w:val="24"/>
          <w:lang w:val="en-US"/>
        </w:rPr>
      </w:pPr>
    </w:p>
    <w:p w:rsidR="00BB49E2" w:rsidRDefault="00BB49E2" w:rsidP="00BB49E2">
      <w:pPr>
        <w:autoSpaceDE w:val="0"/>
        <w:autoSpaceDN w:val="0"/>
        <w:adjustRightInd w:val="0"/>
        <w:spacing w:after="0" w:line="360" w:lineRule="auto"/>
        <w:jc w:val="both"/>
        <w:rPr>
          <w:rFonts w:ascii="Garamond" w:eastAsia="Times New Roman" w:hAnsi="Garamond"/>
          <w:color w:val="000000"/>
          <w:sz w:val="24"/>
          <w:szCs w:val="24"/>
          <w:lang w:val="en-US"/>
        </w:rPr>
      </w:pPr>
      <w:r>
        <w:rPr>
          <w:rFonts w:ascii="Garamond" w:eastAsia="Times New Roman" w:hAnsi="Garamond"/>
          <w:sz w:val="24"/>
          <w:szCs w:val="24"/>
          <w:lang w:val="en-US"/>
        </w:rPr>
        <w:t xml:space="preserve">This thesis is broadly about five topics: commodity boycotts, activist bodywork, race, anti-apartheid activism and anti-trafficking advocacy. I bring these subjects into sharp empirical focus through my qualitative study of two very different boycotting organizations. </w:t>
      </w:r>
      <w:r>
        <w:rPr>
          <w:rFonts w:ascii="Garamond" w:eastAsia="Times New Roman" w:hAnsi="Garamond"/>
          <w:color w:val="000000"/>
          <w:sz w:val="24"/>
          <w:szCs w:val="24"/>
          <w:lang w:val="en-US"/>
        </w:rPr>
        <w:t xml:space="preserve">Researching the anti-apartheid and antiracist Dutch organization Boycott Outspan Action (BOA, operational from 1970-1992) and the contemporary anti-trafficking coalition, Stop The Traffik (STT, founded in 2006) constitutes the bread and butter of this project. These chapters present the first scholarly engagement with either organization to draw from in-depth interviews with former and current activists. Each of the chapters are situated with their own contexts, literatures and research processes; they can be read as stand-alone contributions to their respective fields. But in this introduction, I show how they are part of my larger project to expand understandings of what boycotting does, and to place, frame and interpret activist bodywork practice as central to the knowledge and publicity economies of anti-apartheid, anti-trafficking and fair trade. Here, I introduce the scope of the thesis, the sort of contributions that it hopes to make, and the process of its research and construction.  </w:t>
      </w:r>
    </w:p>
    <w:p w:rsidR="00BB49E2" w:rsidRDefault="00BB49E2" w:rsidP="00BB49E2">
      <w:pPr>
        <w:autoSpaceDE w:val="0"/>
        <w:autoSpaceDN w:val="0"/>
        <w:adjustRightInd w:val="0"/>
        <w:spacing w:after="0" w:line="360" w:lineRule="auto"/>
        <w:jc w:val="both"/>
        <w:rPr>
          <w:rFonts w:ascii="Garamond" w:eastAsia="Times New Roman" w:hAnsi="Garamond"/>
          <w:color w:val="000000"/>
          <w:sz w:val="24"/>
          <w:szCs w:val="24"/>
          <w:lang w:val="en-US"/>
        </w:rPr>
      </w:pPr>
    </w:p>
    <w:p w:rsidR="00BB49E2" w:rsidRPr="00D054AC" w:rsidRDefault="00BB49E2" w:rsidP="00BB49E2">
      <w:pPr>
        <w:autoSpaceDE w:val="0"/>
        <w:autoSpaceDN w:val="0"/>
        <w:adjustRightInd w:val="0"/>
        <w:spacing w:after="0" w:line="360" w:lineRule="auto"/>
        <w:jc w:val="both"/>
        <w:rPr>
          <w:rFonts w:ascii="Garamond" w:eastAsia="Times New Roman" w:hAnsi="Garamond"/>
          <w:b/>
          <w:i/>
          <w:color w:val="000000"/>
          <w:szCs w:val="24"/>
          <w:lang w:val="en-US"/>
        </w:rPr>
      </w:pPr>
      <w:r w:rsidRPr="00D054AC">
        <w:rPr>
          <w:rFonts w:ascii="Garamond" w:eastAsia="Times New Roman" w:hAnsi="Garamond"/>
          <w:b/>
          <w:i/>
          <w:color w:val="000000"/>
          <w:szCs w:val="24"/>
          <w:lang w:val="en-US"/>
        </w:rPr>
        <w:t>Commodity boycotts</w:t>
      </w:r>
    </w:p>
    <w:p w:rsidR="00BB49E2" w:rsidRPr="00E3204D" w:rsidRDefault="00BB49E2" w:rsidP="00BB49E2">
      <w:pPr>
        <w:autoSpaceDE w:val="0"/>
        <w:autoSpaceDN w:val="0"/>
        <w:adjustRightInd w:val="0"/>
        <w:spacing w:after="0" w:line="360" w:lineRule="auto"/>
        <w:jc w:val="both"/>
        <w:rPr>
          <w:rFonts w:ascii="Garamond" w:eastAsia="Times New Roman" w:hAnsi="Garamond"/>
          <w:i/>
          <w:color w:val="000000"/>
          <w:sz w:val="24"/>
          <w:szCs w:val="24"/>
          <w:lang w:val="en-US"/>
        </w:rPr>
      </w:pPr>
    </w:p>
    <w:p w:rsidR="00BB49E2" w:rsidRDefault="00BB49E2" w:rsidP="00BB49E2">
      <w:pPr>
        <w:spacing w:after="0" w:line="360" w:lineRule="auto"/>
        <w:jc w:val="both"/>
        <w:rPr>
          <w:rFonts w:ascii="Garamond" w:eastAsia="Times New Roman" w:hAnsi="Garamond"/>
          <w:sz w:val="24"/>
          <w:szCs w:val="24"/>
          <w:lang w:val="en-US"/>
        </w:rPr>
      </w:pPr>
      <w:r>
        <w:rPr>
          <w:rFonts w:ascii="Garamond" w:eastAsia="Times New Roman" w:hAnsi="Garamond"/>
          <w:sz w:val="24"/>
          <w:szCs w:val="24"/>
          <w:lang w:val="en-US"/>
        </w:rPr>
        <w:t>Across the thesis, I use the term commodity boycotts to describe commodity-based activisms that in contemporary scholarship on ethical consumption may not be understood as boycotting (for example fair trade). My description of fair trade and forms of 'ethical' purchasing as a type of boycott through diversion is in line with specialist literature on com</w:t>
      </w:r>
      <w:r w:rsidR="00417E04">
        <w:rPr>
          <w:rFonts w:ascii="Garamond" w:eastAsia="Times New Roman" w:hAnsi="Garamond"/>
          <w:sz w:val="24"/>
          <w:szCs w:val="24"/>
          <w:lang w:val="en-US"/>
        </w:rPr>
        <w:t>modity and consumer boycotts that</w:t>
      </w:r>
      <w:r>
        <w:rPr>
          <w:rFonts w:ascii="Garamond" w:eastAsia="Times New Roman" w:hAnsi="Garamond"/>
          <w:sz w:val="24"/>
          <w:szCs w:val="24"/>
          <w:lang w:val="en-US"/>
        </w:rPr>
        <w:t xml:space="preserve"> describe</w:t>
      </w:r>
      <w:r w:rsidR="00417E04">
        <w:rPr>
          <w:rFonts w:ascii="Garamond" w:eastAsia="Times New Roman" w:hAnsi="Garamond"/>
          <w:sz w:val="24"/>
          <w:szCs w:val="24"/>
          <w:lang w:val="en-US"/>
        </w:rPr>
        <w:t>s</w:t>
      </w:r>
      <w:r>
        <w:rPr>
          <w:rFonts w:ascii="Garamond" w:eastAsia="Times New Roman" w:hAnsi="Garamond"/>
          <w:sz w:val="24"/>
          <w:szCs w:val="24"/>
          <w:lang w:val="en-US"/>
        </w:rPr>
        <w:t xml:space="preserve"> fair trade as 'buycotts' (Friedman, 1999) and 'pro-cotts' (Craig Smith, 1990). Commodity boycotts enable</w:t>
      </w:r>
      <w:r w:rsidRPr="00CB3800">
        <w:rPr>
          <w:rFonts w:ascii="Garamond" w:eastAsia="Times New Roman" w:hAnsi="Garamond"/>
          <w:sz w:val="24"/>
          <w:szCs w:val="24"/>
          <w:lang w:val="en-US"/>
        </w:rPr>
        <w:t xml:space="preserve"> consumers</w:t>
      </w:r>
      <w:r>
        <w:rPr>
          <w:rFonts w:ascii="Garamond" w:eastAsia="Times New Roman" w:hAnsi="Garamond"/>
          <w:sz w:val="24"/>
          <w:szCs w:val="24"/>
          <w:lang w:val="en-US"/>
        </w:rPr>
        <w:t xml:space="preserve"> and producers</w:t>
      </w:r>
      <w:r w:rsidRPr="00CB3800">
        <w:rPr>
          <w:rFonts w:ascii="Garamond" w:eastAsia="Times New Roman" w:hAnsi="Garamond"/>
          <w:sz w:val="24"/>
          <w:szCs w:val="24"/>
          <w:lang w:val="en-US"/>
        </w:rPr>
        <w:t xml:space="preserve"> to express their disapproval of a company</w:t>
      </w:r>
      <w:r w:rsidRPr="00CB3800">
        <w:rPr>
          <w:rFonts w:ascii="Garamond" w:eastAsia="Times New Roman" w:hAnsi="Garamond"/>
          <w:sz w:val="24"/>
          <w:szCs w:val="24"/>
        </w:rPr>
        <w:t>’</w:t>
      </w:r>
      <w:r w:rsidRPr="00CB3800">
        <w:rPr>
          <w:rFonts w:ascii="Garamond" w:eastAsia="Times New Roman" w:hAnsi="Garamond"/>
          <w:sz w:val="24"/>
          <w:szCs w:val="24"/>
          <w:lang w:val="en-US"/>
        </w:rPr>
        <w:t>s product</w:t>
      </w:r>
      <w:r>
        <w:rPr>
          <w:rFonts w:ascii="Garamond" w:eastAsia="Times New Roman" w:hAnsi="Garamond"/>
          <w:sz w:val="24"/>
          <w:szCs w:val="24"/>
          <w:lang w:val="en-US"/>
        </w:rPr>
        <w:t>, conditions of work,</w:t>
      </w:r>
      <w:r w:rsidRPr="00CB3800">
        <w:rPr>
          <w:rFonts w:ascii="Garamond" w:eastAsia="Times New Roman" w:hAnsi="Garamond"/>
          <w:sz w:val="24"/>
          <w:szCs w:val="24"/>
          <w:lang w:val="en-US"/>
        </w:rPr>
        <w:t xml:space="preserve"> or corporate actions</w:t>
      </w:r>
      <w:r>
        <w:rPr>
          <w:rFonts w:ascii="Garamond" w:eastAsia="Times New Roman" w:hAnsi="Garamond"/>
          <w:sz w:val="24"/>
          <w:szCs w:val="24"/>
          <w:lang w:val="en-US"/>
        </w:rPr>
        <w:t>,</w:t>
      </w:r>
      <w:r>
        <w:rPr>
          <w:rStyle w:val="FootnoteReference"/>
          <w:rFonts w:ascii="Garamond" w:eastAsia="Times New Roman" w:hAnsi="Garamond"/>
          <w:sz w:val="24"/>
          <w:szCs w:val="24"/>
          <w:lang w:val="en-US"/>
        </w:rPr>
        <w:footnoteReference w:id="1"/>
      </w:r>
      <w:r>
        <w:rPr>
          <w:rFonts w:ascii="Garamond" w:eastAsia="Times New Roman" w:hAnsi="Garamond"/>
          <w:sz w:val="24"/>
          <w:szCs w:val="24"/>
          <w:lang w:val="en-US"/>
        </w:rPr>
        <w:t xml:space="preserve"> they are a means for exerting economic pressure,</w:t>
      </w:r>
      <w:r w:rsidRPr="00CB3800">
        <w:rPr>
          <w:rFonts w:ascii="Garamond" w:eastAsia="Times New Roman" w:hAnsi="Garamond"/>
          <w:sz w:val="24"/>
          <w:szCs w:val="24"/>
          <w:lang w:val="en-US"/>
        </w:rPr>
        <w:t xml:space="preserve"> </w:t>
      </w:r>
      <w:r>
        <w:rPr>
          <w:rFonts w:ascii="Garamond" w:eastAsia="Times New Roman" w:hAnsi="Garamond"/>
          <w:sz w:val="24"/>
          <w:szCs w:val="24"/>
          <w:lang w:val="en-US"/>
        </w:rPr>
        <w:t>or a way of expressing</w:t>
      </w:r>
      <w:r w:rsidRPr="00CB3800">
        <w:rPr>
          <w:rFonts w:ascii="Garamond" w:eastAsia="Times New Roman" w:hAnsi="Garamond"/>
          <w:sz w:val="24"/>
          <w:szCs w:val="24"/>
          <w:lang w:val="en-US"/>
        </w:rPr>
        <w:t xml:space="preserve"> discontent with a third party like a sovereign state or</w:t>
      </w:r>
      <w:r>
        <w:rPr>
          <w:rFonts w:ascii="Garamond" w:eastAsia="Times New Roman" w:hAnsi="Garamond"/>
          <w:sz w:val="24"/>
          <w:szCs w:val="24"/>
          <w:lang w:val="en-US"/>
        </w:rPr>
        <w:t xml:space="preserve"> a </w:t>
      </w:r>
      <w:r>
        <w:rPr>
          <w:rFonts w:ascii="Garamond" w:eastAsia="Times New Roman" w:hAnsi="Garamond"/>
          <w:sz w:val="24"/>
          <w:szCs w:val="24"/>
          <w:lang w:val="en-US"/>
        </w:rPr>
        <w:lastRenderedPageBreak/>
        <w:t xml:space="preserve">political party. </w:t>
      </w:r>
      <w:r>
        <w:rPr>
          <w:rFonts w:ascii="Garamond" w:hAnsi="Garamond" w:cs="Times New Roman"/>
          <w:sz w:val="24"/>
          <w:szCs w:val="24"/>
        </w:rPr>
        <w:t xml:space="preserve">Scholars such as Monroe Friedman, Craig Smith, </w:t>
      </w:r>
      <w:r>
        <w:rPr>
          <w:rFonts w:ascii="Garamond" w:eastAsia="Times New Roman" w:hAnsi="Garamond"/>
          <w:sz w:val="24"/>
          <w:szCs w:val="24"/>
          <w:lang w:val="en-US"/>
        </w:rPr>
        <w:t xml:space="preserve">Michelle Micheletti, Frank Trentmann and Roberta Sassatelli have proposed various conceptual tools for understanding commodity boycotts. Through reading their work alongside the labour-orientated publications of </w:t>
      </w:r>
      <w:r w:rsidRPr="007C1DCE">
        <w:rPr>
          <w:rFonts w:ascii="Garamond" w:eastAsia="Times New Roman" w:hAnsi="Garamond"/>
          <w:sz w:val="24"/>
          <w:szCs w:val="24"/>
          <w:lang w:val="en-US"/>
        </w:rPr>
        <w:t>Harry Laidler and Leo Wolman</w:t>
      </w:r>
      <w:r>
        <w:rPr>
          <w:rFonts w:ascii="Garamond" w:eastAsia="Times New Roman" w:hAnsi="Garamond"/>
          <w:sz w:val="24"/>
          <w:szCs w:val="24"/>
          <w:lang w:val="en-US"/>
        </w:rPr>
        <w:t xml:space="preserve"> from the early-</w:t>
      </w:r>
      <w:r w:rsidRPr="007C1DCE">
        <w:rPr>
          <w:rFonts w:ascii="Garamond" w:eastAsia="Times New Roman" w:hAnsi="Garamond"/>
          <w:sz w:val="24"/>
          <w:szCs w:val="24"/>
          <w:lang w:val="en-US"/>
        </w:rPr>
        <w:t>twentieth century</w:t>
      </w:r>
      <w:r>
        <w:rPr>
          <w:rFonts w:ascii="Garamond" w:eastAsia="Times New Roman" w:hAnsi="Garamond"/>
          <w:sz w:val="24"/>
          <w:szCs w:val="24"/>
          <w:lang w:val="en-US"/>
        </w:rPr>
        <w:t xml:space="preserve">, I propose that: </w:t>
      </w:r>
      <w:r w:rsidRPr="007C1DCE">
        <w:rPr>
          <w:rFonts w:ascii="Garamond" w:eastAsia="Times New Roman" w:hAnsi="Garamond"/>
          <w:i/>
          <w:color w:val="000000"/>
          <w:sz w:val="24"/>
          <w:szCs w:val="24"/>
          <w:lang w:val="en-US"/>
        </w:rPr>
        <w:t>a commodity boycott organization withdraws or diverts from, persuades others to withdraw or divert from, or threatens to withdraw or divert from the purchasing of, or into, singular or sets of commodities, services or workplaces offered for sale or loan by retailers, companies or states.</w:t>
      </w:r>
      <w:r w:rsidRPr="00417E04">
        <w:rPr>
          <w:rStyle w:val="FootnoteReference"/>
          <w:rFonts w:ascii="Garamond" w:eastAsia="Times New Roman" w:hAnsi="Garamond"/>
          <w:color w:val="000000"/>
          <w:sz w:val="24"/>
          <w:szCs w:val="24"/>
          <w:lang w:val="en-US"/>
        </w:rPr>
        <w:footnoteReference w:id="2"/>
      </w:r>
    </w:p>
    <w:p w:rsidR="00BB49E2" w:rsidRDefault="00BB49E2" w:rsidP="00BB49E2">
      <w:pPr>
        <w:spacing w:after="0" w:line="360" w:lineRule="auto"/>
        <w:jc w:val="both"/>
        <w:rPr>
          <w:rFonts w:ascii="Garamond" w:eastAsia="Times New Roman" w:hAnsi="Garamond"/>
          <w:sz w:val="24"/>
          <w:szCs w:val="24"/>
          <w:lang w:val="en-US"/>
        </w:rPr>
      </w:pPr>
    </w:p>
    <w:p w:rsidR="00BB2602" w:rsidRDefault="00BB49E2" w:rsidP="00BB49E2">
      <w:pPr>
        <w:spacing w:after="0" w:line="360" w:lineRule="auto"/>
        <w:jc w:val="both"/>
        <w:rPr>
          <w:rFonts w:ascii="Garamond" w:hAnsi="Garamond"/>
          <w:sz w:val="24"/>
          <w:szCs w:val="24"/>
        </w:rPr>
      </w:pPr>
      <w:r>
        <w:rPr>
          <w:rFonts w:ascii="Garamond" w:hAnsi="Garamond"/>
          <w:sz w:val="24"/>
          <w:szCs w:val="24"/>
        </w:rPr>
        <w:t xml:space="preserve">In this project I </w:t>
      </w:r>
      <w:r w:rsidRPr="00756A16">
        <w:rPr>
          <w:rFonts w:ascii="Garamond" w:hAnsi="Garamond"/>
          <w:sz w:val="24"/>
          <w:szCs w:val="24"/>
        </w:rPr>
        <w:t>spark interest in</w:t>
      </w:r>
      <w:r>
        <w:rPr>
          <w:rFonts w:ascii="Garamond" w:hAnsi="Garamond"/>
          <w:sz w:val="24"/>
          <w:szCs w:val="24"/>
        </w:rPr>
        <w:t xml:space="preserve"> commodity</w:t>
      </w:r>
      <w:r w:rsidRPr="00756A16">
        <w:rPr>
          <w:rFonts w:ascii="Garamond" w:hAnsi="Garamond"/>
          <w:sz w:val="24"/>
          <w:szCs w:val="24"/>
        </w:rPr>
        <w:t xml:space="preserve"> boyc</w:t>
      </w:r>
      <w:r>
        <w:rPr>
          <w:rFonts w:ascii="Garamond" w:hAnsi="Garamond"/>
          <w:sz w:val="24"/>
          <w:szCs w:val="24"/>
        </w:rPr>
        <w:t>ott organizations</w:t>
      </w:r>
      <w:r w:rsidRPr="00756A16">
        <w:rPr>
          <w:rFonts w:ascii="Garamond" w:hAnsi="Garamond"/>
          <w:sz w:val="24"/>
          <w:szCs w:val="24"/>
        </w:rPr>
        <w:t xml:space="preserve"> as</w:t>
      </w:r>
      <w:r>
        <w:rPr>
          <w:rFonts w:ascii="Garamond" w:hAnsi="Garamond"/>
          <w:sz w:val="24"/>
          <w:szCs w:val="24"/>
        </w:rPr>
        <w:t>,</w:t>
      </w:r>
      <w:r w:rsidRPr="00756A16">
        <w:rPr>
          <w:rFonts w:ascii="Garamond" w:hAnsi="Garamond"/>
          <w:sz w:val="24"/>
          <w:szCs w:val="24"/>
        </w:rPr>
        <w:t xml:space="preserve"> with the notable exceptions of Smith (1990), Friedman (1999), and Micheletti et al. (2004),</w:t>
      </w:r>
      <w:r>
        <w:rPr>
          <w:rFonts w:ascii="Garamond" w:hAnsi="Garamond"/>
          <w:sz w:val="24"/>
          <w:szCs w:val="24"/>
        </w:rPr>
        <w:t xml:space="preserve"> Le Billon (2006),</w:t>
      </w:r>
      <w:r w:rsidR="00F152DB">
        <w:rPr>
          <w:rFonts w:ascii="Garamond" w:hAnsi="Garamond"/>
          <w:sz w:val="24"/>
          <w:szCs w:val="24"/>
        </w:rPr>
        <w:t xml:space="preserve"> Barnett et al. (2011) Wilson and </w:t>
      </w:r>
      <w:r>
        <w:rPr>
          <w:rFonts w:ascii="Garamond" w:hAnsi="Garamond"/>
          <w:sz w:val="24"/>
          <w:szCs w:val="24"/>
        </w:rPr>
        <w:t>Curnow (2012),</w:t>
      </w:r>
      <w:r w:rsidRPr="00756A16">
        <w:rPr>
          <w:rFonts w:ascii="Garamond" w:hAnsi="Garamond"/>
          <w:sz w:val="24"/>
          <w:szCs w:val="24"/>
        </w:rPr>
        <w:t xml:space="preserve"> there </w:t>
      </w:r>
      <w:r>
        <w:rPr>
          <w:rFonts w:ascii="Garamond" w:hAnsi="Garamond"/>
          <w:sz w:val="24"/>
          <w:szCs w:val="24"/>
        </w:rPr>
        <w:t>is a dearth</w:t>
      </w:r>
      <w:r w:rsidRPr="00756A16">
        <w:rPr>
          <w:rFonts w:ascii="Garamond" w:hAnsi="Garamond"/>
          <w:sz w:val="24"/>
          <w:szCs w:val="24"/>
        </w:rPr>
        <w:t xml:space="preserve"> of studies </w:t>
      </w:r>
      <w:r>
        <w:rPr>
          <w:rFonts w:ascii="Garamond" w:hAnsi="Garamond"/>
          <w:sz w:val="24"/>
          <w:szCs w:val="24"/>
        </w:rPr>
        <w:t>on the organized politics of boycotting commodities</w:t>
      </w:r>
      <w:r w:rsidRPr="00756A16">
        <w:rPr>
          <w:rFonts w:ascii="Garamond" w:hAnsi="Garamond"/>
          <w:sz w:val="24"/>
          <w:szCs w:val="24"/>
        </w:rPr>
        <w:t>,</w:t>
      </w:r>
      <w:r>
        <w:rPr>
          <w:rStyle w:val="FootnoteReference"/>
          <w:rFonts w:ascii="Garamond" w:hAnsi="Garamond"/>
          <w:sz w:val="24"/>
          <w:szCs w:val="24"/>
        </w:rPr>
        <w:footnoteReference w:id="3"/>
      </w:r>
      <w:r>
        <w:rPr>
          <w:rFonts w:ascii="Garamond" w:hAnsi="Garamond"/>
          <w:sz w:val="24"/>
          <w:szCs w:val="24"/>
        </w:rPr>
        <w:t xml:space="preserve"> </w:t>
      </w:r>
      <w:r w:rsidRPr="00756A16">
        <w:rPr>
          <w:rFonts w:ascii="Garamond" w:hAnsi="Garamond"/>
          <w:sz w:val="24"/>
          <w:szCs w:val="24"/>
        </w:rPr>
        <w:t>and fewer still which</w:t>
      </w:r>
      <w:r>
        <w:rPr>
          <w:rFonts w:ascii="Garamond" w:hAnsi="Garamond"/>
          <w:sz w:val="24"/>
          <w:szCs w:val="24"/>
        </w:rPr>
        <w:t xml:space="preserve"> use interviews with activists, </w:t>
      </w:r>
      <w:r w:rsidRPr="00756A16">
        <w:rPr>
          <w:rFonts w:ascii="Garamond" w:hAnsi="Garamond"/>
          <w:sz w:val="24"/>
          <w:szCs w:val="24"/>
        </w:rPr>
        <w:t xml:space="preserve">or </w:t>
      </w:r>
      <w:r>
        <w:rPr>
          <w:rFonts w:ascii="Garamond" w:hAnsi="Garamond"/>
          <w:sz w:val="24"/>
          <w:szCs w:val="24"/>
        </w:rPr>
        <w:t>assess</w:t>
      </w:r>
      <w:r w:rsidRPr="00756A16">
        <w:rPr>
          <w:rFonts w:ascii="Garamond" w:hAnsi="Garamond"/>
          <w:sz w:val="24"/>
          <w:szCs w:val="24"/>
        </w:rPr>
        <w:t xml:space="preserve"> their racial, embodied and spatial machinations</w:t>
      </w:r>
      <w:r>
        <w:rPr>
          <w:rFonts w:ascii="Garamond" w:hAnsi="Garamond"/>
          <w:sz w:val="24"/>
          <w:szCs w:val="24"/>
        </w:rPr>
        <w:t>.</w:t>
      </w:r>
      <w:r>
        <w:rPr>
          <w:rStyle w:val="FootnoteReference"/>
          <w:rFonts w:ascii="Garamond" w:hAnsi="Garamond"/>
          <w:sz w:val="24"/>
          <w:szCs w:val="24"/>
        </w:rPr>
        <w:footnoteReference w:id="4"/>
      </w:r>
      <w:r>
        <w:rPr>
          <w:rFonts w:ascii="Garamond" w:hAnsi="Garamond"/>
          <w:sz w:val="24"/>
          <w:szCs w:val="24"/>
        </w:rPr>
        <w:t xml:space="preserve"> While</w:t>
      </w:r>
      <w:r w:rsidRPr="00756A16">
        <w:rPr>
          <w:rFonts w:ascii="Garamond" w:hAnsi="Garamond"/>
          <w:sz w:val="24"/>
          <w:szCs w:val="24"/>
        </w:rPr>
        <w:t xml:space="preserve"> address</w:t>
      </w:r>
      <w:r>
        <w:rPr>
          <w:rFonts w:ascii="Garamond" w:hAnsi="Garamond"/>
          <w:sz w:val="24"/>
          <w:szCs w:val="24"/>
        </w:rPr>
        <w:t>ing</w:t>
      </w:r>
      <w:r w:rsidRPr="00756A16">
        <w:rPr>
          <w:rFonts w:ascii="Garamond" w:hAnsi="Garamond"/>
          <w:sz w:val="24"/>
          <w:szCs w:val="24"/>
        </w:rPr>
        <w:t xml:space="preserve"> this lacuna</w:t>
      </w:r>
      <w:r>
        <w:rPr>
          <w:rFonts w:ascii="Garamond" w:hAnsi="Garamond"/>
          <w:sz w:val="24"/>
          <w:szCs w:val="24"/>
        </w:rPr>
        <w:t xml:space="preserve"> is a desired outcome of this project</w:t>
      </w:r>
      <w:r w:rsidRPr="00756A16">
        <w:rPr>
          <w:rFonts w:ascii="Garamond" w:hAnsi="Garamond"/>
          <w:sz w:val="24"/>
          <w:szCs w:val="24"/>
        </w:rPr>
        <w:t xml:space="preserve">, </w:t>
      </w:r>
      <w:r>
        <w:rPr>
          <w:rFonts w:ascii="Garamond" w:hAnsi="Garamond"/>
          <w:sz w:val="24"/>
          <w:szCs w:val="24"/>
        </w:rPr>
        <w:t xml:space="preserve">the conviction that informs my thesis is </w:t>
      </w:r>
      <w:r w:rsidR="00417E04">
        <w:rPr>
          <w:rFonts w:ascii="Garamond" w:eastAsia="Times New Roman" w:hAnsi="Garamond"/>
          <w:color w:val="000000"/>
          <w:sz w:val="24"/>
          <w:szCs w:val="24"/>
          <w:lang w:val="en-US"/>
        </w:rPr>
        <w:t>that together the six</w:t>
      </w:r>
      <w:r>
        <w:rPr>
          <w:rFonts w:ascii="Garamond" w:eastAsia="Times New Roman" w:hAnsi="Garamond"/>
          <w:color w:val="000000"/>
          <w:sz w:val="24"/>
          <w:szCs w:val="24"/>
          <w:lang w:val="en-US"/>
        </w:rPr>
        <w:t xml:space="preserve"> chapters propose a multidimensional framework for </w:t>
      </w:r>
      <w:r>
        <w:rPr>
          <w:rFonts w:ascii="Garamond" w:hAnsi="Garamond" w:cs="Times New Roman"/>
          <w:sz w:val="24"/>
        </w:rPr>
        <w:t>re-introducing</w:t>
      </w:r>
      <w:r w:rsidRPr="001B4F73">
        <w:rPr>
          <w:rFonts w:ascii="Garamond" w:hAnsi="Garamond" w:cs="Times New Roman"/>
          <w:sz w:val="24"/>
        </w:rPr>
        <w:t xml:space="preserve"> </w:t>
      </w:r>
      <w:r>
        <w:rPr>
          <w:rFonts w:ascii="Garamond" w:hAnsi="Garamond" w:cs="Times New Roman"/>
          <w:sz w:val="24"/>
        </w:rPr>
        <w:t>the work of commodity boycotts into academic discussion</w:t>
      </w:r>
      <w:r w:rsidRPr="001B4F73">
        <w:rPr>
          <w:rFonts w:ascii="Garamond" w:hAnsi="Garamond" w:cs="Times New Roman"/>
          <w:sz w:val="24"/>
        </w:rPr>
        <w:t xml:space="preserve"> as </w:t>
      </w:r>
      <w:r>
        <w:rPr>
          <w:rFonts w:ascii="Garamond" w:hAnsi="Garamond" w:cs="Times New Roman"/>
          <w:sz w:val="24"/>
        </w:rPr>
        <w:t>forms</w:t>
      </w:r>
      <w:r w:rsidRPr="001B4F73">
        <w:rPr>
          <w:rFonts w:ascii="Garamond" w:hAnsi="Garamond" w:cs="Times New Roman"/>
          <w:sz w:val="24"/>
        </w:rPr>
        <w:t xml:space="preserve"> of cultural production generative of specific visceral emotions, solidarities, responsib</w:t>
      </w:r>
      <w:r>
        <w:rPr>
          <w:rFonts w:ascii="Garamond" w:hAnsi="Garamond" w:cs="Times New Roman"/>
          <w:sz w:val="24"/>
        </w:rPr>
        <w:t xml:space="preserve">ilities and subject positions. </w:t>
      </w:r>
      <w:r w:rsidRPr="00220AAA">
        <w:rPr>
          <w:rFonts w:ascii="Garamond" w:hAnsi="Garamond" w:cs="Times New Roman"/>
          <w:sz w:val="24"/>
          <w:szCs w:val="24"/>
        </w:rPr>
        <w:t>The commodity boycott, James Jasper writes</w:t>
      </w:r>
      <w:r>
        <w:rPr>
          <w:rFonts w:ascii="Garamond" w:hAnsi="Garamond" w:cs="Times New Roman"/>
          <w:sz w:val="24"/>
          <w:szCs w:val="24"/>
        </w:rPr>
        <w:t>,</w:t>
      </w:r>
      <w:r w:rsidRPr="00220AAA">
        <w:rPr>
          <w:rFonts w:ascii="Garamond" w:hAnsi="Garamond" w:cs="Times New Roman"/>
          <w:sz w:val="24"/>
          <w:szCs w:val="24"/>
        </w:rPr>
        <w:t xml:space="preserve"> is the "the mildest strategy of moral protest" (1997: 265)</w:t>
      </w:r>
      <w:r>
        <w:rPr>
          <w:rFonts w:ascii="Garamond" w:hAnsi="Garamond" w:cs="Times New Roman"/>
          <w:sz w:val="24"/>
          <w:szCs w:val="24"/>
        </w:rPr>
        <w:t>. There is little mildness to be found among these pages; rather disgust, shame, anger, confusion, paranoia, hate, trust, solidarity, defiance and joy. Through comparing and contrasting the BOA and STT, I question</w:t>
      </w:r>
      <w:r w:rsidRPr="00756A16">
        <w:rPr>
          <w:rFonts w:ascii="Garamond" w:hAnsi="Garamond"/>
          <w:sz w:val="24"/>
          <w:szCs w:val="24"/>
        </w:rPr>
        <w:t xml:space="preserve"> some of the cultural and creative limitations placed on consumer boycotts made in socia</w:t>
      </w:r>
      <w:r>
        <w:rPr>
          <w:rFonts w:ascii="Garamond" w:hAnsi="Garamond"/>
          <w:sz w:val="24"/>
          <w:szCs w:val="24"/>
        </w:rPr>
        <w:t xml:space="preserve">l movements theory and ethical consumption scholarship (outlined in Chapter Two), and I show how underpinning commitments to antiracism and anti-racialism respectively produce different boycotting politics. Moving back and forth between the BOA and STT enables </w:t>
      </w:r>
      <w:r>
        <w:rPr>
          <w:rFonts w:ascii="Garamond" w:hAnsi="Garamond"/>
          <w:sz w:val="24"/>
          <w:szCs w:val="24"/>
        </w:rPr>
        <w:lastRenderedPageBreak/>
        <w:t>me to empirically ground and historicize</w:t>
      </w:r>
      <w:r w:rsidRPr="00756A16">
        <w:rPr>
          <w:rFonts w:ascii="Garamond" w:hAnsi="Garamond"/>
          <w:sz w:val="24"/>
          <w:szCs w:val="24"/>
        </w:rPr>
        <w:t xml:space="preserve"> debates on the spatial dimension of the relationships between base emotions of guilt, pity and compa</w:t>
      </w:r>
      <w:r>
        <w:rPr>
          <w:rFonts w:ascii="Garamond" w:hAnsi="Garamond"/>
          <w:sz w:val="24"/>
          <w:szCs w:val="24"/>
        </w:rPr>
        <w:t>ssion with actions and feelings of solidarity and responsibility</w:t>
      </w:r>
      <w:r w:rsidRPr="00756A16">
        <w:rPr>
          <w:rFonts w:ascii="Garamond" w:hAnsi="Garamond"/>
          <w:sz w:val="24"/>
          <w:szCs w:val="24"/>
        </w:rPr>
        <w:t xml:space="preserve"> </w:t>
      </w:r>
      <w:r>
        <w:rPr>
          <w:rFonts w:ascii="Garamond" w:hAnsi="Garamond"/>
          <w:sz w:val="24"/>
          <w:szCs w:val="24"/>
        </w:rPr>
        <w:t>(Arendt, 1990; Boltanski, 1999</w:t>
      </w:r>
      <w:r w:rsidRPr="005929FC">
        <w:rPr>
          <w:rFonts w:ascii="Garamond" w:hAnsi="Garamond"/>
          <w:sz w:val="24"/>
          <w:szCs w:val="24"/>
        </w:rPr>
        <w:t xml:space="preserve">; Young, 2001; Massey, 2004; </w:t>
      </w:r>
      <w:r>
        <w:rPr>
          <w:rFonts w:ascii="Garamond" w:hAnsi="Garamond"/>
          <w:sz w:val="24"/>
          <w:szCs w:val="24"/>
        </w:rPr>
        <w:t xml:space="preserve">Silverstone, 2007; </w:t>
      </w:r>
      <w:r w:rsidRPr="005929FC">
        <w:rPr>
          <w:rFonts w:ascii="Garamond" w:hAnsi="Garamond"/>
          <w:sz w:val="24"/>
          <w:szCs w:val="24"/>
        </w:rPr>
        <w:t>Chouliaraki</w:t>
      </w:r>
      <w:r>
        <w:rPr>
          <w:rFonts w:ascii="Garamond" w:hAnsi="Garamond"/>
          <w:sz w:val="24"/>
          <w:szCs w:val="24"/>
        </w:rPr>
        <w:t>,</w:t>
      </w:r>
      <w:r w:rsidRPr="005929FC">
        <w:rPr>
          <w:rFonts w:ascii="Garamond" w:hAnsi="Garamond"/>
          <w:sz w:val="24"/>
          <w:szCs w:val="24"/>
        </w:rPr>
        <w:t xml:space="preserve"> 2011</w:t>
      </w:r>
      <w:r>
        <w:rPr>
          <w:rFonts w:ascii="Garamond" w:hAnsi="Garamond"/>
          <w:sz w:val="24"/>
          <w:szCs w:val="24"/>
        </w:rPr>
        <w:t>a).</w:t>
      </w:r>
      <w:r w:rsidRPr="00756A16">
        <w:rPr>
          <w:rFonts w:ascii="Garamond" w:hAnsi="Garamond"/>
          <w:sz w:val="24"/>
          <w:szCs w:val="24"/>
        </w:rPr>
        <w:t xml:space="preserve">    </w:t>
      </w:r>
    </w:p>
    <w:p w:rsidR="00BB49E2" w:rsidRPr="00E5202D" w:rsidRDefault="00BB49E2" w:rsidP="00BB49E2">
      <w:pPr>
        <w:spacing w:after="0" w:line="360" w:lineRule="auto"/>
        <w:jc w:val="both"/>
        <w:rPr>
          <w:rFonts w:ascii="Garamond" w:eastAsia="Times New Roman" w:hAnsi="Garamond"/>
          <w:sz w:val="24"/>
          <w:szCs w:val="24"/>
          <w:lang w:val="en-US"/>
        </w:rPr>
      </w:pPr>
    </w:p>
    <w:p w:rsidR="00BB49E2" w:rsidRPr="00D054AC" w:rsidRDefault="00BB49E2" w:rsidP="00BB49E2">
      <w:pPr>
        <w:spacing w:after="0" w:line="360" w:lineRule="auto"/>
        <w:jc w:val="both"/>
        <w:rPr>
          <w:rFonts w:ascii="Garamond" w:hAnsi="Garamond"/>
          <w:b/>
          <w:i/>
          <w:szCs w:val="24"/>
        </w:rPr>
      </w:pPr>
      <w:r w:rsidRPr="00D054AC">
        <w:rPr>
          <w:rFonts w:ascii="Garamond" w:hAnsi="Garamond"/>
          <w:b/>
          <w:i/>
          <w:szCs w:val="24"/>
        </w:rPr>
        <w:t>The body as battlefield</w:t>
      </w:r>
    </w:p>
    <w:p w:rsidR="00BB49E2" w:rsidRDefault="00BB49E2" w:rsidP="00BB49E2">
      <w:pPr>
        <w:autoSpaceDE w:val="0"/>
        <w:autoSpaceDN w:val="0"/>
        <w:adjustRightInd w:val="0"/>
        <w:spacing w:after="0" w:line="360" w:lineRule="auto"/>
        <w:ind w:left="284" w:right="284"/>
        <w:jc w:val="both"/>
        <w:rPr>
          <w:rFonts w:ascii="Garamond" w:hAnsi="Garamond"/>
          <w:sz w:val="18"/>
          <w:szCs w:val="18"/>
        </w:rPr>
      </w:pPr>
    </w:p>
    <w:p w:rsidR="00BB49E2" w:rsidRPr="00F3041C" w:rsidRDefault="00BB49E2" w:rsidP="00BB49E2">
      <w:pPr>
        <w:autoSpaceDE w:val="0"/>
        <w:autoSpaceDN w:val="0"/>
        <w:adjustRightInd w:val="0"/>
        <w:spacing w:after="0" w:line="360" w:lineRule="auto"/>
        <w:ind w:left="284" w:right="284"/>
        <w:jc w:val="both"/>
        <w:rPr>
          <w:rFonts w:ascii="Garamond" w:hAnsi="Garamond"/>
        </w:rPr>
      </w:pPr>
      <w:r w:rsidRPr="00F3041C">
        <w:rPr>
          <w:rFonts w:ascii="Garamond" w:hAnsi="Garamond"/>
        </w:rPr>
        <w:t>The body as a battlefield...Beginning with the body 'reaching out' does open up an opportunity to map out a series of spatial narratives in different scales, involving places, connections, boundaries, territories, etc</w:t>
      </w:r>
      <w:r>
        <w:rPr>
          <w:rFonts w:ascii="Garamond" w:hAnsi="Garamond"/>
        </w:rPr>
        <w:t>.</w:t>
      </w:r>
      <w:r w:rsidRPr="00F3041C">
        <w:rPr>
          <w:rFonts w:ascii="Garamond" w:hAnsi="Garamond"/>
        </w:rPr>
        <w:t>, and scope exists for more work to be done in this area. But the idea of the body as 'the geography closest in' seeks to go beyond these earlier, limited conceptualizations. This newer idea is about how bodies are made and used; it is a concern with the inscription of power and resistance on the body, concurrently involving issues of performativity, body politics and the body as a site of contestation. (Simonsen, 2000: 7)</w:t>
      </w:r>
    </w:p>
    <w:p w:rsidR="00BB49E2" w:rsidRDefault="00BB49E2" w:rsidP="00BB49E2">
      <w:pPr>
        <w:autoSpaceDE w:val="0"/>
        <w:autoSpaceDN w:val="0"/>
        <w:adjustRightInd w:val="0"/>
        <w:spacing w:after="0" w:line="360" w:lineRule="auto"/>
        <w:jc w:val="both"/>
        <w:rPr>
          <w:rFonts w:ascii="Garamond" w:eastAsia="Times New Roman" w:hAnsi="Garamond"/>
          <w:sz w:val="24"/>
          <w:szCs w:val="24"/>
          <w:lang w:val="en-US"/>
        </w:rPr>
      </w:pPr>
    </w:p>
    <w:p w:rsidR="00BB49E2" w:rsidRDefault="00BB49E2" w:rsidP="00BB49E2">
      <w:pPr>
        <w:spacing w:after="0" w:line="360" w:lineRule="auto"/>
        <w:jc w:val="both"/>
        <w:rPr>
          <w:rFonts w:ascii="Garamond" w:eastAsia="Times New Roman" w:hAnsi="Garamond"/>
          <w:color w:val="000000"/>
          <w:sz w:val="24"/>
          <w:szCs w:val="24"/>
          <w:lang w:val="en-US"/>
        </w:rPr>
      </w:pPr>
      <w:r>
        <w:rPr>
          <w:rFonts w:ascii="Garamond" w:eastAsia="Times New Roman" w:hAnsi="Garamond"/>
          <w:color w:val="000000"/>
          <w:sz w:val="24"/>
          <w:szCs w:val="24"/>
          <w:lang w:val="en-US"/>
        </w:rPr>
        <w:t xml:space="preserve">Chattel slavery, human trafficking and apartheid are forms of economic production made crushingly real through the application of violence and discipline in tandem with concretized forms of discrimination based on expanding from the geography closest-in: the body. Skin, phenotype, gender and age are their key organizing principles; legitimizing racism, patriarchy, emotional and physical violence are their social and political projects. For antislavery and anti-apartheid movements past, and anti-trafficking organizations today – articulating, publicizing and condemning these economies has often meant bringing these bodily relations to the forefront of campaigns and showing how Western consumers are complicit with the violence. To do this, the embodied pain of labourers, and the embodied violence of racial theocracies, kleptocracies and other forms of political economy must be translated into types of knowledges, practices and political projects that are meaningful for Western audiences. </w:t>
      </w:r>
    </w:p>
    <w:p w:rsidR="00BB49E2" w:rsidRDefault="00BB49E2" w:rsidP="00BB49E2">
      <w:pPr>
        <w:spacing w:after="0" w:line="360" w:lineRule="auto"/>
        <w:jc w:val="both"/>
        <w:rPr>
          <w:rFonts w:ascii="Garamond" w:eastAsia="Times New Roman" w:hAnsi="Garamond"/>
          <w:color w:val="000000"/>
          <w:sz w:val="24"/>
          <w:szCs w:val="24"/>
          <w:lang w:val="en-US"/>
        </w:rPr>
      </w:pPr>
    </w:p>
    <w:p w:rsidR="00BB49E2" w:rsidRPr="00F07857" w:rsidRDefault="00BB49E2" w:rsidP="001B6D85">
      <w:pPr>
        <w:spacing w:after="0" w:line="360" w:lineRule="auto"/>
        <w:jc w:val="both"/>
        <w:rPr>
          <w:rFonts w:ascii="Garamond" w:eastAsia="Times New Roman" w:hAnsi="Garamond"/>
          <w:color w:val="000000"/>
          <w:sz w:val="24"/>
          <w:szCs w:val="24"/>
          <w:lang w:val="en-US"/>
        </w:rPr>
      </w:pPr>
      <w:r>
        <w:rPr>
          <w:rFonts w:ascii="Garamond" w:eastAsia="Times New Roman" w:hAnsi="Garamond"/>
          <w:color w:val="000000"/>
          <w:sz w:val="24"/>
          <w:szCs w:val="24"/>
          <w:lang w:val="en-US"/>
        </w:rPr>
        <w:t>Representing and making meaningful em</w:t>
      </w:r>
      <w:r w:rsidR="00417E04">
        <w:rPr>
          <w:rFonts w:ascii="Garamond" w:eastAsia="Times New Roman" w:hAnsi="Garamond"/>
          <w:color w:val="000000"/>
          <w:sz w:val="24"/>
          <w:szCs w:val="24"/>
          <w:lang w:val="en-US"/>
        </w:rPr>
        <w:t>bodied pain over great distance</w:t>
      </w:r>
      <w:r>
        <w:rPr>
          <w:rFonts w:ascii="Garamond" w:eastAsia="Times New Roman" w:hAnsi="Garamond"/>
          <w:color w:val="000000"/>
          <w:sz w:val="24"/>
          <w:szCs w:val="24"/>
          <w:lang w:val="en-US"/>
        </w:rPr>
        <w:t xml:space="preserve"> is a complicated and immediately political exercise (Scarry, 1985; Boltanski, 1999). Humanitarianism has a history dating to the eighteenth century of creating sympathy with strangers through depicting, analysing and describing bodies in pain (</w:t>
      </w:r>
      <w:r w:rsidRPr="00405D75">
        <w:rPr>
          <w:rStyle w:val="citation"/>
          <w:rFonts w:ascii="Garamond" w:hAnsi="Garamond" w:cs="Arial"/>
          <w:color w:val="000000"/>
          <w:sz w:val="24"/>
          <w:szCs w:val="24"/>
        </w:rPr>
        <w:t>Laqueur</w:t>
      </w:r>
      <w:r>
        <w:rPr>
          <w:rStyle w:val="citation"/>
          <w:rFonts w:ascii="Garamond" w:hAnsi="Garamond" w:cs="Arial"/>
          <w:color w:val="000000"/>
          <w:sz w:val="24"/>
          <w:szCs w:val="24"/>
        </w:rPr>
        <w:t>,</w:t>
      </w:r>
      <w:r>
        <w:rPr>
          <w:rFonts w:ascii="Garamond" w:eastAsia="Times New Roman" w:hAnsi="Garamond"/>
          <w:color w:val="000000"/>
          <w:sz w:val="24"/>
          <w:szCs w:val="24"/>
          <w:lang w:val="en-US"/>
        </w:rPr>
        <w:t xml:space="preserve"> 1990). A chronology of this history is visible in the preserved campaign material of humanitarian boycotts throughout the last two centuries. Bodies are brought close, meaningful and intimate in particular ways. But there are other boycotts that are based not on representing pain and suffering, </w:t>
      </w:r>
      <w:r>
        <w:rPr>
          <w:rFonts w:ascii="Garamond" w:eastAsia="Times New Roman" w:hAnsi="Garamond"/>
          <w:color w:val="000000"/>
          <w:sz w:val="24"/>
          <w:szCs w:val="24"/>
          <w:lang w:val="en-US"/>
        </w:rPr>
        <w:lastRenderedPageBreak/>
        <w:t>but instead pride and defiance. These boycott campaigns owe less to humanitarianism and philanthropy, and more to labour organization and the construction of mutual solidarities. Across the thesis I show how the body becomes the battlefield for humanitarian and anti-colonial boycotts, and how it becomes a site on</w:t>
      </w:r>
      <w:r w:rsidR="00A1744E">
        <w:rPr>
          <w:rFonts w:ascii="Garamond" w:eastAsia="Times New Roman" w:hAnsi="Garamond"/>
          <w:color w:val="000000"/>
          <w:sz w:val="24"/>
          <w:szCs w:val="24"/>
          <w:lang w:val="en-US"/>
        </w:rPr>
        <w:t xml:space="preserve"> and through</w:t>
      </w:r>
      <w:r>
        <w:rPr>
          <w:rFonts w:ascii="Garamond" w:eastAsia="Times New Roman" w:hAnsi="Garamond"/>
          <w:color w:val="000000"/>
          <w:sz w:val="24"/>
          <w:szCs w:val="24"/>
          <w:lang w:val="en-US"/>
        </w:rPr>
        <w:t xml:space="preserve"> which apartheid and trafficking knowledge is contested.   </w:t>
      </w:r>
    </w:p>
    <w:p w:rsidR="00D054AC" w:rsidRDefault="00D054AC" w:rsidP="001B6D85">
      <w:pPr>
        <w:spacing w:after="0" w:line="360" w:lineRule="auto"/>
        <w:jc w:val="both"/>
        <w:rPr>
          <w:rFonts w:ascii="Garamond" w:hAnsi="Garamond"/>
          <w:b/>
          <w:sz w:val="24"/>
          <w:szCs w:val="24"/>
        </w:rPr>
      </w:pPr>
    </w:p>
    <w:p w:rsidR="00BB49E2" w:rsidRDefault="00BB49E2" w:rsidP="001B6D85">
      <w:pPr>
        <w:spacing w:after="0" w:line="360" w:lineRule="auto"/>
        <w:jc w:val="both"/>
        <w:rPr>
          <w:rFonts w:ascii="Garamond" w:hAnsi="Garamond"/>
          <w:b/>
          <w:sz w:val="24"/>
          <w:szCs w:val="24"/>
        </w:rPr>
      </w:pPr>
    </w:p>
    <w:p w:rsidR="00BB49E2" w:rsidRPr="0002611C" w:rsidRDefault="00BB49E2" w:rsidP="001B6D85">
      <w:pPr>
        <w:pStyle w:val="Heading2"/>
      </w:pPr>
      <w:bookmarkStart w:id="69" w:name="_Toc244424931"/>
      <w:bookmarkStart w:id="70" w:name="_Toc244453617"/>
      <w:bookmarkStart w:id="71" w:name="_Toc244454134"/>
      <w:bookmarkStart w:id="72" w:name="_Toc244469581"/>
      <w:bookmarkStart w:id="73" w:name="_Toc244508037"/>
      <w:bookmarkStart w:id="74" w:name="_Toc244535731"/>
      <w:bookmarkStart w:id="75" w:name="_Toc244578363"/>
      <w:bookmarkStart w:id="76" w:name="_Toc244578747"/>
      <w:bookmarkStart w:id="77" w:name="_Toc263451996"/>
      <w:bookmarkStart w:id="78" w:name="_Toc263510914"/>
      <w:r w:rsidRPr="0002611C">
        <w:t>Thesis aims</w:t>
      </w:r>
      <w:bookmarkEnd w:id="69"/>
      <w:bookmarkEnd w:id="70"/>
      <w:bookmarkEnd w:id="71"/>
      <w:bookmarkEnd w:id="72"/>
      <w:bookmarkEnd w:id="73"/>
      <w:bookmarkEnd w:id="74"/>
      <w:bookmarkEnd w:id="75"/>
      <w:bookmarkEnd w:id="76"/>
      <w:bookmarkEnd w:id="77"/>
      <w:bookmarkEnd w:id="78"/>
      <w:r w:rsidRPr="0002611C">
        <w:t xml:space="preserve"> </w:t>
      </w:r>
    </w:p>
    <w:p w:rsidR="00BB49E2" w:rsidRPr="00474D9C" w:rsidRDefault="00BB49E2" w:rsidP="001B6D85">
      <w:pPr>
        <w:spacing w:after="0" w:line="360" w:lineRule="auto"/>
        <w:jc w:val="both"/>
        <w:rPr>
          <w:rFonts w:ascii="Garamond" w:hAnsi="Garamond"/>
          <w:b/>
          <w:sz w:val="24"/>
          <w:szCs w:val="24"/>
        </w:rPr>
      </w:pPr>
    </w:p>
    <w:p w:rsidR="00BB49E2" w:rsidRPr="00D054AC" w:rsidRDefault="00BB49E2" w:rsidP="001B6D85">
      <w:pPr>
        <w:spacing w:after="0" w:line="360" w:lineRule="auto"/>
        <w:jc w:val="both"/>
        <w:rPr>
          <w:rFonts w:ascii="Garamond" w:hAnsi="Garamond"/>
          <w:b/>
          <w:i/>
          <w:szCs w:val="24"/>
        </w:rPr>
      </w:pPr>
      <w:r w:rsidRPr="00D054AC">
        <w:rPr>
          <w:rFonts w:ascii="Garamond" w:hAnsi="Garamond"/>
          <w:b/>
          <w:szCs w:val="24"/>
        </w:rPr>
        <w:t xml:space="preserve">a) </w:t>
      </w:r>
      <w:r w:rsidRPr="00D054AC">
        <w:rPr>
          <w:rFonts w:ascii="Garamond" w:hAnsi="Garamond"/>
          <w:b/>
          <w:i/>
          <w:szCs w:val="24"/>
        </w:rPr>
        <w:t>To analyse how and why activist bodywork is deployed in relation to anti-apartheid and anti-trafficking</w:t>
      </w:r>
    </w:p>
    <w:p w:rsidR="00BB49E2" w:rsidRDefault="00BB49E2" w:rsidP="001B6D85">
      <w:pPr>
        <w:spacing w:after="0" w:line="360" w:lineRule="auto"/>
        <w:jc w:val="both"/>
        <w:rPr>
          <w:rFonts w:ascii="Garamond" w:hAnsi="Garamond"/>
          <w:i/>
          <w:sz w:val="24"/>
          <w:szCs w:val="24"/>
        </w:rPr>
      </w:pPr>
    </w:p>
    <w:p w:rsidR="00BB49E2" w:rsidRDefault="00BB49E2" w:rsidP="001B6D85">
      <w:pPr>
        <w:pStyle w:val="NormalWeb"/>
        <w:shd w:val="clear" w:color="auto" w:fill="FFFFFF"/>
        <w:spacing w:before="0" w:beforeAutospacing="0" w:after="0" w:afterAutospacing="0" w:line="360" w:lineRule="auto"/>
        <w:ind w:left="284" w:right="284"/>
        <w:textAlignment w:val="baseline"/>
        <w:rPr>
          <w:rFonts w:ascii="Garamond" w:hAnsi="Garamond"/>
          <w:sz w:val="22"/>
          <w:szCs w:val="22"/>
        </w:rPr>
      </w:pPr>
      <w:r>
        <w:rPr>
          <w:rFonts w:ascii="Garamond" w:hAnsi="Garamond"/>
          <w:sz w:val="22"/>
          <w:szCs w:val="22"/>
        </w:rPr>
        <w:t>In every pound of sugar used we may be considered as consuming two ounces of human flesh.</w:t>
      </w:r>
    </w:p>
    <w:p w:rsidR="00BB49E2" w:rsidRDefault="00BB49E2" w:rsidP="00BB49E2">
      <w:pPr>
        <w:pStyle w:val="NormalWeb"/>
        <w:shd w:val="clear" w:color="auto" w:fill="FFFFFF"/>
        <w:spacing w:before="0" w:beforeAutospacing="0" w:after="0" w:afterAutospacing="0" w:line="360" w:lineRule="auto"/>
        <w:ind w:left="284" w:right="284"/>
        <w:textAlignment w:val="baseline"/>
        <w:rPr>
          <w:rFonts w:ascii="Garamond" w:hAnsi="Garamond"/>
          <w:sz w:val="22"/>
          <w:szCs w:val="22"/>
        </w:rPr>
      </w:pPr>
      <w:r>
        <w:rPr>
          <w:rFonts w:ascii="Garamond" w:hAnsi="Garamond"/>
          <w:sz w:val="22"/>
          <w:szCs w:val="22"/>
        </w:rPr>
        <w:t>(William Fox, 1791: 3)</w:t>
      </w:r>
      <w:r>
        <w:rPr>
          <w:rStyle w:val="FootnoteReference"/>
          <w:rFonts w:ascii="Garamond" w:hAnsi="Garamond"/>
          <w:sz w:val="22"/>
          <w:szCs w:val="22"/>
        </w:rPr>
        <w:footnoteReference w:id="5"/>
      </w:r>
      <w:r>
        <w:rPr>
          <w:rFonts w:ascii="Garamond" w:hAnsi="Garamond"/>
          <w:sz w:val="22"/>
          <w:szCs w:val="22"/>
        </w:rPr>
        <w:t xml:space="preserve"> </w:t>
      </w:r>
    </w:p>
    <w:p w:rsidR="00BB49E2" w:rsidRDefault="00BB49E2" w:rsidP="00BB49E2">
      <w:pPr>
        <w:pStyle w:val="NormalWeb"/>
        <w:shd w:val="clear" w:color="auto" w:fill="FFFFFF"/>
        <w:spacing w:before="0" w:beforeAutospacing="0" w:after="0" w:afterAutospacing="0" w:line="360" w:lineRule="auto"/>
        <w:ind w:left="284" w:right="284"/>
        <w:textAlignment w:val="baseline"/>
        <w:rPr>
          <w:rFonts w:ascii="Garamond" w:hAnsi="Garamond"/>
          <w:sz w:val="22"/>
          <w:szCs w:val="22"/>
        </w:rPr>
      </w:pPr>
    </w:p>
    <w:p w:rsidR="00BB49E2" w:rsidRPr="001B75D3" w:rsidRDefault="00BB49E2" w:rsidP="00BB49E2">
      <w:pPr>
        <w:pStyle w:val="NormalWeb"/>
        <w:shd w:val="clear" w:color="auto" w:fill="FFFFFF"/>
        <w:spacing w:before="0" w:beforeAutospacing="0" w:after="0" w:afterAutospacing="0" w:line="360" w:lineRule="auto"/>
        <w:ind w:left="284" w:right="284"/>
        <w:textAlignment w:val="baseline"/>
        <w:rPr>
          <w:rFonts w:ascii="Garamond" w:hAnsi="Garamond"/>
          <w:sz w:val="22"/>
          <w:szCs w:val="22"/>
        </w:rPr>
      </w:pPr>
      <w:r w:rsidRPr="001B75D3">
        <w:rPr>
          <w:rFonts w:ascii="Garamond" w:hAnsi="Garamond"/>
          <w:sz w:val="22"/>
          <w:szCs w:val="22"/>
        </w:rPr>
        <w:t>So guilt lay in my hands that day, like blood,</w:t>
      </w:r>
      <w:r>
        <w:rPr>
          <w:rFonts w:ascii="Garamond" w:hAnsi="Garamond"/>
          <w:sz w:val="22"/>
          <w:szCs w:val="22"/>
        </w:rPr>
        <w:t xml:space="preserve"> </w:t>
      </w:r>
      <w:r w:rsidRPr="001B75D3">
        <w:rPr>
          <w:rFonts w:ascii="Garamond" w:hAnsi="Garamond"/>
          <w:sz w:val="22"/>
          <w:szCs w:val="22"/>
        </w:rPr>
        <w:t>and from the grocer´s stall the gruesome load</w:t>
      </w:r>
      <w:r>
        <w:rPr>
          <w:rFonts w:ascii="Garamond" w:hAnsi="Garamond"/>
          <w:sz w:val="22"/>
          <w:szCs w:val="22"/>
        </w:rPr>
        <w:t xml:space="preserve">. </w:t>
      </w:r>
      <w:r w:rsidRPr="001B75D3">
        <w:rPr>
          <w:rFonts w:ascii="Garamond" w:hAnsi="Garamond"/>
          <w:sz w:val="22"/>
          <w:szCs w:val="22"/>
        </w:rPr>
        <w:t>Of bloody, battered cheaper – by-the-dozen</w:t>
      </w:r>
      <w:r>
        <w:rPr>
          <w:rFonts w:ascii="Garamond" w:hAnsi="Garamond"/>
          <w:sz w:val="22"/>
          <w:szCs w:val="22"/>
        </w:rPr>
        <w:t xml:space="preserve">. </w:t>
      </w:r>
      <w:r w:rsidRPr="001B75D3">
        <w:rPr>
          <w:rFonts w:ascii="Garamond" w:hAnsi="Garamond"/>
          <w:sz w:val="22"/>
          <w:szCs w:val="22"/>
        </w:rPr>
        <w:t>Dripped bright and dying to the London road. (Barry Oliver Higgs</w:t>
      </w:r>
      <w:r>
        <w:rPr>
          <w:rFonts w:ascii="Garamond" w:hAnsi="Garamond"/>
          <w:sz w:val="22"/>
          <w:szCs w:val="22"/>
        </w:rPr>
        <w:t xml:space="preserve"> in La Guma</w:t>
      </w:r>
      <w:r w:rsidRPr="001B75D3">
        <w:rPr>
          <w:rFonts w:ascii="Garamond" w:hAnsi="Garamond"/>
          <w:sz w:val="22"/>
          <w:szCs w:val="22"/>
        </w:rPr>
        <w:t xml:space="preserve">, 1971: </w:t>
      </w:r>
      <w:r>
        <w:rPr>
          <w:rFonts w:ascii="Garamond" w:hAnsi="Garamond"/>
          <w:sz w:val="22"/>
          <w:szCs w:val="22"/>
        </w:rPr>
        <w:t>121</w:t>
      </w:r>
      <w:r w:rsidRPr="001B75D3">
        <w:rPr>
          <w:rFonts w:ascii="Garamond" w:hAnsi="Garamond"/>
          <w:sz w:val="22"/>
          <w:szCs w:val="22"/>
        </w:rPr>
        <w:t>)</w:t>
      </w:r>
    </w:p>
    <w:p w:rsidR="00BB49E2" w:rsidRDefault="00BB49E2" w:rsidP="00BB49E2">
      <w:pPr>
        <w:pStyle w:val="NormalWeb"/>
        <w:shd w:val="clear" w:color="auto" w:fill="FFFFFF"/>
        <w:spacing w:before="0" w:beforeAutospacing="0" w:after="0" w:afterAutospacing="0" w:line="360" w:lineRule="auto"/>
        <w:ind w:left="284" w:right="284"/>
        <w:textAlignment w:val="baseline"/>
        <w:rPr>
          <w:rFonts w:ascii="Garamond" w:hAnsi="Garamond"/>
          <w:sz w:val="22"/>
          <w:szCs w:val="22"/>
        </w:rPr>
      </w:pPr>
    </w:p>
    <w:p w:rsidR="00BB49E2" w:rsidRPr="001B75D3" w:rsidRDefault="00BB49E2" w:rsidP="00BB49E2">
      <w:pPr>
        <w:pStyle w:val="NormalWeb"/>
        <w:shd w:val="clear" w:color="auto" w:fill="FFFFFF"/>
        <w:spacing w:before="0" w:beforeAutospacing="0" w:after="0" w:afterAutospacing="0" w:line="360" w:lineRule="auto"/>
        <w:ind w:left="284" w:right="284"/>
        <w:jc w:val="both"/>
        <w:textAlignment w:val="baseline"/>
        <w:rPr>
          <w:rFonts w:ascii="Garamond" w:hAnsi="Garamond"/>
          <w:sz w:val="22"/>
          <w:szCs w:val="22"/>
        </w:rPr>
      </w:pPr>
      <w:r>
        <w:rPr>
          <w:rFonts w:ascii="Garamond" w:hAnsi="Garamond"/>
          <w:sz w:val="22"/>
          <w:szCs w:val="22"/>
        </w:rPr>
        <w:t>When I think of all that suffering, it hurts my heart deeply. I want to say so much but I can't find the words. We have never tasted chocolate. If I had to say something to them it would not be nice words. They enjoyed something I suffered to make; I worked hard for them but saw no benefit. They are eating my flesh. (</w:t>
      </w:r>
      <w:r>
        <w:rPr>
          <w:rFonts w:ascii="Garamond" w:hAnsi="Garamond"/>
          <w:i/>
          <w:sz w:val="22"/>
          <w:szCs w:val="22"/>
        </w:rPr>
        <w:t>Slavery: A Global Investigation</w:t>
      </w:r>
      <w:r>
        <w:rPr>
          <w:rFonts w:ascii="Garamond" w:hAnsi="Garamond"/>
          <w:sz w:val="22"/>
          <w:szCs w:val="22"/>
        </w:rPr>
        <w:t>, 2000</w:t>
      </w:r>
      <w:r w:rsidRPr="001B75D3">
        <w:rPr>
          <w:rFonts w:ascii="Garamond" w:hAnsi="Garamond"/>
          <w:sz w:val="22"/>
          <w:szCs w:val="22"/>
        </w:rPr>
        <w:t>:</w:t>
      </w:r>
      <w:r>
        <w:rPr>
          <w:rFonts w:ascii="Garamond" w:hAnsi="Garamond"/>
          <w:sz w:val="22"/>
          <w:szCs w:val="22"/>
        </w:rPr>
        <w:t xml:space="preserve"> 20:35-21:20)</w:t>
      </w:r>
      <w:r w:rsidRPr="001B75D3">
        <w:rPr>
          <w:rFonts w:ascii="Garamond" w:hAnsi="Garamond"/>
          <w:sz w:val="22"/>
          <w:szCs w:val="22"/>
        </w:rPr>
        <w:t xml:space="preserve"> </w:t>
      </w:r>
    </w:p>
    <w:p w:rsidR="00BB49E2" w:rsidRDefault="00BB49E2" w:rsidP="00BB49E2">
      <w:pPr>
        <w:spacing w:after="0" w:line="360" w:lineRule="auto"/>
        <w:jc w:val="both"/>
        <w:rPr>
          <w:rFonts w:ascii="Garamond" w:hAnsi="Garamond"/>
          <w:i/>
          <w:sz w:val="24"/>
          <w:szCs w:val="24"/>
        </w:rPr>
      </w:pPr>
    </w:p>
    <w:p w:rsidR="00BB49E2" w:rsidRDefault="00BB49E2" w:rsidP="00BB49E2">
      <w:pPr>
        <w:spacing w:after="0" w:line="360" w:lineRule="auto"/>
        <w:jc w:val="both"/>
        <w:rPr>
          <w:rFonts w:ascii="Garamond" w:eastAsia="Times New Roman" w:hAnsi="Garamond"/>
          <w:color w:val="000000"/>
          <w:sz w:val="24"/>
          <w:szCs w:val="24"/>
          <w:lang w:val="en-US"/>
        </w:rPr>
      </w:pPr>
      <w:r>
        <w:rPr>
          <w:rFonts w:ascii="Garamond" w:eastAsia="Times New Roman" w:hAnsi="Garamond"/>
          <w:color w:val="000000"/>
          <w:sz w:val="24"/>
          <w:szCs w:val="24"/>
          <w:lang w:val="en-US"/>
        </w:rPr>
        <w:t>Focusing on the representation of bodies (across activist ephemera and images, policy documents, press articles, websites, social networking sites), activist descriptions of embodied performances, and the development of particular somatic reactions and base emotions, I ask how boycott campaigns</w:t>
      </w:r>
      <w:r w:rsidRPr="004D4456">
        <w:rPr>
          <w:rFonts w:ascii="Garamond" w:eastAsia="Times New Roman" w:hAnsi="Garamond"/>
          <w:color w:val="000000"/>
          <w:sz w:val="24"/>
          <w:szCs w:val="24"/>
          <w:lang w:val="en-US"/>
        </w:rPr>
        <w:t xml:space="preserve"> attempt to remap the boundaries of labouring, consuming and domestic action, </w:t>
      </w:r>
      <w:r>
        <w:rPr>
          <w:rFonts w:ascii="Garamond" w:eastAsia="Times New Roman" w:hAnsi="Garamond"/>
          <w:color w:val="000000"/>
          <w:sz w:val="24"/>
          <w:szCs w:val="24"/>
          <w:lang w:val="en-US"/>
        </w:rPr>
        <w:t>the</w:t>
      </w:r>
      <w:r w:rsidRPr="004D4456">
        <w:rPr>
          <w:rFonts w:ascii="Garamond" w:eastAsia="Times New Roman" w:hAnsi="Garamond"/>
          <w:color w:val="000000"/>
          <w:sz w:val="24"/>
          <w:szCs w:val="24"/>
          <w:lang w:val="en-US"/>
        </w:rPr>
        <w:t xml:space="preserve"> </w:t>
      </w:r>
      <w:r w:rsidRPr="004D4456">
        <w:rPr>
          <w:rFonts w:ascii="Garamond" w:eastAsia="Times New Roman" w:hAnsi="Garamond"/>
          <w:color w:val="000000"/>
          <w:sz w:val="24"/>
          <w:szCs w:val="24"/>
        </w:rPr>
        <w:t>‘</w:t>
      </w:r>
      <w:r w:rsidRPr="004D4456">
        <w:rPr>
          <w:rFonts w:ascii="Garamond" w:eastAsia="Times New Roman" w:hAnsi="Garamond"/>
          <w:color w:val="000000"/>
          <w:sz w:val="24"/>
          <w:szCs w:val="24"/>
          <w:lang w:val="en-US"/>
        </w:rPr>
        <w:t>here</w:t>
      </w:r>
      <w:r w:rsidRPr="004D4456">
        <w:rPr>
          <w:rFonts w:ascii="Garamond" w:eastAsia="Times New Roman" w:hAnsi="Garamond"/>
          <w:color w:val="000000"/>
          <w:sz w:val="24"/>
          <w:szCs w:val="24"/>
        </w:rPr>
        <w:t>’</w:t>
      </w:r>
      <w:r w:rsidRPr="004D4456">
        <w:rPr>
          <w:rFonts w:ascii="Garamond" w:eastAsia="Times New Roman" w:hAnsi="Garamond"/>
          <w:color w:val="000000"/>
          <w:sz w:val="24"/>
          <w:szCs w:val="24"/>
          <w:lang w:val="en-US"/>
        </w:rPr>
        <w:t xml:space="preserve"> and </w:t>
      </w:r>
      <w:r w:rsidRPr="004D4456">
        <w:rPr>
          <w:rFonts w:ascii="Garamond" w:eastAsia="Times New Roman" w:hAnsi="Garamond"/>
          <w:color w:val="000000"/>
          <w:sz w:val="24"/>
          <w:szCs w:val="24"/>
        </w:rPr>
        <w:t>‘</w:t>
      </w:r>
      <w:r w:rsidRPr="004D4456">
        <w:rPr>
          <w:rFonts w:ascii="Garamond" w:eastAsia="Times New Roman" w:hAnsi="Garamond"/>
          <w:color w:val="000000"/>
          <w:sz w:val="24"/>
          <w:szCs w:val="24"/>
          <w:lang w:val="en-US"/>
        </w:rPr>
        <w:t>there</w:t>
      </w:r>
      <w:r w:rsidRPr="004D4456">
        <w:rPr>
          <w:rFonts w:ascii="Garamond" w:eastAsia="Times New Roman" w:hAnsi="Garamond"/>
          <w:color w:val="000000"/>
          <w:sz w:val="24"/>
          <w:szCs w:val="24"/>
        </w:rPr>
        <w:t>’</w:t>
      </w:r>
      <w:r w:rsidRPr="004D4456">
        <w:rPr>
          <w:rFonts w:ascii="Garamond" w:eastAsia="Times New Roman" w:hAnsi="Garamond"/>
          <w:color w:val="000000"/>
          <w:sz w:val="24"/>
          <w:szCs w:val="24"/>
          <w:lang w:val="en-US"/>
        </w:rPr>
        <w:t xml:space="preserve">, of </w:t>
      </w:r>
      <w:r>
        <w:rPr>
          <w:rFonts w:ascii="Garamond" w:eastAsia="Times New Roman" w:hAnsi="Garamond"/>
          <w:color w:val="000000"/>
          <w:sz w:val="24"/>
          <w:szCs w:val="24"/>
          <w:lang w:val="en-US"/>
        </w:rPr>
        <w:t xml:space="preserve">what Frank Trentmann (2007) describes as </w:t>
      </w:r>
      <w:r w:rsidRPr="004D4456">
        <w:rPr>
          <w:rFonts w:ascii="Garamond" w:eastAsia="Times New Roman" w:hAnsi="Garamond"/>
          <w:color w:val="000000"/>
          <w:sz w:val="24"/>
          <w:szCs w:val="24"/>
          <w:lang w:val="en-US"/>
        </w:rPr>
        <w:t>the m</w:t>
      </w:r>
      <w:r>
        <w:rPr>
          <w:rFonts w:ascii="Garamond" w:eastAsia="Times New Roman" w:hAnsi="Garamond"/>
          <w:color w:val="000000"/>
          <w:sz w:val="24"/>
          <w:szCs w:val="24"/>
          <w:lang w:val="en-US"/>
        </w:rPr>
        <w:t>oral landscape. How are</w:t>
      </w:r>
      <w:r w:rsidRPr="004D4456">
        <w:rPr>
          <w:rFonts w:ascii="Garamond" w:eastAsia="Times New Roman" w:hAnsi="Garamond"/>
          <w:color w:val="000000"/>
          <w:sz w:val="24"/>
          <w:szCs w:val="24"/>
          <w:lang w:val="en-US"/>
        </w:rPr>
        <w:t xml:space="preserve"> bodies in pain, and </w:t>
      </w:r>
      <w:r w:rsidRPr="004D4456">
        <w:rPr>
          <w:rFonts w:ascii="Garamond" w:eastAsia="Times New Roman" w:hAnsi="Garamond"/>
          <w:color w:val="000000"/>
          <w:sz w:val="24"/>
          <w:szCs w:val="24"/>
        </w:rPr>
        <w:t>‘</w:t>
      </w:r>
      <w:r w:rsidRPr="004D4456">
        <w:rPr>
          <w:rFonts w:ascii="Garamond" w:eastAsia="Times New Roman" w:hAnsi="Garamond"/>
          <w:color w:val="000000"/>
          <w:sz w:val="24"/>
          <w:szCs w:val="24"/>
          <w:lang w:val="en-US"/>
        </w:rPr>
        <w:t>bodies out of place</w:t>
      </w:r>
      <w:r>
        <w:rPr>
          <w:rFonts w:ascii="Garamond" w:eastAsia="Times New Roman" w:hAnsi="Garamond"/>
          <w:color w:val="000000"/>
          <w:sz w:val="24"/>
          <w:szCs w:val="24"/>
        </w:rPr>
        <w:t>'</w:t>
      </w:r>
      <w:r w:rsidRPr="004D4456">
        <w:rPr>
          <w:rFonts w:ascii="Garamond" w:eastAsia="Times New Roman" w:hAnsi="Garamond"/>
          <w:color w:val="000000"/>
          <w:sz w:val="24"/>
          <w:szCs w:val="24"/>
          <w:lang w:val="en-US"/>
        </w:rPr>
        <w:t xml:space="preserve"> (Clarke</w:t>
      </w:r>
      <w:r>
        <w:rPr>
          <w:rFonts w:ascii="Garamond" w:eastAsia="Times New Roman" w:hAnsi="Garamond"/>
          <w:color w:val="000000"/>
          <w:sz w:val="24"/>
          <w:szCs w:val="24"/>
          <w:lang w:val="en-US"/>
        </w:rPr>
        <w:t xml:space="preserve">, 2007)? </w:t>
      </w:r>
    </w:p>
    <w:p w:rsidR="00BB49E2" w:rsidRDefault="00BB49E2" w:rsidP="00BB49E2">
      <w:pPr>
        <w:spacing w:after="0" w:line="360" w:lineRule="auto"/>
        <w:jc w:val="both"/>
        <w:rPr>
          <w:rFonts w:ascii="Garamond" w:eastAsia="Times New Roman" w:hAnsi="Garamond"/>
          <w:color w:val="000000"/>
          <w:sz w:val="24"/>
          <w:szCs w:val="24"/>
          <w:lang w:val="en-US"/>
        </w:rPr>
      </w:pPr>
    </w:p>
    <w:p w:rsidR="00BB49E2" w:rsidRDefault="00BB49E2" w:rsidP="00BB49E2">
      <w:pPr>
        <w:spacing w:after="0" w:line="360" w:lineRule="auto"/>
        <w:jc w:val="both"/>
        <w:rPr>
          <w:rFonts w:ascii="Garamond" w:hAnsi="Garamond"/>
        </w:rPr>
      </w:pPr>
      <w:r>
        <w:rPr>
          <w:rFonts w:ascii="Garamond" w:hAnsi="Garamond"/>
          <w:sz w:val="24"/>
          <w:szCs w:val="24"/>
        </w:rPr>
        <w:lastRenderedPageBreak/>
        <w:t>I approach these questions through</w:t>
      </w:r>
      <w:r>
        <w:rPr>
          <w:rFonts w:ascii="Garamond" w:eastAsia="Times New Roman" w:hAnsi="Garamond"/>
          <w:color w:val="000000"/>
          <w:sz w:val="24"/>
          <w:szCs w:val="24"/>
          <w:lang w:val="en-US"/>
        </w:rPr>
        <w:t xml:space="preserve"> the notion of activist bodywork (explained further in Chapter Two), which I understand </w:t>
      </w:r>
      <w:r w:rsidRPr="00495B0E">
        <w:rPr>
          <w:rFonts w:ascii="Garamond" w:eastAsia="Times New Roman" w:hAnsi="Garamond"/>
          <w:color w:val="000000"/>
          <w:sz w:val="24"/>
          <w:szCs w:val="24"/>
          <w:lang w:val="en-US"/>
        </w:rPr>
        <w:t xml:space="preserve">as the performative, representational and material work done to commodity-body relationships by boycotting activists, </w:t>
      </w:r>
      <w:r w:rsidRPr="00495B0E">
        <w:rPr>
          <w:rFonts w:ascii="Garamond" w:hAnsi="Garamond"/>
          <w:sz w:val="24"/>
          <w:szCs w:val="24"/>
        </w:rPr>
        <w:t>and the application of particular ways of seeing, sensing, feeling, representing and performing labouring and consuming bodies by activists</w:t>
      </w:r>
      <w:r w:rsidRPr="00495B0E">
        <w:rPr>
          <w:rFonts w:ascii="Garamond" w:hAnsi="Garamond"/>
        </w:rPr>
        <w:t>.</w:t>
      </w:r>
    </w:p>
    <w:p w:rsidR="00BB49E2" w:rsidRDefault="00BB49E2" w:rsidP="00BB49E2">
      <w:pPr>
        <w:spacing w:after="0" w:line="360" w:lineRule="auto"/>
        <w:jc w:val="both"/>
        <w:rPr>
          <w:rFonts w:ascii="Garamond" w:hAnsi="Garamond"/>
        </w:rPr>
      </w:pPr>
    </w:p>
    <w:p w:rsidR="00BB49E2" w:rsidRDefault="00BB49E2" w:rsidP="00BB49E2">
      <w:pPr>
        <w:spacing w:after="0" w:line="360" w:lineRule="auto"/>
        <w:jc w:val="both"/>
        <w:rPr>
          <w:rFonts w:ascii="Garamond" w:eastAsia="Times New Roman" w:hAnsi="Garamond"/>
          <w:color w:val="000000"/>
          <w:sz w:val="24"/>
          <w:szCs w:val="24"/>
          <w:lang w:val="en-US"/>
        </w:rPr>
      </w:pPr>
      <w:r>
        <w:rPr>
          <w:rFonts w:ascii="Garamond" w:eastAsia="Times New Roman" w:hAnsi="Garamond"/>
          <w:color w:val="000000"/>
          <w:sz w:val="24"/>
          <w:szCs w:val="24"/>
          <w:lang w:val="en-US"/>
        </w:rPr>
        <w:t>In Chapter Three and Chapter Four, I ask how the vibrant materialities and 'magical properties', of citrus and chocolate are mobilized to say political things about bodies, and vice versa.</w:t>
      </w:r>
      <w:r>
        <w:rPr>
          <w:rStyle w:val="FootnoteReference"/>
          <w:rFonts w:ascii="Garamond" w:eastAsia="Times New Roman" w:hAnsi="Garamond"/>
          <w:color w:val="000000"/>
          <w:sz w:val="24"/>
          <w:szCs w:val="24"/>
          <w:lang w:val="en-US"/>
        </w:rPr>
        <w:footnoteReference w:id="6"/>
      </w:r>
      <w:r>
        <w:rPr>
          <w:rFonts w:ascii="Garamond" w:eastAsia="Times New Roman" w:hAnsi="Garamond"/>
          <w:color w:val="000000"/>
          <w:sz w:val="24"/>
          <w:szCs w:val="24"/>
          <w:lang w:val="en-US"/>
        </w:rPr>
        <w:t xml:space="preserve"> Across the thesis I ask how producing bodies, consuming bodies and activist bodies are considered to effect and affect each other in specific campaigns. The gruesome quotes above (taken from a public address, a poem, and a 'slave' testimony) </w:t>
      </w:r>
      <w:r w:rsidRPr="00274F9B">
        <w:rPr>
          <w:rFonts w:ascii="Garamond" w:eastAsia="Times New Roman" w:hAnsi="Garamond"/>
          <w:color w:val="000000"/>
          <w:sz w:val="24"/>
          <w:szCs w:val="24"/>
          <w:lang w:val="en-US"/>
        </w:rPr>
        <w:t>are examples of</w:t>
      </w:r>
      <w:r>
        <w:rPr>
          <w:rFonts w:ascii="Garamond" w:eastAsia="Times New Roman" w:hAnsi="Garamond"/>
          <w:color w:val="000000"/>
          <w:sz w:val="24"/>
          <w:szCs w:val="24"/>
          <w:lang w:val="en-US"/>
        </w:rPr>
        <w:t xml:space="preserve"> what this thesis calls</w:t>
      </w:r>
      <w:r w:rsidRPr="00274F9B">
        <w:rPr>
          <w:rFonts w:ascii="Garamond" w:eastAsia="Times New Roman" w:hAnsi="Garamond"/>
          <w:color w:val="000000"/>
          <w:sz w:val="24"/>
          <w:szCs w:val="24"/>
          <w:lang w:val="en-US"/>
        </w:rPr>
        <w:t xml:space="preserve"> </w:t>
      </w:r>
      <w:r>
        <w:rPr>
          <w:rFonts w:ascii="Garamond" w:eastAsia="Times New Roman" w:hAnsi="Garamond"/>
          <w:color w:val="000000"/>
          <w:sz w:val="24"/>
          <w:szCs w:val="24"/>
          <w:lang w:val="en-US"/>
        </w:rPr>
        <w:t>blood-sugar,</w:t>
      </w:r>
      <w:r w:rsidRPr="00274F9B">
        <w:rPr>
          <w:rFonts w:ascii="Garamond" w:eastAsia="Times New Roman" w:hAnsi="Garamond"/>
          <w:color w:val="000000"/>
          <w:sz w:val="24"/>
          <w:szCs w:val="24"/>
          <w:lang w:val="en-US"/>
        </w:rPr>
        <w:t xml:space="preserve"> blood-citrus and blood-cocoa topoi</w:t>
      </w:r>
      <w:r>
        <w:rPr>
          <w:rFonts w:ascii="Garamond" w:eastAsia="Times New Roman" w:hAnsi="Garamond"/>
          <w:color w:val="000000"/>
          <w:sz w:val="24"/>
          <w:szCs w:val="24"/>
          <w:lang w:val="en-US"/>
        </w:rPr>
        <w:t xml:space="preserve"> from antislavery, anti-apartheid and anti-trafficking boycott campaigns.</w:t>
      </w:r>
      <w:r>
        <w:rPr>
          <w:rStyle w:val="FootnoteReference"/>
          <w:rFonts w:ascii="Garamond" w:eastAsia="Times New Roman" w:hAnsi="Garamond"/>
          <w:color w:val="000000"/>
          <w:sz w:val="24"/>
          <w:szCs w:val="24"/>
          <w:lang w:val="en-US"/>
        </w:rPr>
        <w:footnoteReference w:id="7"/>
      </w:r>
      <w:r>
        <w:rPr>
          <w:rFonts w:ascii="Garamond" w:eastAsia="Times New Roman" w:hAnsi="Garamond"/>
          <w:color w:val="000000"/>
          <w:sz w:val="24"/>
          <w:szCs w:val="24"/>
          <w:lang w:val="en-US"/>
        </w:rPr>
        <w:t xml:space="preserve"> Where literary historian Timothy Morton (2000) coined the blood-sugar topos, I will expand his identification of the 'guilt trope' across new commodities, different emotions and shifting antagonistic politics. Over two centuries separate Fox's address from the testimony of a former cocoa slave in the </w:t>
      </w:r>
      <w:r w:rsidRPr="00220AAA">
        <w:rPr>
          <w:rFonts w:ascii="Garamond" w:hAnsi="Garamond"/>
          <w:sz w:val="24"/>
          <w:szCs w:val="24"/>
          <w:shd w:val="clear" w:color="auto" w:fill="FFFFFF"/>
        </w:rPr>
        <w:t>Côte</w:t>
      </w:r>
      <w:r w:rsidRPr="00670B1C">
        <w:rPr>
          <w:rFonts w:ascii="Garamond" w:eastAsia="Times New Roman" w:hAnsi="Garamond"/>
          <w:color w:val="000000"/>
          <w:sz w:val="24"/>
          <w:szCs w:val="24"/>
          <w:lang w:val="en-US"/>
        </w:rPr>
        <w:t xml:space="preserve"> </w:t>
      </w:r>
      <w:r>
        <w:rPr>
          <w:rFonts w:ascii="Garamond" w:eastAsia="Times New Roman" w:hAnsi="Garamond"/>
          <w:color w:val="000000"/>
          <w:sz w:val="24"/>
          <w:szCs w:val="24"/>
          <w:lang w:val="en-US"/>
        </w:rPr>
        <w:t>D'Ivoire, but the 'take-home' message is consistent: consuming these foods is positioned as anthropophagic. The thesis shows how and why performing various connections between commodities and bodies</w:t>
      </w:r>
      <w:r>
        <w:rPr>
          <w:rFonts w:ascii="Garamond" w:eastAsia="Times New Roman" w:hAnsi="Garamond"/>
          <w:sz w:val="24"/>
          <w:szCs w:val="24"/>
          <w:lang w:val="en-US"/>
        </w:rPr>
        <w:t xml:space="preserve"> was/is crucial to the anti-apartheid campaigns of the BOA, and the anti-trafficking advocacy work of STT. I explain why bodies are perceived as active or passive, as friendly or threatening, and I will discuss the relationship between bodily performances and representations and the harnessing of specific emotions. </w:t>
      </w:r>
    </w:p>
    <w:p w:rsidR="00BB49E2" w:rsidRDefault="00BB49E2" w:rsidP="00BB49E2">
      <w:pPr>
        <w:spacing w:after="0" w:line="360" w:lineRule="auto"/>
        <w:jc w:val="both"/>
        <w:rPr>
          <w:rFonts w:ascii="Garamond" w:eastAsia="Times New Roman" w:hAnsi="Garamond"/>
          <w:color w:val="000000"/>
          <w:sz w:val="24"/>
          <w:szCs w:val="24"/>
          <w:lang w:val="en-US"/>
        </w:rPr>
      </w:pPr>
    </w:p>
    <w:p w:rsidR="00BB49E2" w:rsidRPr="00D054AC" w:rsidRDefault="00BB49E2" w:rsidP="00BB49E2">
      <w:pPr>
        <w:spacing w:after="0" w:line="360" w:lineRule="auto"/>
        <w:jc w:val="both"/>
        <w:rPr>
          <w:rFonts w:ascii="Garamond" w:eastAsia="Times New Roman" w:hAnsi="Garamond"/>
          <w:b/>
          <w:color w:val="000000"/>
          <w:szCs w:val="24"/>
          <w:lang w:val="en-US"/>
        </w:rPr>
      </w:pPr>
      <w:r w:rsidRPr="00D054AC">
        <w:rPr>
          <w:rFonts w:ascii="Garamond" w:hAnsi="Garamond"/>
          <w:b/>
          <w:szCs w:val="24"/>
        </w:rPr>
        <w:t xml:space="preserve">b) </w:t>
      </w:r>
      <w:r w:rsidRPr="00D054AC">
        <w:rPr>
          <w:rFonts w:ascii="Garamond" w:hAnsi="Garamond"/>
          <w:b/>
          <w:i/>
          <w:szCs w:val="24"/>
        </w:rPr>
        <w:t xml:space="preserve">To examine how geographical imaginations and historical narratives are deployed by the BOA and STT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spacing w:after="0" w:line="360" w:lineRule="auto"/>
        <w:jc w:val="both"/>
        <w:rPr>
          <w:rFonts w:ascii="Garamond" w:eastAsia="Times New Roman" w:hAnsi="Garamond"/>
          <w:color w:val="000000"/>
          <w:sz w:val="24"/>
          <w:szCs w:val="24"/>
          <w:lang w:val="en-US"/>
        </w:rPr>
      </w:pPr>
      <w:r>
        <w:rPr>
          <w:rFonts w:ascii="Garamond" w:eastAsia="Times New Roman" w:hAnsi="Garamond"/>
          <w:color w:val="000000"/>
          <w:sz w:val="24"/>
          <w:szCs w:val="24"/>
          <w:lang w:val="en-US"/>
        </w:rPr>
        <w:t xml:space="preserve">Influenced by work on the 'ethical complex' of agro-food provisioning (Friedberg, 2004), and the food imaginaries of 'alternative' or 'ethical' forms of consumption by Cook et al. </w:t>
      </w:r>
      <w:r w:rsidR="00F152DB">
        <w:rPr>
          <w:rFonts w:ascii="Garamond" w:eastAsia="Times New Roman" w:hAnsi="Garamond"/>
          <w:color w:val="000000"/>
          <w:sz w:val="24"/>
          <w:szCs w:val="24"/>
          <w:lang w:val="en-US"/>
        </w:rPr>
        <w:t>(2004), Goodman (2004), Bryant and Goodman (2004), and Hughes and</w:t>
      </w:r>
      <w:r>
        <w:rPr>
          <w:rFonts w:ascii="Garamond" w:eastAsia="Times New Roman" w:hAnsi="Garamond"/>
          <w:color w:val="000000"/>
          <w:sz w:val="24"/>
          <w:szCs w:val="24"/>
          <w:lang w:val="en-US"/>
        </w:rPr>
        <w:t xml:space="preserve"> Reimer (2004), I ask how geographical imaginations of landscapes, natures and racial difference crosscut </w:t>
      </w:r>
      <w:r>
        <w:rPr>
          <w:rFonts w:ascii="Garamond" w:eastAsia="Times New Roman" w:hAnsi="Garamond"/>
          <w:color w:val="000000"/>
          <w:sz w:val="24"/>
          <w:szCs w:val="24"/>
          <w:lang w:val="en-US"/>
        </w:rPr>
        <w:lastRenderedPageBreak/>
        <w:t xml:space="preserve">activist boycott bodywork. I ask what sorts of differences are represented between producer, consumer and activist places, and why. I discern how these commodity-based tropes extend particular geographical imaginations into other campaigns used by the organizations. I examine in detail how fetishes are worked with, and I situate the work of the BOA and STT within and across existing systems of provision. </w:t>
      </w:r>
    </w:p>
    <w:p w:rsidR="00BB49E2" w:rsidRPr="00390E04" w:rsidRDefault="00BB49E2" w:rsidP="00BB49E2">
      <w:pPr>
        <w:autoSpaceDE w:val="0"/>
        <w:autoSpaceDN w:val="0"/>
        <w:adjustRightInd w:val="0"/>
        <w:spacing w:after="0" w:line="360" w:lineRule="auto"/>
        <w:jc w:val="both"/>
        <w:rPr>
          <w:rFonts w:ascii="Garamond" w:hAnsi="Garamond" w:cs="Times New Roman"/>
          <w:i/>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I will evaluate how geographies and historical traditions are engaged by activists and industry representatives of apartheid era citrus and contemporary cocoa. I show how these 'perspectival constructs' (Appadurai, 1990) relate to situated actors in commodity chains and the wider anti-apartheid and anti-trafficking movements. I will show how lobbies and alliances form around particular boycott campaigns, how battle-lines are laid down and moved across public, juridical, governmental and commodity terrains. The thesis considers how specific geographical imaginations are used to discredit corporations and activists alike, how imaginaries of regimes and capitalisms are exposed, and how wider social movements are critiqued by boycotters. I describe drawn out culture-wars over different imaginations and conceptions of places and place-orientated politics, and explain how antagonistic interpretations of apartheid and trafficking were produced in boycotts of citrus, chocolate and migration. I identify how the past is mined by anti-apartheid and anti-trafficking activists, and show how activists create thematic genealogies to interpolate specific types of people and add different sorts of values to boycotts.</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ind w:left="284" w:right="284"/>
        <w:jc w:val="both"/>
        <w:rPr>
          <w:rFonts w:ascii="Garamond" w:hAnsi="Garamond" w:cs="Times New Roman"/>
        </w:rPr>
      </w:pPr>
      <w:r w:rsidRPr="0000246F">
        <w:rPr>
          <w:rFonts w:ascii="Garamond" w:hAnsi="Garamond" w:cs="Times New Roman"/>
        </w:rPr>
        <w:t>Genealogy</w:t>
      </w:r>
      <w:r>
        <w:rPr>
          <w:rFonts w:ascii="Garamond" w:hAnsi="Garamond" w:cs="Times New Roman"/>
        </w:rPr>
        <w:t xml:space="preserve"> is w</w:t>
      </w:r>
      <w:r w:rsidRPr="0000246F">
        <w:rPr>
          <w:rFonts w:ascii="Garamond" w:hAnsi="Garamond" w:cs="Times New Roman"/>
        </w:rPr>
        <w:t xml:space="preserve">hen we study things </w:t>
      </w:r>
      <w:r>
        <w:rPr>
          <w:rFonts w:ascii="Garamond" w:hAnsi="Garamond" w:cs="Times New Roman"/>
        </w:rPr>
        <w:t>historically</w:t>
      </w:r>
      <w:r w:rsidRPr="0000246F">
        <w:rPr>
          <w:rFonts w:ascii="Garamond" w:hAnsi="Garamond" w:cs="Times New Roman"/>
        </w:rPr>
        <w:t xml:space="preserve"> in order to study the values that we hold today. </w:t>
      </w:r>
      <w:r>
        <w:rPr>
          <w:rFonts w:ascii="Garamond" w:hAnsi="Garamond" w:cs="Times New Roman"/>
        </w:rPr>
        <w:t>We s</w:t>
      </w:r>
      <w:r w:rsidRPr="0000246F">
        <w:rPr>
          <w:rFonts w:ascii="Garamond" w:hAnsi="Garamond" w:cs="Times New Roman"/>
        </w:rPr>
        <w:t>ubmit our present 'truths' to historical scrutiny at the level of practi</w:t>
      </w:r>
      <w:r>
        <w:rPr>
          <w:rFonts w:ascii="Garamond" w:hAnsi="Garamond" w:cs="Times New Roman"/>
        </w:rPr>
        <w:t>ces and ask what has happened. We p</w:t>
      </w:r>
      <w:r w:rsidRPr="0000246F">
        <w:rPr>
          <w:rFonts w:ascii="Garamond" w:hAnsi="Garamond" w:cs="Times New Roman"/>
        </w:rPr>
        <w:t>ut our values and assumptions on display and scrutiny</w:t>
      </w:r>
      <w:r>
        <w:rPr>
          <w:rFonts w:ascii="Garamond" w:hAnsi="Garamond" w:cs="Times New Roman"/>
        </w:rPr>
        <w:t>,</w:t>
      </w:r>
      <w:r w:rsidRPr="0000246F">
        <w:rPr>
          <w:rFonts w:ascii="Garamond" w:hAnsi="Garamond" w:cs="Times New Roman"/>
        </w:rPr>
        <w:t xml:space="preserve"> and produce a jarring glimpse of our present as </w:t>
      </w:r>
      <w:r>
        <w:rPr>
          <w:rFonts w:ascii="Garamond" w:hAnsi="Garamond" w:cs="Times New Roman"/>
        </w:rPr>
        <w:t>seen from elsewhere. (Vikki Bell speaking on BBC Radio 4, 2013</w:t>
      </w:r>
      <w:r w:rsidRPr="00295891">
        <w:rPr>
          <w:rFonts w:ascii="Garamond" w:hAnsi="Garamond" w:cs="Times New Roman"/>
        </w:rPr>
        <w:t>)</w:t>
      </w:r>
      <w:r>
        <w:rPr>
          <w:rFonts w:ascii="Garamond" w:hAnsi="Garamond" w:cs="Times New Roman"/>
        </w:rPr>
        <w:t>.</w:t>
      </w:r>
    </w:p>
    <w:p w:rsidR="00BB49E2" w:rsidRDefault="00BB49E2" w:rsidP="00BB49E2">
      <w:pPr>
        <w:autoSpaceDE w:val="0"/>
        <w:autoSpaceDN w:val="0"/>
        <w:adjustRightInd w:val="0"/>
        <w:spacing w:after="0" w:line="360" w:lineRule="auto"/>
        <w:ind w:left="284" w:right="284"/>
        <w:jc w:val="both"/>
        <w:rPr>
          <w:rFonts w:ascii="Garamond" w:hAnsi="Garamond" w:cs="Times New Roman"/>
        </w:rPr>
      </w:pPr>
    </w:p>
    <w:p w:rsidR="00BB49E2" w:rsidRDefault="00BB49E2" w:rsidP="00BB49E2">
      <w:pPr>
        <w:spacing w:after="0" w:line="360" w:lineRule="auto"/>
        <w:jc w:val="both"/>
        <w:rPr>
          <w:rFonts w:ascii="Garamond" w:hAnsi="Garamond"/>
          <w:sz w:val="24"/>
          <w:szCs w:val="24"/>
        </w:rPr>
      </w:pPr>
      <w:r>
        <w:rPr>
          <w:rFonts w:ascii="Garamond" w:hAnsi="Garamond" w:cs="Times New Roman"/>
          <w:sz w:val="24"/>
        </w:rPr>
        <w:t xml:space="preserve">My contention is to show that boycotter bodywork and practices extend well beyond the boycott per se, and into other campaigns that address types of migration and urban politics of consumption. I analyse the BOA's boycott of white migration (1974-1975) and urban campaigns (1979-1990) and STT's Fairtrade Town urbanism (2007) in detail. I consider where </w:t>
      </w:r>
      <w:r>
        <w:rPr>
          <w:rFonts w:ascii="Garamond" w:hAnsi="Garamond"/>
          <w:sz w:val="24"/>
          <w:szCs w:val="24"/>
        </w:rPr>
        <w:t xml:space="preserve">STT and BOA </w:t>
      </w:r>
      <w:r w:rsidRPr="00246135">
        <w:rPr>
          <w:rFonts w:ascii="Garamond" w:hAnsi="Garamond"/>
          <w:sz w:val="24"/>
          <w:szCs w:val="24"/>
        </w:rPr>
        <w:t>campaign</w:t>
      </w:r>
      <w:r>
        <w:rPr>
          <w:rFonts w:ascii="Garamond" w:hAnsi="Garamond"/>
          <w:sz w:val="24"/>
          <w:szCs w:val="24"/>
        </w:rPr>
        <w:t>s</w:t>
      </w:r>
      <w:r w:rsidRPr="00246135">
        <w:rPr>
          <w:rFonts w:ascii="Garamond" w:hAnsi="Garamond"/>
          <w:sz w:val="24"/>
          <w:szCs w:val="24"/>
        </w:rPr>
        <w:t xml:space="preserve"> </w:t>
      </w:r>
      <w:r>
        <w:rPr>
          <w:rFonts w:ascii="Garamond" w:hAnsi="Garamond"/>
          <w:sz w:val="24"/>
          <w:szCs w:val="24"/>
        </w:rPr>
        <w:t>encourage</w:t>
      </w:r>
      <w:r w:rsidRPr="00246135">
        <w:rPr>
          <w:rFonts w:ascii="Garamond" w:hAnsi="Garamond"/>
          <w:sz w:val="24"/>
          <w:szCs w:val="24"/>
        </w:rPr>
        <w:t xml:space="preserve"> cultural dissensus, political questioning and perceptual change</w:t>
      </w:r>
      <w:r>
        <w:rPr>
          <w:rFonts w:ascii="Garamond" w:hAnsi="Garamond"/>
          <w:sz w:val="24"/>
          <w:szCs w:val="24"/>
        </w:rPr>
        <w:t xml:space="preserve"> in local communities. </w:t>
      </w:r>
    </w:p>
    <w:p w:rsidR="00BB49E2" w:rsidRDefault="00BB49E2" w:rsidP="00BB49E2">
      <w:pPr>
        <w:spacing w:after="0" w:line="360" w:lineRule="auto"/>
        <w:jc w:val="both"/>
        <w:rPr>
          <w:rFonts w:ascii="Garamond" w:hAnsi="Garamond"/>
          <w:sz w:val="24"/>
          <w:szCs w:val="24"/>
        </w:rPr>
      </w:pPr>
    </w:p>
    <w:p w:rsidR="00BB49E2" w:rsidRPr="00D054AC" w:rsidRDefault="00BB49E2" w:rsidP="00BB49E2">
      <w:pPr>
        <w:spacing w:after="0" w:line="360" w:lineRule="auto"/>
        <w:jc w:val="both"/>
        <w:rPr>
          <w:rFonts w:ascii="Garamond" w:hAnsi="Garamond"/>
          <w:b/>
          <w:i/>
          <w:szCs w:val="24"/>
        </w:rPr>
      </w:pPr>
      <w:r w:rsidRPr="00D054AC">
        <w:rPr>
          <w:rFonts w:ascii="Garamond" w:hAnsi="Garamond"/>
          <w:b/>
          <w:szCs w:val="24"/>
        </w:rPr>
        <w:lastRenderedPageBreak/>
        <w:t xml:space="preserve">c) </w:t>
      </w:r>
      <w:r w:rsidRPr="00D054AC">
        <w:rPr>
          <w:rFonts w:ascii="Garamond" w:hAnsi="Garamond"/>
          <w:b/>
          <w:i/>
          <w:szCs w:val="24"/>
        </w:rPr>
        <w:t>To understand how and what types of racial identities are produced in anti-apartheid and anti-trafficking activisms</w:t>
      </w:r>
    </w:p>
    <w:p w:rsidR="00BB49E2" w:rsidRDefault="00BB49E2" w:rsidP="00BB49E2">
      <w:pPr>
        <w:spacing w:after="0" w:line="360" w:lineRule="auto"/>
        <w:jc w:val="both"/>
        <w:rPr>
          <w:rFonts w:ascii="Garamond" w:hAnsi="Garamond" w:cs="Times New Roman"/>
          <w:sz w:val="24"/>
        </w:rPr>
      </w:pPr>
    </w:p>
    <w:p w:rsidR="00F07857" w:rsidRDefault="00BB49E2" w:rsidP="00BB49E2">
      <w:pPr>
        <w:spacing w:after="0" w:line="360" w:lineRule="auto"/>
        <w:jc w:val="both"/>
        <w:rPr>
          <w:rFonts w:ascii="Garamond" w:hAnsi="Garamond" w:cs="Times New Roman"/>
          <w:sz w:val="24"/>
        </w:rPr>
      </w:pPr>
      <w:r>
        <w:rPr>
          <w:rFonts w:ascii="Garamond" w:hAnsi="Garamond" w:cs="Times New Roman"/>
          <w:sz w:val="24"/>
        </w:rPr>
        <w:t>Commodity boycott activisms reinforce assertions that the ordinary and the spectacular are co-present and constructed by consumption practices, and that consumption is a form of production (Goodman et al. 2010). So this thesis considers how commodity/body act</w:t>
      </w:r>
      <w:r w:rsidR="00F960B3">
        <w:rPr>
          <w:rFonts w:ascii="Garamond" w:hAnsi="Garamond" w:cs="Times New Roman"/>
          <w:sz w:val="24"/>
        </w:rPr>
        <w:t>ivisms intersect with the racializations</w:t>
      </w:r>
      <w:r>
        <w:rPr>
          <w:rFonts w:ascii="Garamond" w:hAnsi="Garamond" w:cs="Times New Roman"/>
          <w:sz w:val="24"/>
        </w:rPr>
        <w:t xml:space="preserve"> of apartheid and trafficking, and the wider implications of these activisms on the production of powerful geographies of emancipation and oppression. Markers of racial difference and the production of race are a key means for the expression of these power-laden geographies; the multiple ways in which whiteness is produced and contested is a constant theme of the project. Some of the ideas on structural, psychoanalytical, phenomenological, inherited, visible and affective processes of racisms by scholars such as Charles Mills, Franz Fanon, W.E.B du Bois and Linda Martin Alcoff are present across the thesis. Also drawn from are geographical and sociological works that situate racism across places of production and consumption, and across economic and political processes in relation to liberalism (Losurdo, 2011), neoliberalism and apartheid (Goldberg, 2009), 'multiculture' and cities (Keith, 2005), affective assemblages (Saldanha, 2010; Nayak, 2010; Swanton, 2010</w:t>
      </w:r>
      <w:r w:rsidR="00DB7421">
        <w:rPr>
          <w:rFonts w:ascii="Garamond" w:hAnsi="Garamond" w:cs="Times New Roman"/>
          <w:sz w:val="24"/>
        </w:rPr>
        <w:t>b</w:t>
      </w:r>
      <w:r>
        <w:rPr>
          <w:rFonts w:ascii="Garamond" w:hAnsi="Garamond" w:cs="Times New Roman"/>
          <w:sz w:val="24"/>
        </w:rPr>
        <w:t>), globalization (</w:t>
      </w:r>
      <w:r>
        <w:rPr>
          <w:rFonts w:ascii="Garamond" w:hAnsi="Garamond" w:cs="Times New Roman"/>
          <w:sz w:val="24"/>
          <w:szCs w:val="24"/>
        </w:rPr>
        <w:t>Quijano, 2000),</w:t>
      </w:r>
      <w:r>
        <w:rPr>
          <w:rFonts w:ascii="Garamond" w:hAnsi="Garamond" w:cs="Times New Roman"/>
          <w:sz w:val="24"/>
        </w:rPr>
        <w:t xml:space="preserve"> the environment (Gilmore, 2002; Pulido, 2000), chocolate advertising (Ramamurthy, 2003; Robertson, 2009), global food production networks (Hartsock, 2006; </w:t>
      </w:r>
      <w:r w:rsidRPr="00814685">
        <w:rPr>
          <w:rFonts w:ascii="Garamond" w:hAnsi="Garamond"/>
          <w:sz w:val="24"/>
          <w:szCs w:val="24"/>
        </w:rPr>
        <w:t xml:space="preserve">McIntyre, </w:t>
      </w:r>
      <w:r w:rsidRPr="003D5C0E">
        <w:rPr>
          <w:rFonts w:ascii="Garamond" w:hAnsi="Garamond"/>
          <w:sz w:val="24"/>
          <w:szCs w:val="24"/>
        </w:rPr>
        <w:t>2011)</w:t>
      </w:r>
      <w:r>
        <w:rPr>
          <w:rFonts w:ascii="Garamond" w:hAnsi="Garamond"/>
          <w:sz w:val="24"/>
          <w:szCs w:val="24"/>
        </w:rPr>
        <w:t>, white identities in</w:t>
      </w:r>
      <w:r w:rsidRPr="003D5C0E">
        <w:rPr>
          <w:rFonts w:ascii="Garamond" w:hAnsi="Garamond"/>
          <w:sz w:val="24"/>
          <w:szCs w:val="24"/>
        </w:rPr>
        <w:t xml:space="preserve"> food consumption (Slocum, 2008</w:t>
      </w:r>
      <w:r w:rsidRPr="003D5C0E">
        <w:rPr>
          <w:rFonts w:ascii="Garamond" w:hAnsi="Garamond" w:cs="Times New Roman"/>
          <w:sz w:val="24"/>
          <w:szCs w:val="24"/>
        </w:rPr>
        <w:t>; Guthman, 2008).</w:t>
      </w:r>
      <w:r>
        <w:rPr>
          <w:rFonts w:ascii="Garamond" w:hAnsi="Garamond" w:cs="Times New Roman"/>
          <w:sz w:val="24"/>
        </w:rPr>
        <w:t xml:space="preserve"> My commitment to think of antiracisms as more than 'anti-politics' is influenced by Bonnett’s (2000a) and Lentin’s (2000) work on antiracist organizations, as well as Jennifer Nash (2003) and Price (2010), who analyse geographic entanglements with critical race theory.</w:t>
      </w:r>
    </w:p>
    <w:p w:rsidR="00BB49E2" w:rsidRPr="00BB2602" w:rsidRDefault="00BB49E2" w:rsidP="00BB49E2">
      <w:pPr>
        <w:spacing w:after="0" w:line="360" w:lineRule="auto"/>
        <w:jc w:val="both"/>
        <w:rPr>
          <w:rFonts w:ascii="Garamond" w:hAnsi="Garamond" w:cs="Times New Roman"/>
          <w:sz w:val="24"/>
        </w:rPr>
      </w:pPr>
    </w:p>
    <w:p w:rsidR="00BB49E2" w:rsidRPr="00D054AC" w:rsidRDefault="00BB49E2" w:rsidP="00BB49E2">
      <w:pPr>
        <w:spacing w:after="0" w:line="360" w:lineRule="auto"/>
        <w:jc w:val="both"/>
        <w:rPr>
          <w:rFonts w:ascii="Garamond" w:hAnsi="Garamond" w:cs="Times New Roman"/>
          <w:b/>
          <w:i/>
        </w:rPr>
      </w:pPr>
      <w:r w:rsidRPr="00D054AC">
        <w:rPr>
          <w:rFonts w:ascii="Garamond" w:hAnsi="Garamond" w:cs="Times New Roman"/>
          <w:b/>
          <w:szCs w:val="24"/>
        </w:rPr>
        <w:t xml:space="preserve">d) </w:t>
      </w:r>
      <w:r w:rsidRPr="00D054AC">
        <w:rPr>
          <w:rFonts w:ascii="Garamond" w:hAnsi="Garamond"/>
          <w:b/>
          <w:i/>
          <w:szCs w:val="24"/>
        </w:rPr>
        <w:t xml:space="preserve">To assess how </w:t>
      </w:r>
      <w:r w:rsidRPr="00D054AC">
        <w:rPr>
          <w:rFonts w:ascii="Garamond" w:hAnsi="Garamond" w:cs="Times New Roman"/>
          <w:b/>
          <w:i/>
          <w:szCs w:val="24"/>
        </w:rPr>
        <w:t>the BOA and STT produce ethics of solidarity and responsibility</w:t>
      </w:r>
      <w:r w:rsidRPr="00D054AC">
        <w:rPr>
          <w:rFonts w:ascii="Garamond" w:hAnsi="Garamond" w:cs="Times New Roman"/>
          <w:b/>
          <w:i/>
        </w:rPr>
        <w:t xml:space="preserve"> across proximate and distant places. </w:t>
      </w:r>
    </w:p>
    <w:p w:rsidR="00BB49E2" w:rsidRDefault="00BB49E2" w:rsidP="00BB49E2">
      <w:pPr>
        <w:spacing w:after="0" w:line="360" w:lineRule="auto"/>
        <w:jc w:val="both"/>
        <w:rPr>
          <w:rFonts w:ascii="Garamond" w:hAnsi="Garamond" w:cs="Times New Roman"/>
          <w:sz w:val="24"/>
        </w:rPr>
      </w:pPr>
    </w:p>
    <w:p w:rsidR="00BB49E2" w:rsidRDefault="00BB49E2" w:rsidP="00BB49E2">
      <w:pPr>
        <w:spacing w:after="0" w:line="360" w:lineRule="auto"/>
        <w:jc w:val="both"/>
        <w:rPr>
          <w:rFonts w:ascii="Garamond" w:hAnsi="Garamond" w:cs="Times New Roman"/>
          <w:sz w:val="24"/>
        </w:rPr>
      </w:pPr>
      <w:r>
        <w:rPr>
          <w:rFonts w:ascii="Garamond" w:hAnsi="Garamond" w:cs="Times New Roman"/>
          <w:sz w:val="24"/>
        </w:rPr>
        <w:t>I aim to understand how the bodywork and geographical imaginations of the BOA and STT contribute to different networks and spatializations of solidarity and responsibility. Following recent scholarship on anti-apartheid, subaltern networks and antiracist coalitions (see</w:t>
      </w:r>
      <w:r w:rsidRPr="004411CD">
        <w:rPr>
          <w:rFonts w:ascii="Garamond" w:hAnsi="Garamond" w:cs="Times New Roman"/>
          <w:sz w:val="24"/>
          <w:szCs w:val="24"/>
        </w:rPr>
        <w:t xml:space="preserve"> </w:t>
      </w:r>
      <w:r w:rsidRPr="004411CD">
        <w:rPr>
          <w:rFonts w:ascii="Garamond" w:hAnsi="Garamond"/>
          <w:sz w:val="24"/>
          <w:szCs w:val="24"/>
        </w:rPr>
        <w:t xml:space="preserve">Thörn, </w:t>
      </w:r>
      <w:r>
        <w:rPr>
          <w:rFonts w:ascii="Garamond" w:hAnsi="Garamond" w:cs="Times New Roman"/>
          <w:sz w:val="24"/>
        </w:rPr>
        <w:t xml:space="preserve">2006; Brown </w:t>
      </w:r>
      <w:r w:rsidR="00F152DB">
        <w:rPr>
          <w:rFonts w:ascii="Garamond" w:hAnsi="Garamond" w:cs="Times New Roman"/>
          <w:sz w:val="24"/>
        </w:rPr>
        <w:t>and</w:t>
      </w:r>
      <w:r>
        <w:rPr>
          <w:rFonts w:ascii="Garamond" w:hAnsi="Garamond" w:cs="Times New Roman"/>
          <w:sz w:val="24"/>
        </w:rPr>
        <w:t xml:space="preserve"> Yaffe, 2013; Featherstone, 2012) that point to solidarity as both a meme of anti-apartheid and as a protean relationship, in Chapter Six and Chapter Seven I investigate how the BOA constructed different solidarities that </w:t>
      </w:r>
      <w:r>
        <w:rPr>
          <w:rFonts w:ascii="Garamond" w:hAnsi="Garamond" w:cs="Times New Roman"/>
          <w:sz w:val="24"/>
        </w:rPr>
        <w:lastRenderedPageBreak/>
        <w:t xml:space="preserve">variously prioritized distanciated and proximate political change. In tandem with Barnett et al.’s (2010) work on globalizing responsibility through fair trade, and Mike Goodman's (2010) scholarship on the celebritization of ethical consumption and the mainstreaming of 'developmental consumption', I ground STT's chocolate advocacy as a form of responsibility-taking over distance. In Chapter Four, I show how responsibility is articulated by representing child victims of cocoa trafficking and ask what is at stake in bringing trafficked child cocoa labourers close in gustatory and pitiful ways. The chapter also investigates the other side of STT's politics of consumer responsibility: the creation of child consumer-activists through internet-oriented and place-based campaigns. The ways in which racial assemblages are activated through communicating responsibility, and the antiracist potential for STT's work in encouraging corporate and stakeholder responsibility is analysed in Chapter Five.  </w:t>
      </w:r>
    </w:p>
    <w:p w:rsidR="00BB49E2" w:rsidRDefault="00BB49E2" w:rsidP="00BB49E2">
      <w:pPr>
        <w:spacing w:after="0" w:line="360" w:lineRule="auto"/>
        <w:jc w:val="both"/>
        <w:rPr>
          <w:rFonts w:ascii="Garamond" w:hAnsi="Garamond" w:cs="Times New Roman"/>
          <w:sz w:val="24"/>
        </w:rPr>
      </w:pPr>
    </w:p>
    <w:p w:rsidR="00BB49E2" w:rsidRPr="00D054AC" w:rsidRDefault="00BB49E2" w:rsidP="00BB49E2">
      <w:pPr>
        <w:spacing w:after="0" w:line="360" w:lineRule="auto"/>
        <w:jc w:val="both"/>
        <w:rPr>
          <w:rFonts w:ascii="Garamond" w:hAnsi="Garamond"/>
          <w:b/>
          <w:i/>
          <w:szCs w:val="24"/>
        </w:rPr>
      </w:pPr>
      <w:r w:rsidRPr="00D054AC">
        <w:rPr>
          <w:rFonts w:ascii="Garamond" w:hAnsi="Garamond" w:cs="Times New Roman"/>
          <w:b/>
        </w:rPr>
        <w:t xml:space="preserve">e) </w:t>
      </w:r>
      <w:r w:rsidRPr="00D054AC">
        <w:rPr>
          <w:rFonts w:ascii="Garamond" w:hAnsi="Garamond"/>
          <w:b/>
          <w:i/>
          <w:szCs w:val="24"/>
        </w:rPr>
        <w:t>To research and write about the BOA and STT through the application of contextualizing methodologies and a commitment to critical geography</w:t>
      </w:r>
    </w:p>
    <w:p w:rsidR="00BB49E2" w:rsidRDefault="00BB49E2" w:rsidP="00BB49E2">
      <w:pPr>
        <w:spacing w:after="0" w:line="360" w:lineRule="auto"/>
        <w:jc w:val="both"/>
        <w:rPr>
          <w:rFonts w:ascii="Garamond" w:hAnsi="Garamond"/>
          <w:i/>
          <w:sz w:val="24"/>
          <w:szCs w:val="24"/>
        </w:rPr>
      </w:pPr>
    </w:p>
    <w:p w:rsidR="00BB49E2" w:rsidRDefault="00BB49E2" w:rsidP="00BB49E2">
      <w:pPr>
        <w:spacing w:after="0" w:line="360" w:lineRule="auto"/>
        <w:ind w:left="284" w:right="284"/>
        <w:jc w:val="both"/>
        <w:rPr>
          <w:rFonts w:ascii="Garamond" w:hAnsi="Garamond"/>
        </w:rPr>
      </w:pPr>
      <w:r w:rsidRPr="00DA5CA3">
        <w:rPr>
          <w:rFonts w:ascii="Garamond" w:hAnsi="Garamond"/>
          <w:i/>
        </w:rPr>
        <w:t xml:space="preserve">Refamiliarization </w:t>
      </w:r>
      <w:r w:rsidRPr="00DE66CE">
        <w:rPr>
          <w:rFonts w:ascii="Garamond" w:hAnsi="Garamond"/>
        </w:rPr>
        <w:t>asks images to sh</w:t>
      </w:r>
      <w:r>
        <w:rPr>
          <w:rFonts w:ascii="Garamond" w:hAnsi="Garamond"/>
        </w:rPr>
        <w:t xml:space="preserve">ow the contingent relations of </w:t>
      </w:r>
      <w:r w:rsidRPr="00DE66CE">
        <w:rPr>
          <w:rFonts w:ascii="Garamond" w:hAnsi="Garamond"/>
        </w:rPr>
        <w:t>complex systems, to expose vectors and forces of interests, desires, and power. The task of refamiliarization is</w:t>
      </w:r>
      <w:r>
        <w:rPr>
          <w:rFonts w:ascii="Garamond" w:hAnsi="Garamond"/>
        </w:rPr>
        <w:t xml:space="preserve"> to show that </w:t>
      </w:r>
      <w:r w:rsidRPr="00DA5CA3">
        <w:rPr>
          <w:rFonts w:ascii="Garamond" w:hAnsi="Garamond"/>
          <w:i/>
        </w:rPr>
        <w:t>what is</w:t>
      </w:r>
      <w:r>
        <w:rPr>
          <w:rFonts w:ascii="Garamond" w:hAnsi="Garamond"/>
        </w:rPr>
        <w:t xml:space="preserve"> is </w:t>
      </w:r>
      <w:r>
        <w:rPr>
          <w:rFonts w:ascii="Garamond" w:hAnsi="Garamond"/>
          <w:i/>
        </w:rPr>
        <w:t>not</w:t>
      </w:r>
      <w:r>
        <w:rPr>
          <w:rFonts w:ascii="Garamond" w:hAnsi="Garamond"/>
        </w:rPr>
        <w:t xml:space="preserve"> </w:t>
      </w:r>
      <w:r w:rsidRPr="00DE66CE">
        <w:rPr>
          <w:rFonts w:ascii="Garamond" w:hAnsi="Garamond"/>
        </w:rPr>
        <w:t>entirely simulacral, but connected to the live</w:t>
      </w:r>
      <w:r>
        <w:rPr>
          <w:rFonts w:ascii="Garamond" w:hAnsi="Garamond"/>
        </w:rPr>
        <w:t xml:space="preserve">d experience of persons </w:t>
      </w:r>
      <w:r w:rsidRPr="00DE66CE">
        <w:rPr>
          <w:rFonts w:ascii="Garamond" w:hAnsi="Garamond"/>
        </w:rPr>
        <w:t>and peoples, organic beings, within cultural, political, and vulnerable ecological spheres</w:t>
      </w:r>
      <w:r>
        <w:rPr>
          <w:rFonts w:ascii="Garamond" w:hAnsi="Garamond"/>
        </w:rPr>
        <w:t>. (Drucker, 2008: 30)</w:t>
      </w:r>
    </w:p>
    <w:p w:rsidR="00BB49E2" w:rsidRPr="00DE66CE" w:rsidRDefault="00BB49E2" w:rsidP="00BB49E2">
      <w:pPr>
        <w:spacing w:after="0" w:line="360" w:lineRule="auto"/>
        <w:ind w:left="284" w:right="284"/>
        <w:jc w:val="both"/>
        <w:rPr>
          <w:rFonts w:ascii="Garamond" w:hAnsi="Garamond"/>
        </w:rPr>
      </w:pPr>
    </w:p>
    <w:p w:rsidR="00BB49E2" w:rsidRDefault="00BB49E2" w:rsidP="00BB49E2">
      <w:pPr>
        <w:spacing w:after="0" w:line="360" w:lineRule="auto"/>
        <w:ind w:left="284" w:right="284"/>
        <w:jc w:val="both"/>
        <w:rPr>
          <w:rStyle w:val="a"/>
        </w:rPr>
      </w:pPr>
      <w:r w:rsidRPr="00DC6218">
        <w:rPr>
          <w:rStyle w:val="a"/>
          <w:rFonts w:ascii="Garamond" w:hAnsi="Garamond" w:cs="Arial"/>
          <w:color w:val="000000"/>
          <w:bdr w:val="none" w:sz="0" w:space="0" w:color="auto" w:frame="1"/>
          <w:shd w:val="clear" w:color="auto" w:fill="FFFFFF"/>
        </w:rPr>
        <w:t>Critical human geography can be seen as a diverse set of ideas and practices linked by</w:t>
      </w:r>
      <w:r>
        <w:rPr>
          <w:rStyle w:val="a"/>
          <w:rFonts w:ascii="Garamond" w:hAnsi="Garamond" w:cs="Arial"/>
          <w:color w:val="000000"/>
          <w:bdr w:val="none" w:sz="0" w:space="0" w:color="auto" w:frame="1"/>
          <w:shd w:val="clear" w:color="auto" w:fill="FFFFFF"/>
        </w:rPr>
        <w:t xml:space="preserve"> </w:t>
      </w:r>
      <w:r w:rsidRPr="00DC6218">
        <w:rPr>
          <w:rStyle w:val="a"/>
          <w:rFonts w:ascii="Garamond" w:hAnsi="Garamond" w:cs="Arial"/>
          <w:color w:val="000000"/>
          <w:bdr w:val="none" w:sz="0" w:space="0" w:color="auto" w:frame="1"/>
          <w:shd w:val="clear" w:color="auto" w:fill="FFFFFF"/>
        </w:rPr>
        <w:t>a shared commitment to a broadly conceived emancipatory politics, progressive social</w:t>
      </w:r>
      <w:r>
        <w:rPr>
          <w:rStyle w:val="a"/>
          <w:rFonts w:ascii="Garamond" w:hAnsi="Garamond" w:cs="Arial"/>
          <w:color w:val="000000"/>
          <w:bdr w:val="none" w:sz="0" w:space="0" w:color="auto" w:frame="1"/>
          <w:shd w:val="clear" w:color="auto" w:fill="FFFFFF"/>
        </w:rPr>
        <w:t xml:space="preserve"> </w:t>
      </w:r>
      <w:r w:rsidRPr="00DC6218">
        <w:rPr>
          <w:rStyle w:val="a"/>
          <w:rFonts w:ascii="Garamond" w:hAnsi="Garamond" w:cs="Arial"/>
          <w:color w:val="000000"/>
          <w:bdr w:val="none" w:sz="0" w:space="0" w:color="auto" w:frame="1"/>
          <w:shd w:val="clear" w:color="auto" w:fill="FFFFFF"/>
        </w:rPr>
        <w:t>change, and the use of a range of critical socio</w:t>
      </w:r>
      <w:r>
        <w:rPr>
          <w:rStyle w:val="a"/>
          <w:rFonts w:ascii="Garamond" w:hAnsi="Garamond" w:cs="Arial"/>
          <w:color w:val="000000"/>
          <w:bdr w:val="none" w:sz="0" w:space="0" w:color="auto" w:frame="1"/>
          <w:shd w:val="clear" w:color="auto" w:fill="FFFFFF"/>
        </w:rPr>
        <w:t>-</w:t>
      </w:r>
      <w:r w:rsidRPr="00DC6218">
        <w:rPr>
          <w:rStyle w:val="a"/>
          <w:rFonts w:ascii="Garamond" w:hAnsi="Garamond" w:cs="Arial"/>
          <w:color w:val="000000"/>
          <w:bdr w:val="none" w:sz="0" w:space="0" w:color="auto" w:frame="1"/>
          <w:shd w:val="clear" w:color="auto" w:fill="FFFFFF"/>
        </w:rPr>
        <w:t>geographic theories.</w:t>
      </w:r>
      <w:r>
        <w:rPr>
          <w:rStyle w:val="a"/>
          <w:rFonts w:ascii="Garamond" w:hAnsi="Garamond" w:cs="Arial"/>
          <w:color w:val="000000"/>
          <w:bdr w:val="none" w:sz="0" w:space="0" w:color="auto" w:frame="1"/>
          <w:shd w:val="clear" w:color="auto" w:fill="FFFFFF"/>
        </w:rPr>
        <w:t xml:space="preserve"> (Berg, 2010: 617)</w:t>
      </w:r>
    </w:p>
    <w:p w:rsidR="00BB49E2" w:rsidRPr="00DC6218" w:rsidRDefault="00BB49E2" w:rsidP="00BB49E2">
      <w:pPr>
        <w:spacing w:after="0" w:line="360" w:lineRule="auto"/>
        <w:ind w:left="284" w:right="284"/>
        <w:jc w:val="both"/>
        <w:rPr>
          <w:rFonts w:ascii="Garamond" w:hAnsi="Garamond"/>
          <w:i/>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hAnsi="Garamond" w:cs="Times New Roman"/>
          <w:sz w:val="24"/>
          <w:szCs w:val="24"/>
        </w:rPr>
        <w:t>In her work on 'extreme image events', Johanna Drucker (2008)</w:t>
      </w:r>
      <w:r w:rsidRPr="00253C29">
        <w:rPr>
          <w:rFonts w:ascii="Garamond" w:hAnsi="Garamond" w:cs="Times New Roman"/>
          <w:sz w:val="24"/>
          <w:szCs w:val="24"/>
        </w:rPr>
        <w:t xml:space="preserve"> </w:t>
      </w:r>
      <w:r>
        <w:rPr>
          <w:rFonts w:ascii="Garamond" w:hAnsi="Garamond" w:cs="Times New Roman"/>
          <w:sz w:val="24"/>
          <w:szCs w:val="24"/>
        </w:rPr>
        <w:t>proposes</w:t>
      </w:r>
      <w:r w:rsidRPr="00253C29">
        <w:rPr>
          <w:rFonts w:ascii="Garamond" w:hAnsi="Garamond" w:cs="Times New Roman"/>
          <w:sz w:val="24"/>
          <w:szCs w:val="24"/>
        </w:rPr>
        <w:t xml:space="preserve"> that geopolitical inter-textual and discursive frames of analysis struggle on their own to </w:t>
      </w:r>
      <w:r>
        <w:rPr>
          <w:rFonts w:ascii="Garamond" w:hAnsi="Garamond" w:cs="Times New Roman"/>
          <w:sz w:val="24"/>
          <w:szCs w:val="24"/>
        </w:rPr>
        <w:t xml:space="preserve">understand </w:t>
      </w:r>
      <w:r w:rsidRPr="00253C29">
        <w:rPr>
          <w:rFonts w:ascii="Garamond" w:hAnsi="Garamond" w:cs="Times New Roman"/>
          <w:sz w:val="24"/>
          <w:szCs w:val="24"/>
        </w:rPr>
        <w:t>contempor</w:t>
      </w:r>
      <w:r>
        <w:rPr>
          <w:rFonts w:ascii="Garamond" w:hAnsi="Garamond" w:cs="Times New Roman"/>
          <w:sz w:val="24"/>
          <w:szCs w:val="24"/>
        </w:rPr>
        <w:t>ary forms of power and violence.</w:t>
      </w:r>
      <w:r w:rsidRPr="00253C29">
        <w:rPr>
          <w:rFonts w:ascii="Garamond" w:hAnsi="Garamond" w:cs="Times New Roman"/>
          <w:sz w:val="24"/>
          <w:szCs w:val="24"/>
        </w:rPr>
        <w:t xml:space="preserve"> </w:t>
      </w:r>
      <w:r w:rsidRPr="00253C29">
        <w:rPr>
          <w:rFonts w:ascii="Garamond" w:eastAsia="Times New Roman" w:hAnsi="Garamond" w:cs="Times New Roman"/>
          <w:color w:val="000000"/>
          <w:sz w:val="24"/>
          <w:szCs w:val="24"/>
          <w:shd w:val="clear" w:color="auto" w:fill="FFFFFF"/>
          <w:lang w:eastAsia="en-GB"/>
        </w:rPr>
        <w:t>What Drucker sugg</w:t>
      </w:r>
      <w:r>
        <w:rPr>
          <w:rFonts w:ascii="Garamond" w:eastAsia="Times New Roman" w:hAnsi="Garamond" w:cs="Times New Roman"/>
          <w:color w:val="000000"/>
          <w:sz w:val="24"/>
          <w:szCs w:val="24"/>
          <w:shd w:val="clear" w:color="auto" w:fill="FFFFFF"/>
          <w:lang w:eastAsia="en-GB"/>
        </w:rPr>
        <w:t xml:space="preserve">ests, and Ingram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Dodds develop</w:t>
      </w:r>
      <w:r w:rsidRPr="00253C29">
        <w:rPr>
          <w:rFonts w:ascii="Garamond" w:eastAsia="Times New Roman" w:hAnsi="Garamond" w:cs="Times New Roman"/>
          <w:color w:val="000000"/>
          <w:sz w:val="24"/>
          <w:szCs w:val="24"/>
          <w:shd w:val="clear" w:color="auto" w:fill="FFFFFF"/>
          <w:lang w:eastAsia="en-GB"/>
        </w:rPr>
        <w:t xml:space="preserve"> in </w:t>
      </w:r>
      <w:r w:rsidRPr="00253C29">
        <w:rPr>
          <w:rFonts w:ascii="Garamond" w:eastAsia="Times New Roman" w:hAnsi="Garamond" w:cs="Times New Roman"/>
          <w:i/>
          <w:color w:val="000000"/>
          <w:sz w:val="24"/>
          <w:szCs w:val="24"/>
          <w:shd w:val="clear" w:color="auto" w:fill="FFFFFF"/>
          <w:lang w:eastAsia="en-GB"/>
        </w:rPr>
        <w:t>Spaces of Security and Insecurity</w:t>
      </w:r>
      <w:r w:rsidRPr="00253C29">
        <w:rPr>
          <w:rFonts w:ascii="Garamond" w:eastAsia="Times New Roman" w:hAnsi="Garamond" w:cs="Times New Roman"/>
          <w:color w:val="000000"/>
          <w:sz w:val="24"/>
          <w:szCs w:val="24"/>
          <w:shd w:val="clear" w:color="auto" w:fill="FFFFFF"/>
          <w:lang w:eastAsia="en-GB"/>
        </w:rPr>
        <w:t xml:space="preserve"> (2009), is </w:t>
      </w:r>
      <w:r>
        <w:rPr>
          <w:rFonts w:ascii="Garamond" w:eastAsia="Times New Roman" w:hAnsi="Garamond" w:cs="Times New Roman"/>
          <w:color w:val="000000"/>
          <w:sz w:val="24"/>
          <w:szCs w:val="24"/>
          <w:shd w:val="clear" w:color="auto" w:fill="FFFFFF"/>
          <w:lang w:eastAsia="en-GB"/>
        </w:rPr>
        <w:t>a contextualizing methodology;</w:t>
      </w:r>
      <w:r w:rsidRPr="00253C29">
        <w:rPr>
          <w:rFonts w:ascii="Garamond" w:eastAsia="Times New Roman" w:hAnsi="Garamond" w:cs="Times New Roman"/>
          <w:color w:val="000000"/>
          <w:sz w:val="24"/>
          <w:szCs w:val="24"/>
          <w:shd w:val="clear" w:color="auto" w:fill="FFFFFF"/>
          <w:lang w:eastAsia="en-GB"/>
        </w:rPr>
        <w:t xml:space="preserve"> “a rethinking of aesthetic images as events within relations, processes and ideologies through which they come into being and within which people are also </w:t>
      </w:r>
      <w:r>
        <w:rPr>
          <w:rFonts w:ascii="Garamond" w:eastAsia="Times New Roman" w:hAnsi="Garamond" w:cs="Times New Roman"/>
          <w:color w:val="000000"/>
          <w:sz w:val="24"/>
          <w:szCs w:val="24"/>
          <w:shd w:val="clear" w:color="auto" w:fill="FFFFFF"/>
          <w:lang w:eastAsia="en-GB"/>
        </w:rPr>
        <w:t xml:space="preserve">situated” (2009: 61). </w:t>
      </w:r>
      <w:r>
        <w:rPr>
          <w:rFonts w:ascii="Garamond" w:hAnsi="Garamond" w:cs="Times New Roman"/>
          <w:sz w:val="24"/>
          <w:szCs w:val="24"/>
        </w:rPr>
        <w:t>When applied to images that are intended to shock and dislocate the viewer, this approach seeks to understand the</w:t>
      </w:r>
      <w:r>
        <w:rPr>
          <w:rFonts w:ascii="Garamond" w:eastAsia="Times New Roman" w:hAnsi="Garamond" w:cs="Times New Roman"/>
          <w:color w:val="000000"/>
          <w:sz w:val="24"/>
          <w:szCs w:val="24"/>
          <w:shd w:val="clear" w:color="auto" w:fill="FFFFFF"/>
          <w:lang w:eastAsia="en-GB"/>
        </w:rPr>
        <w:t xml:space="preserve"> contexts of their deployment (in the case of working with BOA and STT images this means considering the situated organizational challenges of overcoming disinterest and </w:t>
      </w:r>
      <w:r w:rsidRPr="00253C29">
        <w:rPr>
          <w:rFonts w:ascii="Garamond" w:eastAsia="Times New Roman" w:hAnsi="Garamond" w:cs="Times New Roman"/>
          <w:color w:val="000000"/>
          <w:sz w:val="24"/>
          <w:szCs w:val="24"/>
          <w:shd w:val="clear" w:color="auto" w:fill="FFFFFF"/>
          <w:lang w:eastAsia="en-GB"/>
        </w:rPr>
        <w:t xml:space="preserve">apathy </w:t>
      </w:r>
      <w:r>
        <w:rPr>
          <w:rFonts w:ascii="Garamond" w:eastAsia="Times New Roman" w:hAnsi="Garamond" w:cs="Times New Roman"/>
          <w:color w:val="000000"/>
          <w:sz w:val="24"/>
          <w:szCs w:val="24"/>
          <w:shd w:val="clear" w:color="auto" w:fill="FFFFFF"/>
          <w:lang w:eastAsia="en-GB"/>
        </w:rPr>
        <w:t xml:space="preserve">over apartheid, trafficking and fair trade </w:t>
      </w:r>
      <w:r>
        <w:rPr>
          <w:rFonts w:ascii="Garamond" w:eastAsia="Times New Roman" w:hAnsi="Garamond" w:cs="Times New Roman"/>
          <w:color w:val="000000"/>
          <w:sz w:val="24"/>
          <w:szCs w:val="24"/>
          <w:shd w:val="clear" w:color="auto" w:fill="FFFFFF"/>
          <w:lang w:eastAsia="en-GB"/>
        </w:rPr>
        <w:lastRenderedPageBreak/>
        <w:t>– see Afoakwa, 2010). Adopting this strategy across all activist communications means</w:t>
      </w:r>
      <w:r w:rsidRPr="00253C29">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actively understanding the requirement to prioritize organizational/activist frames of engagement. This is done through engaging in different sorts of ethnographic research, and by loosely applying grounded theory</w:t>
      </w:r>
      <w:r>
        <w:rPr>
          <w:rStyle w:val="FootnoteReference"/>
          <w:rFonts w:ascii="Garamond" w:eastAsia="Times New Roman" w:hAnsi="Garamond" w:cs="Times New Roman"/>
          <w:color w:val="000000"/>
          <w:sz w:val="24"/>
          <w:szCs w:val="24"/>
          <w:shd w:val="clear" w:color="auto" w:fill="FFFFFF"/>
          <w:lang w:eastAsia="en-GB"/>
        </w:rPr>
        <w:footnoteReference w:id="8"/>
      </w:r>
      <w:r>
        <w:rPr>
          <w:rFonts w:ascii="Garamond" w:eastAsia="Times New Roman" w:hAnsi="Garamond" w:cs="Times New Roman"/>
          <w:color w:val="000000"/>
          <w:sz w:val="24"/>
          <w:szCs w:val="24"/>
          <w:shd w:val="clear" w:color="auto" w:fill="FFFFFF"/>
          <w:lang w:eastAsia="en-GB"/>
        </w:rPr>
        <w:t xml:space="preserve"> in order to make sense of potentially contradictory public statements about</w:t>
      </w:r>
      <w:r w:rsidRPr="00253C29">
        <w:rPr>
          <w:rFonts w:ascii="Garamond" w:eastAsia="Times New Roman" w:hAnsi="Garamond" w:cs="Times New Roman"/>
          <w:color w:val="000000"/>
          <w:sz w:val="24"/>
          <w:szCs w:val="24"/>
          <w:shd w:val="clear" w:color="auto" w:fill="FFFFFF"/>
          <w:lang w:eastAsia="en-GB"/>
        </w:rPr>
        <w:t xml:space="preserve"> communities, commodit</w:t>
      </w:r>
      <w:r>
        <w:rPr>
          <w:rFonts w:ascii="Garamond" w:eastAsia="Times New Roman" w:hAnsi="Garamond" w:cs="Times New Roman"/>
          <w:color w:val="000000"/>
          <w:sz w:val="24"/>
          <w:szCs w:val="24"/>
          <w:shd w:val="clear" w:color="auto" w:fill="FFFFFF"/>
          <w:lang w:eastAsia="en-GB"/>
        </w:rPr>
        <w:t>ies and stakeholders. In short, this means describing</w:t>
      </w:r>
      <w:r w:rsidRPr="00253C29">
        <w:rPr>
          <w:rFonts w:ascii="Garamond" w:eastAsia="Times New Roman" w:hAnsi="Garamond" w:cs="Times New Roman"/>
          <w:color w:val="000000"/>
          <w:sz w:val="24"/>
          <w:szCs w:val="24"/>
          <w:shd w:val="clear" w:color="auto" w:fill="FFFFFF"/>
          <w:lang w:eastAsia="en-GB"/>
        </w:rPr>
        <w:t xml:space="preserve"> the </w:t>
      </w:r>
      <w:r w:rsidRPr="00253C29">
        <w:rPr>
          <w:rFonts w:ascii="Garamond" w:eastAsia="Times New Roman" w:hAnsi="Garamond" w:cs="Times New Roman"/>
          <w:i/>
          <w:color w:val="000000"/>
          <w:sz w:val="24"/>
          <w:szCs w:val="24"/>
          <w:shd w:val="clear" w:color="auto" w:fill="FFFFFF"/>
          <w:lang w:eastAsia="en-GB"/>
        </w:rPr>
        <w:t>requirement</w:t>
      </w:r>
      <w:r w:rsidRPr="00253C29">
        <w:rPr>
          <w:rFonts w:ascii="Garamond" w:eastAsia="Times New Roman" w:hAnsi="Garamond" w:cs="Times New Roman"/>
          <w:color w:val="000000"/>
          <w:sz w:val="24"/>
          <w:szCs w:val="24"/>
          <w:shd w:val="clear" w:color="auto" w:fill="FFFFFF"/>
          <w:lang w:eastAsia="en-GB"/>
        </w:rPr>
        <w:t xml:space="preserve"> for </w:t>
      </w:r>
      <w:r>
        <w:rPr>
          <w:rFonts w:ascii="Garamond" w:eastAsia="Times New Roman" w:hAnsi="Garamond" w:cs="Times New Roman"/>
          <w:color w:val="000000"/>
          <w:sz w:val="24"/>
          <w:szCs w:val="24"/>
          <w:shd w:val="clear" w:color="auto" w:fill="FFFFFF"/>
          <w:lang w:eastAsia="en-GB"/>
        </w:rPr>
        <w:t>the BOA and STT</w:t>
      </w:r>
      <w:r w:rsidRPr="00253C29">
        <w:rPr>
          <w:rFonts w:ascii="Garamond" w:eastAsia="Times New Roman" w:hAnsi="Garamond" w:cs="Times New Roman"/>
          <w:color w:val="000000"/>
          <w:sz w:val="24"/>
          <w:szCs w:val="24"/>
          <w:shd w:val="clear" w:color="auto" w:fill="FFFFFF"/>
          <w:lang w:eastAsia="en-GB"/>
        </w:rPr>
        <w:t xml:space="preserve"> to reproduce</w:t>
      </w:r>
      <w:r>
        <w:rPr>
          <w:rFonts w:ascii="Garamond" w:eastAsia="Times New Roman" w:hAnsi="Garamond" w:cs="Times New Roman"/>
          <w:color w:val="000000"/>
          <w:sz w:val="24"/>
          <w:szCs w:val="24"/>
          <w:shd w:val="clear" w:color="auto" w:fill="FFFFFF"/>
          <w:lang w:eastAsia="en-GB"/>
        </w:rPr>
        <w:t xml:space="preserve"> stereotypes and ‘lay knowledges’ in order to</w:t>
      </w:r>
      <w:r w:rsidRPr="00253C29">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create recognizable co-ordinates across their political economies, and to contribute to recognizable tropes of anti-apartheid solidarity (BOA) and</w:t>
      </w:r>
      <w:r w:rsidR="00BB2602">
        <w:rPr>
          <w:rFonts w:ascii="Garamond" w:eastAsia="Times New Roman" w:hAnsi="Garamond" w:cs="Times New Roman"/>
          <w:color w:val="000000"/>
          <w:sz w:val="24"/>
          <w:szCs w:val="24"/>
          <w:shd w:val="clear" w:color="auto" w:fill="FFFFFF"/>
          <w:lang w:eastAsia="en-GB"/>
        </w:rPr>
        <w:t xml:space="preserve"> '</w:t>
      </w:r>
      <w:r w:rsidRPr="00253C29">
        <w:rPr>
          <w:rFonts w:ascii="Garamond" w:eastAsia="Times New Roman" w:hAnsi="Garamond" w:cs="Times New Roman"/>
          <w:color w:val="000000"/>
          <w:sz w:val="24"/>
          <w:szCs w:val="24"/>
          <w:shd w:val="clear" w:color="auto" w:fill="FFFFFF"/>
          <w:lang w:eastAsia="en-GB"/>
        </w:rPr>
        <w:t>global</w:t>
      </w:r>
      <w:r>
        <w:rPr>
          <w:rFonts w:ascii="Garamond" w:eastAsia="Times New Roman" w:hAnsi="Garamond" w:cs="Times New Roman"/>
          <w:color w:val="000000"/>
          <w:sz w:val="24"/>
          <w:szCs w:val="24"/>
          <w:shd w:val="clear" w:color="auto" w:fill="FFFFFF"/>
          <w:lang w:eastAsia="en-GB"/>
        </w:rPr>
        <w:t>izin</w:t>
      </w:r>
      <w:r w:rsidR="00BB2602">
        <w:rPr>
          <w:rFonts w:ascii="Garamond" w:eastAsia="Times New Roman" w:hAnsi="Garamond" w:cs="Times New Roman"/>
          <w:color w:val="000000"/>
          <w:sz w:val="24"/>
          <w:szCs w:val="24"/>
          <w:shd w:val="clear" w:color="auto" w:fill="FFFFFF"/>
          <w:lang w:eastAsia="en-GB"/>
        </w:rPr>
        <w:t>g responsibility'</w:t>
      </w:r>
      <w:r>
        <w:rPr>
          <w:rFonts w:ascii="Garamond" w:eastAsia="Times New Roman" w:hAnsi="Garamond" w:cs="Times New Roman"/>
          <w:color w:val="000000"/>
          <w:sz w:val="24"/>
          <w:szCs w:val="24"/>
          <w:shd w:val="clear" w:color="auto" w:fill="FFFFFF"/>
          <w:lang w:eastAsia="en-GB"/>
        </w:rPr>
        <w:t xml:space="preserve"> (STT</w:t>
      </w:r>
      <w:r w:rsidRPr="00253C29">
        <w:rPr>
          <w:rFonts w:ascii="Garamond" w:eastAsia="Times New Roman" w:hAnsi="Garamond" w:cs="Times New Roman"/>
          <w:color w:val="000000"/>
          <w:sz w:val="24"/>
          <w:szCs w:val="24"/>
          <w:shd w:val="clear" w:color="auto" w:fill="FFFFFF"/>
          <w:lang w:eastAsia="en-GB"/>
        </w:rPr>
        <w:t>)</w:t>
      </w:r>
      <w:r>
        <w:rPr>
          <w:rFonts w:ascii="Garamond" w:eastAsia="Times New Roman" w:hAnsi="Garamond" w:cs="Times New Roman"/>
          <w:color w:val="000000"/>
          <w:sz w:val="24"/>
          <w:szCs w:val="24"/>
          <w:shd w:val="clear" w:color="auto" w:fill="FFFFFF"/>
          <w:lang w:eastAsia="en-GB"/>
        </w:rPr>
        <w:t xml:space="preserve">. </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BB49E2">
      <w:pPr>
        <w:spacing w:after="0" w:line="360" w:lineRule="auto"/>
        <w:jc w:val="both"/>
        <w:rPr>
          <w:rFonts w:ascii="Garamond" w:hAnsi="Garamond"/>
          <w:sz w:val="24"/>
          <w:szCs w:val="24"/>
        </w:rPr>
      </w:pPr>
      <w:r>
        <w:rPr>
          <w:rFonts w:ascii="Garamond" w:hAnsi="Garamond"/>
          <w:sz w:val="24"/>
          <w:szCs w:val="24"/>
        </w:rPr>
        <w:t>However, this is not a thesis that describes activist problems from solely activist perspectives. At times I have refused to take activist descriptions of their work at face value (for example, an activist from STT told me that their work was not about race at all). As a researcher, I bring my commitment to what is broadly described as 'critical geography' into dialogue, encounter and varying degrees of complicity with the framings of knowledge by activist respondents.</w:t>
      </w:r>
      <w:r>
        <w:rPr>
          <w:rStyle w:val="FootnoteReference"/>
          <w:rFonts w:ascii="Garamond" w:hAnsi="Garamond"/>
          <w:sz w:val="24"/>
          <w:szCs w:val="24"/>
        </w:rPr>
        <w:footnoteReference w:id="9"/>
      </w:r>
      <w:r>
        <w:rPr>
          <w:rFonts w:ascii="Garamond" w:hAnsi="Garamond"/>
          <w:sz w:val="24"/>
          <w:szCs w:val="24"/>
        </w:rPr>
        <w:t xml:space="preserve"> In</w:t>
      </w:r>
      <w:r>
        <w:rPr>
          <w:rFonts w:ascii="Garamond" w:eastAsia="Times New Roman" w:hAnsi="Garamond" w:cs="Times New Roman"/>
          <w:color w:val="000000"/>
          <w:sz w:val="24"/>
          <w:szCs w:val="24"/>
          <w:shd w:val="clear" w:color="auto" w:fill="FFFFFF"/>
          <w:lang w:eastAsia="en-GB"/>
        </w:rPr>
        <w:t xml:space="preserve"> distinction to Barnett et al.'s (2011; 2013) prioritization of activist interpretive frames (primarily 'practice theory') to understand fair trade organization and standardization, I use </w:t>
      </w:r>
      <w:r>
        <w:rPr>
          <w:rFonts w:ascii="Garamond" w:hAnsi="Garamond"/>
          <w:sz w:val="24"/>
          <w:szCs w:val="24"/>
        </w:rPr>
        <w:t>interpretive schema from critical materialist, postcolonial, feminist, anti-colonial, political economy and critical race theory (CRT) perspectives to go beyond process-orientated descriptions of the 'grammars', subjectivities and practices of the BOA and STT. At times, these approaches make uneasy bedfellows with activist practices (and can result in illuminating deferrals, jarring juxtapositions and a loss of relevance in dialogue – see Chapter Five on STT and race).</w:t>
      </w:r>
      <w:r>
        <w:rPr>
          <w:rStyle w:val="FootnoteReference"/>
          <w:rFonts w:ascii="Garamond" w:hAnsi="Garamond"/>
          <w:sz w:val="24"/>
          <w:szCs w:val="24"/>
        </w:rPr>
        <w:footnoteReference w:id="10"/>
      </w:r>
      <w:r>
        <w:rPr>
          <w:rFonts w:ascii="Garamond" w:hAnsi="Garamond"/>
          <w:sz w:val="24"/>
          <w:szCs w:val="24"/>
        </w:rPr>
        <w:t xml:space="preserve"> I have frequently found that activist interpretive frames are very effective at describing the 'how' of campaigns, but less interested in the why. This chimes with Mason et al.'s (2013) reflections on the contradictory types of knowledge production prioritized by critical geographers and activist practitioners:  </w:t>
      </w:r>
    </w:p>
    <w:p w:rsidR="00BB49E2" w:rsidRDefault="00BB49E2" w:rsidP="00BB49E2">
      <w:pPr>
        <w:autoSpaceDE w:val="0"/>
        <w:autoSpaceDN w:val="0"/>
        <w:adjustRightInd w:val="0"/>
        <w:spacing w:after="0" w:line="360" w:lineRule="auto"/>
        <w:ind w:left="284" w:right="284"/>
        <w:rPr>
          <w:rFonts w:ascii="Garamond" w:hAnsi="Garamond" w:cs="StoneSans"/>
        </w:rPr>
      </w:pPr>
    </w:p>
    <w:p w:rsidR="00BB49E2" w:rsidRPr="004C2BBC" w:rsidRDefault="00BB49E2" w:rsidP="00BB49E2">
      <w:pPr>
        <w:autoSpaceDE w:val="0"/>
        <w:autoSpaceDN w:val="0"/>
        <w:adjustRightInd w:val="0"/>
        <w:spacing w:after="0" w:line="360" w:lineRule="auto"/>
        <w:ind w:left="284" w:right="284"/>
        <w:jc w:val="both"/>
        <w:rPr>
          <w:rFonts w:ascii="Garamond" w:hAnsi="Garamond" w:cs="StoneSans"/>
        </w:rPr>
      </w:pPr>
      <w:r w:rsidRPr="004C2BBC">
        <w:rPr>
          <w:rFonts w:ascii="Garamond" w:hAnsi="Garamond" w:cs="StoneSans"/>
        </w:rPr>
        <w:lastRenderedPageBreak/>
        <w:t xml:space="preserve">Academics... want to </w:t>
      </w:r>
      <w:r w:rsidRPr="004C2BBC">
        <w:rPr>
          <w:rFonts w:ascii="Garamond" w:hAnsi="Garamond" w:cs="StoneSans-Italic"/>
          <w:i/>
          <w:iCs/>
        </w:rPr>
        <w:t xml:space="preserve">know why </w:t>
      </w:r>
      <w:r w:rsidRPr="004C2BBC">
        <w:rPr>
          <w:rFonts w:ascii="Garamond" w:hAnsi="Garamond" w:cs="StoneSans"/>
        </w:rPr>
        <w:t>things are done. Often, figuring out the how and the why are contested and competing goals, resulting in not only different research aims but in different research outputs.</w:t>
      </w:r>
      <w:r>
        <w:rPr>
          <w:rFonts w:ascii="Garamond" w:hAnsi="Garamond" w:cs="StoneSans"/>
        </w:rPr>
        <w:t xml:space="preserve"> (2013: 252)</w:t>
      </w:r>
      <w:r>
        <w:rPr>
          <w:rStyle w:val="FootnoteReference"/>
          <w:rFonts w:ascii="Garamond" w:hAnsi="Garamond"/>
          <w:sz w:val="24"/>
          <w:szCs w:val="24"/>
        </w:rPr>
        <w:footnoteReference w:id="11"/>
      </w:r>
    </w:p>
    <w:p w:rsidR="00BB49E2" w:rsidRDefault="00BB49E2" w:rsidP="00BB49E2">
      <w:pPr>
        <w:spacing w:after="0" w:line="360" w:lineRule="auto"/>
        <w:jc w:val="both"/>
        <w:rPr>
          <w:rFonts w:ascii="Garamond" w:hAnsi="Garamond"/>
          <w:sz w:val="24"/>
          <w:szCs w:val="24"/>
        </w:rPr>
      </w:pPr>
    </w:p>
    <w:p w:rsidR="00BB49E2" w:rsidRDefault="00BB49E2" w:rsidP="00BB49E2">
      <w:pPr>
        <w:spacing w:after="0" w:line="360" w:lineRule="auto"/>
        <w:jc w:val="both"/>
        <w:rPr>
          <w:rFonts w:ascii="Garamond" w:hAnsi="Garamond"/>
          <w:sz w:val="24"/>
          <w:szCs w:val="24"/>
        </w:rPr>
      </w:pPr>
      <w:r>
        <w:rPr>
          <w:rFonts w:ascii="Garamond" w:hAnsi="Garamond"/>
          <w:sz w:val="24"/>
          <w:szCs w:val="24"/>
        </w:rPr>
        <w:t>A lack of communication about the divergent priorities between activists and academics can result in distant perceptions and stereotypes forming on both sides. This process was neatly illuminated by Antonie Fountain, STT's global director of chocolate campaigns during an interview on fair trade chocolate:</w:t>
      </w:r>
    </w:p>
    <w:p w:rsidR="00BB49E2" w:rsidRDefault="00BB49E2" w:rsidP="00BB49E2">
      <w:pPr>
        <w:spacing w:after="0" w:line="360" w:lineRule="auto"/>
        <w:jc w:val="both"/>
        <w:rPr>
          <w:rFonts w:ascii="Garamond" w:hAnsi="Garamond"/>
          <w:sz w:val="24"/>
          <w:szCs w:val="24"/>
        </w:rPr>
      </w:pPr>
    </w:p>
    <w:p w:rsidR="00BB49E2" w:rsidRDefault="00BB49E2" w:rsidP="00BB49E2">
      <w:pPr>
        <w:spacing w:after="0" w:line="360" w:lineRule="auto"/>
        <w:ind w:left="284" w:right="284"/>
        <w:jc w:val="both"/>
        <w:rPr>
          <w:rFonts w:ascii="Garamond" w:hAnsi="Garamond" w:cs="Times New Roman"/>
        </w:rPr>
      </w:pPr>
      <w:r w:rsidRPr="00253C29">
        <w:rPr>
          <w:rFonts w:ascii="Garamond" w:hAnsi="Garamond" w:cs="Times New Roman"/>
        </w:rPr>
        <w:t>Well</w:t>
      </w:r>
      <w:r>
        <w:rPr>
          <w:rFonts w:ascii="Garamond" w:hAnsi="Garamond" w:cs="Times New Roman"/>
        </w:rPr>
        <w:t>,</w:t>
      </w:r>
      <w:r w:rsidRPr="00253C29">
        <w:rPr>
          <w:rFonts w:ascii="Garamond" w:hAnsi="Garamond" w:cs="Times New Roman"/>
        </w:rPr>
        <w:t xml:space="preserve"> the thing about academics is that they live in their academic enclaves, and actually</w:t>
      </w:r>
      <w:r>
        <w:rPr>
          <w:rFonts w:ascii="Garamond" w:hAnsi="Garamond" w:cs="Times New Roman"/>
        </w:rPr>
        <w:t>,</w:t>
      </w:r>
      <w:r w:rsidRPr="00253C29">
        <w:rPr>
          <w:rFonts w:ascii="Garamond" w:hAnsi="Garamond" w:cs="Times New Roman"/>
        </w:rPr>
        <w:t xml:space="preserve"> sometimes </w:t>
      </w:r>
      <w:r>
        <w:rPr>
          <w:rFonts w:ascii="Garamond" w:hAnsi="Garamond" w:cs="Times New Roman"/>
        </w:rPr>
        <w:t xml:space="preserve">they </w:t>
      </w:r>
      <w:r w:rsidRPr="00253C29">
        <w:rPr>
          <w:rFonts w:ascii="Garamond" w:hAnsi="Garamond" w:cs="Times New Roman"/>
        </w:rPr>
        <w:t>need to stick their head out of the window and see how the world has been working since la</w:t>
      </w:r>
      <w:r>
        <w:rPr>
          <w:rFonts w:ascii="Garamond" w:hAnsi="Garamond" w:cs="Times New Roman"/>
        </w:rPr>
        <w:t>st time they looked. (Interview</w:t>
      </w:r>
      <w:r w:rsidRPr="00253C29">
        <w:rPr>
          <w:rFonts w:ascii="Garamond" w:hAnsi="Garamond" w:cs="Times New Roman"/>
        </w:rPr>
        <w:t xml:space="preserve"> Fountain, 2011)</w:t>
      </w:r>
    </w:p>
    <w:p w:rsidR="00BB49E2" w:rsidRPr="00253C29" w:rsidRDefault="00BB49E2" w:rsidP="00BB49E2">
      <w:pPr>
        <w:spacing w:after="0" w:line="360" w:lineRule="auto"/>
        <w:ind w:left="284" w:right="284"/>
        <w:jc w:val="both"/>
        <w:rPr>
          <w:rFonts w:ascii="Garamond" w:hAnsi="Garamond" w:cs="Times New Roman"/>
        </w:rPr>
      </w:pPr>
    </w:p>
    <w:p w:rsidR="00BB49E2" w:rsidRDefault="00BB49E2" w:rsidP="00BB49E2">
      <w:pPr>
        <w:spacing w:after="0" w:line="360" w:lineRule="auto"/>
        <w:jc w:val="both"/>
        <w:rPr>
          <w:rFonts w:ascii="Garamond" w:hAnsi="Garamond"/>
          <w:sz w:val="24"/>
          <w:szCs w:val="24"/>
        </w:rPr>
      </w:pPr>
      <w:r>
        <w:rPr>
          <w:rFonts w:ascii="Garamond" w:hAnsi="Garamond"/>
          <w:sz w:val="24"/>
          <w:szCs w:val="24"/>
        </w:rPr>
        <w:t>Throughout the thesis I am reflexive about bringing these two prerogatives together. Where possible, I include feedback from activists where applying critical geography perspectives has resulted in positive or negative reactions from individual activists, and I reflect on how critical perspectives grapple with repertoires of communication produced by both organizations (Mattoni, 2013).</w:t>
      </w:r>
      <w:r>
        <w:rPr>
          <w:rStyle w:val="FootnoteReference"/>
          <w:rFonts w:ascii="Garamond" w:hAnsi="Garamond"/>
          <w:sz w:val="24"/>
          <w:szCs w:val="24"/>
        </w:rPr>
        <w:footnoteReference w:id="12"/>
      </w:r>
      <w:r>
        <w:rPr>
          <w:rFonts w:ascii="Garamond" w:hAnsi="Garamond"/>
          <w:sz w:val="24"/>
          <w:szCs w:val="24"/>
        </w:rPr>
        <w:t xml:space="preserve"> I aim to piece together an approach that speaks to the everyday practices and divergent politics of the organizations </w:t>
      </w:r>
      <w:r w:rsidRPr="007F5F24">
        <w:rPr>
          <w:rFonts w:ascii="Garamond" w:hAnsi="Garamond"/>
          <w:i/>
          <w:sz w:val="24"/>
          <w:szCs w:val="24"/>
        </w:rPr>
        <w:t>and</w:t>
      </w:r>
      <w:r>
        <w:rPr>
          <w:rFonts w:ascii="Garamond" w:hAnsi="Garamond"/>
          <w:sz w:val="24"/>
          <w:szCs w:val="24"/>
        </w:rPr>
        <w:t xml:space="preserve"> the powerful geographies of inclusion/exclusion that they draw from and into which they intervene. </w:t>
      </w:r>
    </w:p>
    <w:p w:rsidR="00D054AC" w:rsidRDefault="00D054AC" w:rsidP="00BB49E2">
      <w:pPr>
        <w:pStyle w:val="Heading2"/>
      </w:pPr>
      <w:bookmarkStart w:id="79" w:name="_Toc244424932"/>
      <w:bookmarkStart w:id="80" w:name="_Toc244453618"/>
      <w:bookmarkStart w:id="81" w:name="_Toc244454135"/>
    </w:p>
    <w:p w:rsidR="00F07857" w:rsidRPr="00D054AC" w:rsidRDefault="00F07857" w:rsidP="00D054AC"/>
    <w:p w:rsidR="00BB49E2" w:rsidRPr="0002611C" w:rsidRDefault="00BB49E2" w:rsidP="00BB49E2">
      <w:pPr>
        <w:pStyle w:val="Heading2"/>
      </w:pPr>
      <w:bookmarkStart w:id="82" w:name="_Toc244469582"/>
      <w:bookmarkStart w:id="83" w:name="_Toc244508038"/>
      <w:bookmarkStart w:id="84" w:name="_Toc244535732"/>
      <w:bookmarkStart w:id="85" w:name="_Toc244578364"/>
      <w:bookmarkStart w:id="86" w:name="_Toc244578748"/>
      <w:bookmarkStart w:id="87" w:name="_Toc263451997"/>
      <w:bookmarkStart w:id="88" w:name="_Toc263510915"/>
      <w:r w:rsidRPr="0002611C">
        <w:t>The research process</w:t>
      </w:r>
      <w:bookmarkEnd w:id="79"/>
      <w:bookmarkEnd w:id="80"/>
      <w:bookmarkEnd w:id="81"/>
      <w:bookmarkEnd w:id="82"/>
      <w:bookmarkEnd w:id="83"/>
      <w:bookmarkEnd w:id="84"/>
      <w:bookmarkEnd w:id="85"/>
      <w:bookmarkEnd w:id="86"/>
      <w:bookmarkEnd w:id="87"/>
      <w:bookmarkEnd w:id="88"/>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This project has unfolded over a four-year period through the application of multiple intensive research methods. Throughout the study I present the subjective interpretations, imaginations and representations of individual boycott activists and organizations as important sources of boycotting, anti-apartheid and anti-trafficking knowledges. Working from detail, I take a broadly inductive approach to geographical research,</w:t>
      </w:r>
      <w:r>
        <w:rPr>
          <w:rStyle w:val="FootnoteReference"/>
          <w:rFonts w:ascii="Garamond" w:hAnsi="Garamond" w:cs="Times New Roman"/>
          <w:sz w:val="24"/>
          <w:szCs w:val="24"/>
        </w:rPr>
        <w:footnoteReference w:id="13"/>
      </w:r>
      <w:r>
        <w:rPr>
          <w:rFonts w:ascii="Garamond" w:hAnsi="Garamond" w:cs="Times New Roman"/>
          <w:sz w:val="24"/>
          <w:szCs w:val="24"/>
        </w:rPr>
        <w:t xml:space="preserve"> and firmly believe that all knowledge is partial, situated and contested.</w:t>
      </w:r>
      <w:r>
        <w:rPr>
          <w:rStyle w:val="FootnoteReference"/>
          <w:rFonts w:ascii="Garamond" w:hAnsi="Garamond" w:cs="Times New Roman"/>
          <w:sz w:val="24"/>
          <w:szCs w:val="24"/>
        </w:rPr>
        <w:footnoteReference w:id="14"/>
      </w:r>
      <w:r>
        <w:rPr>
          <w:rFonts w:ascii="Garamond" w:hAnsi="Garamond" w:cs="Times New Roman"/>
          <w:sz w:val="24"/>
          <w:szCs w:val="24"/>
        </w:rPr>
        <w:t xml:space="preserve">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For some, social-science methods should be like recipes: measured descriptions of inputs and techniques so that when repeated, near-identical results and best practice are guaranteed. But people are not quantifiable units, and cooks have different tastes. What is written here does not read as a conventional social-science methods section with titles such as 'research design', 'positionality', and 'sampling' (see Hoggart et al. 2002), but instead is an account of how this project came to fruition, and how I researched the BOA and STT. At the beginning of the doctorate in 2009, I started with the idea that I would analyse consumer boycotts through some of the theoretical tools developed in cultural, feminist and historical geography. Other than the abolitionist anti-saccharite movement (1791-3), I did not know which, or how many consumer boycotts I would focus on, and was keen to be lead by empirical data. There is value in describing how I got from there to here, (here being the now of sitting at my desk in Reading, September 2013, extrapolating from five chapters on anti-apartheid and anti-trafficking).</w:t>
      </w:r>
      <w:r>
        <w:rPr>
          <w:rStyle w:val="FootnoteReference"/>
          <w:rFonts w:ascii="Garamond" w:hAnsi="Garamond" w:cs="Times New Roman"/>
          <w:sz w:val="24"/>
          <w:szCs w:val="24"/>
        </w:rPr>
        <w:footnoteReference w:id="15"/>
      </w:r>
      <w:r>
        <w:rPr>
          <w:rFonts w:ascii="Garamond" w:hAnsi="Garamond" w:cs="Times New Roman"/>
          <w:sz w:val="24"/>
          <w:szCs w:val="24"/>
        </w:rPr>
        <w:t xml:space="preserve">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Writing with hindsight can be a privilege that allows researchers to correct our mistakes and iron out our foibles. However, I want to avoid a polished account of practice because making mistakes and facing challenges has partly moulded the politics and the work of this project, and it is from sharing and being reflexive about these experiences that we can learn about method assemblage as a "continuing process of crafting" (Law, 2004: 144). The process of researching and writing about the BOA and STT has been messy and 'mixed-up' with temporal lags and breakthroughs, and a variety of methodological approaches spinning off one another,</w:t>
      </w:r>
      <w:r>
        <w:rPr>
          <w:rStyle w:val="FootnoteReference"/>
          <w:rFonts w:ascii="Garamond" w:hAnsi="Garamond" w:cs="Times New Roman"/>
          <w:sz w:val="24"/>
          <w:szCs w:val="24"/>
        </w:rPr>
        <w:footnoteReference w:id="16"/>
      </w:r>
      <w:r>
        <w:rPr>
          <w:rFonts w:ascii="Garamond" w:hAnsi="Garamond" w:cs="Times New Roman"/>
          <w:sz w:val="24"/>
          <w:szCs w:val="24"/>
        </w:rPr>
        <w:t xml:space="preserve"> leading to new information and shifts in the positioning of my arguments.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Pr="00D054AC" w:rsidRDefault="00BB49E2" w:rsidP="00BB49E2">
      <w:pPr>
        <w:autoSpaceDE w:val="0"/>
        <w:autoSpaceDN w:val="0"/>
        <w:adjustRightInd w:val="0"/>
        <w:spacing w:after="0" w:line="360" w:lineRule="auto"/>
        <w:jc w:val="both"/>
        <w:rPr>
          <w:rFonts w:ascii="Garamond" w:hAnsi="Garamond" w:cs="Times New Roman"/>
          <w:b/>
          <w:i/>
          <w:szCs w:val="24"/>
        </w:rPr>
      </w:pPr>
      <w:r w:rsidRPr="00D054AC">
        <w:rPr>
          <w:rFonts w:ascii="Garamond" w:hAnsi="Garamond" w:cs="Times New Roman"/>
          <w:b/>
          <w:i/>
          <w:szCs w:val="24"/>
        </w:rPr>
        <w:t>Reviewing and getting to know the field of research</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 xml:space="preserve">In my first year as a PhD candidate, I produced three preliminary papers on commodity boycotts. In the first I reviewed the extant theoretical literature on commodity boycotts, and approaches to them (some of this has been worked into Chapter Three), the second </w:t>
      </w:r>
      <w:r>
        <w:rPr>
          <w:rFonts w:ascii="Garamond" w:hAnsi="Garamond" w:cs="Times New Roman"/>
          <w:sz w:val="24"/>
          <w:szCs w:val="24"/>
        </w:rPr>
        <w:lastRenderedPageBreak/>
        <w:t>carried out an overview of eight boycott movements from the eighteenth century to the present using largely secondary sources, and the third paper was a methodological two-month pilot study into three organizations chosen from the overview paper. For the review of eight boycott movements, I asked several questions of each organization:</w:t>
      </w:r>
    </w:p>
    <w:p w:rsidR="00BB49E2" w:rsidRDefault="00BB49E2" w:rsidP="00BB49E2">
      <w:pPr>
        <w:spacing w:after="0" w:line="360" w:lineRule="auto"/>
        <w:jc w:val="both"/>
        <w:rPr>
          <w:rFonts w:ascii="Garamond" w:hAnsi="Garamond" w:cs="Times New Roman"/>
          <w:i/>
          <w:sz w:val="24"/>
        </w:rPr>
      </w:pP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Which commodities are boycotted and how?</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rPr>
      </w:pPr>
      <w:r w:rsidRPr="001F4329">
        <w:rPr>
          <w:rFonts w:ascii="Garamond" w:hAnsi="Garamond" w:cs="Times New Roman"/>
          <w:sz w:val="24"/>
        </w:rPr>
        <w:t>What are the activist key words, phrases and terminologies? Develop a sense of language used by the movement.</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What egregious politics are contested?</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What types of consumer-producer relationships are imagined?</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What meta-emotions are involved?</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 xml:space="preserve">How do other campaigns relate? </w:t>
      </w:r>
    </w:p>
    <w:p w:rsidR="00BB49E2" w:rsidRPr="001F4329" w:rsidRDefault="00BB49E2" w:rsidP="002049D4">
      <w:pPr>
        <w:pStyle w:val="ListParagraph"/>
        <w:numPr>
          <w:ilvl w:val="0"/>
          <w:numId w:val="8"/>
        </w:numPr>
        <w:spacing w:after="0" w:line="360" w:lineRule="auto"/>
        <w:ind w:left="709"/>
        <w:jc w:val="both"/>
        <w:rPr>
          <w:rFonts w:ascii="Garamond" w:hAnsi="Garamond" w:cs="Times New Roman"/>
          <w:sz w:val="24"/>
        </w:rPr>
      </w:pPr>
      <w:r w:rsidRPr="001F4329">
        <w:rPr>
          <w:rFonts w:ascii="Garamond" w:hAnsi="Garamond" w:cs="Times New Roman"/>
          <w:sz w:val="24"/>
        </w:rPr>
        <w:t>What body-commodity topoi are developed?</w:t>
      </w:r>
    </w:p>
    <w:p w:rsidR="00BB49E2" w:rsidRPr="001F4329" w:rsidRDefault="00BB49E2" w:rsidP="002049D4">
      <w:pPr>
        <w:pStyle w:val="ListParagraph"/>
        <w:numPr>
          <w:ilvl w:val="0"/>
          <w:numId w:val="8"/>
        </w:numPr>
        <w:spacing w:after="0" w:line="360" w:lineRule="auto"/>
        <w:ind w:left="709"/>
        <w:jc w:val="both"/>
        <w:rPr>
          <w:rFonts w:ascii="Garamond" w:hAnsi="Garamond"/>
          <w:sz w:val="24"/>
          <w:szCs w:val="24"/>
        </w:rPr>
      </w:pPr>
      <w:r w:rsidRPr="001F4329">
        <w:rPr>
          <w:rFonts w:ascii="Garamond" w:hAnsi="Garamond" w:cs="Times New Roman"/>
          <w:sz w:val="24"/>
        </w:rPr>
        <w:t xml:space="preserve">What somatic markers are outlined?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The results of this overview paper are condensed as a taxonomy of the emotive and embodied work of commodity boycotts below in Table 1. The first, and arguably most important research breakthrough for the project came in July 2010, following the realization that the thesis I wanted to write (based on the anti-saccharites) was no longer a sensible option.</w:t>
      </w:r>
      <w:r>
        <w:rPr>
          <w:rStyle w:val="FootnoteReference"/>
          <w:rFonts w:ascii="Garamond" w:hAnsi="Garamond" w:cs="Times New Roman"/>
          <w:sz w:val="24"/>
          <w:szCs w:val="24"/>
        </w:rPr>
        <w:footnoteReference w:id="17"/>
      </w:r>
      <w:r>
        <w:rPr>
          <w:rFonts w:ascii="Garamond" w:hAnsi="Garamond" w:cs="Times New Roman"/>
          <w:sz w:val="24"/>
          <w:szCs w:val="24"/>
        </w:rPr>
        <w:t xml:space="preserve"> As this discounted the anti-saccharites, I decided to research organizations that reworked the anti-saccharite blood-sugar topos across different commodities, places and politics. So, I decided that the pilot research would focus on three organizations: Global Witness (GW), Boycott Outspan Action and Stop The Traffik.</w:t>
      </w:r>
      <w:r w:rsidRPr="00FA09A4">
        <w:rPr>
          <w:rStyle w:val="FootnoteReference"/>
          <w:rFonts w:ascii="Garamond" w:hAnsi="Garamond" w:cs="Times New Roman"/>
          <w:sz w:val="24"/>
          <w:szCs w:val="24"/>
        </w:rPr>
        <w:t xml:space="preserve"> </w:t>
      </w:r>
      <w:r>
        <w:rPr>
          <w:rStyle w:val="FootnoteReference"/>
          <w:rFonts w:ascii="Garamond" w:hAnsi="Garamond" w:cs="Times New Roman"/>
          <w:sz w:val="24"/>
          <w:szCs w:val="24"/>
        </w:rPr>
        <w:footnoteReference w:id="18"/>
      </w:r>
      <w:r>
        <w:rPr>
          <w:rFonts w:ascii="Garamond" w:hAnsi="Garamond" w:cs="Times New Roman"/>
          <w:sz w:val="24"/>
          <w:szCs w:val="24"/>
        </w:rPr>
        <w:t xml:space="preserve">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The pilot was conducted over the summer of 2010. I assimilate information most effectively through visualizing data across large surfaces; for each organization, an A2 mattering-map was made, on which I stuck images and 'post-its' printed out with activist, academic and gatekeeper names, commodity-body relationships, important publications, key dates, events and words. I summarized texts positioned as important by each organization. I recorded details from press reports, consulted official and unofficial </w:t>
      </w:r>
      <w:r>
        <w:rPr>
          <w:rFonts w:ascii="Garamond" w:hAnsi="Garamond" w:cs="Times New Roman"/>
          <w:sz w:val="24"/>
          <w:szCs w:val="24"/>
        </w:rPr>
        <w:lastRenderedPageBreak/>
        <w:t xml:space="preserve">websites, and developed a background sense of each organization's accessibility and politics. I approached activists across social networking sites, and where activists were no longer alive, I contacted relations through Facebook and public contact details. Where information was available, I noted specific benevolent and antagonistic relationships between activists.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 </w:t>
      </w:r>
    </w:p>
    <w:p w:rsidR="00D054AC"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I reviewed academic scholarship on anti-trafficking and blood-diamond activism in the UK, and anti-aparthei</w:t>
      </w:r>
      <w:r w:rsidR="00A1744E">
        <w:rPr>
          <w:rFonts w:ascii="Garamond" w:hAnsi="Garamond" w:cs="Times New Roman"/>
          <w:sz w:val="24"/>
          <w:szCs w:val="24"/>
        </w:rPr>
        <w:t>d in movement in Holland, and</w:t>
      </w:r>
      <w:r>
        <w:rPr>
          <w:rFonts w:ascii="Garamond" w:hAnsi="Garamond" w:cs="Times New Roman"/>
          <w:sz w:val="24"/>
          <w:szCs w:val="24"/>
        </w:rPr>
        <w:t xml:space="preserve"> emailed academics who had studied any of the organizations to ask advice on approaching activists and to get a sense of the scope of their research. I wanted to know if there was theoretical and empirical space for my proposed project, and I considered the composition of their methodologies. Had they interviewed particular activists? Which archives had they visited? Phillipe le Billon, Charles Mather and Ann-Marie Mol replied with enthusiastic and helpful responses on Global Witness and Boycott Outspan Action, for which I am grateful.  </w:t>
      </w:r>
    </w:p>
    <w:p w:rsidR="00D054AC" w:rsidRDefault="00D054AC" w:rsidP="00BB49E2">
      <w:pPr>
        <w:autoSpaceDE w:val="0"/>
        <w:autoSpaceDN w:val="0"/>
        <w:adjustRightInd w:val="0"/>
        <w:spacing w:after="0" w:line="360" w:lineRule="auto"/>
        <w:jc w:val="both"/>
        <w:rPr>
          <w:rFonts w:ascii="Garamond" w:hAnsi="Garamond" w:cs="Times New Roman"/>
          <w:sz w:val="24"/>
          <w:szCs w:val="24"/>
        </w:rPr>
      </w:pPr>
    </w:p>
    <w:p w:rsidR="00D054AC" w:rsidRDefault="00D054AC"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With this information at hand, I felt confident enough to arrange informal meetings with contacts. The meetings were a chance to introduce myself and ask a few questions, but most importantly they offered hope of developing working relationships. I realized that researching each organization was fraught with different challenges, and trust, or at least a sense of integrity had to be built. As STT and GW were active organizations with time and reputation at a premium, finding a gatekeeper was going to be difficult. My emails to their leading activists and founders did not get responses. I quickly reasoned that I would need to approach both of them from the bottom-up, contacting first interns and volunteers. After not hearing from GW I made a visit to their head office in Holborn. Up a flight of marble stairs and through some double glass doors, I was led into a waiting room that curved out into an open-plan office with no desks or chairs. All the people were behind more doors. Thick campaign brochures on conflict diamonds and coltan were laid out over a glass table. As I waited, I read undercover reports on child soldiers. The intern returned with an armful more of brochures and said "I'm terribly sorry we haven't time to see you today, but please feel free to take these, and we'll get in contact with you if you leave us your details". A week later in a final attempt to make contact, I rang the personal mobile of the co-founder of GW. In a brief conversation I learnt that GW were employed as advisors to the production team for the Hollywood epic, </w:t>
      </w:r>
      <w:r>
        <w:rPr>
          <w:rFonts w:ascii="Garamond" w:hAnsi="Garamond" w:cs="Times New Roman"/>
          <w:i/>
          <w:sz w:val="24"/>
          <w:szCs w:val="24"/>
        </w:rPr>
        <w:t xml:space="preserve">Blood Diamond. </w:t>
      </w:r>
      <w:r>
        <w:rPr>
          <w:rFonts w:ascii="Garamond" w:hAnsi="Garamond" w:cs="Times New Roman"/>
          <w:sz w:val="24"/>
          <w:szCs w:val="24"/>
        </w:rPr>
        <w:t xml:space="preserve">I was told that they didn't communicate with consumers, and three case studies </w:t>
      </w:r>
      <w:r>
        <w:rPr>
          <w:rFonts w:ascii="Garamond" w:hAnsi="Garamond" w:cs="Times New Roman"/>
          <w:sz w:val="24"/>
          <w:szCs w:val="24"/>
        </w:rPr>
        <w:lastRenderedPageBreak/>
        <w:t xml:space="preserve">became two. This meant I could focus on the strong leads already materializing for the BOA and STT. In the following section I introduce both organizations, outline their suitability for the study, and describe how I researched them.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9"/>
        <w:gridCol w:w="1298"/>
        <w:gridCol w:w="1267"/>
        <w:gridCol w:w="1149"/>
        <w:gridCol w:w="1265"/>
        <w:gridCol w:w="908"/>
        <w:gridCol w:w="1185"/>
        <w:gridCol w:w="1003"/>
      </w:tblGrid>
      <w:tr w:rsidR="00BB49E2" w:rsidRPr="002049D4">
        <w:trPr>
          <w:trHeight w:val="699"/>
        </w:trPr>
        <w:tc>
          <w:tcPr>
            <w:tcW w:w="1059" w:type="dxa"/>
          </w:tcPr>
          <w:p w:rsidR="00BB49E2" w:rsidRPr="00D054AC" w:rsidRDefault="00BB49E2" w:rsidP="00533819">
            <w:pPr>
              <w:autoSpaceDE w:val="0"/>
              <w:autoSpaceDN w:val="0"/>
              <w:adjustRightInd w:val="0"/>
              <w:spacing w:after="0" w:line="240" w:lineRule="auto"/>
              <w:jc w:val="both"/>
              <w:rPr>
                <w:rFonts w:ascii="Garamond" w:hAnsi="Garamond"/>
                <w:b/>
                <w:sz w:val="16"/>
                <w:szCs w:val="14"/>
              </w:rPr>
            </w:pPr>
          </w:p>
          <w:p w:rsidR="00BB49E2" w:rsidRPr="00D054AC" w:rsidRDefault="00BB49E2" w:rsidP="00533819">
            <w:pPr>
              <w:autoSpaceDE w:val="0"/>
              <w:autoSpaceDN w:val="0"/>
              <w:adjustRightInd w:val="0"/>
              <w:spacing w:after="0" w:line="240" w:lineRule="auto"/>
              <w:jc w:val="center"/>
              <w:rPr>
                <w:rFonts w:ascii="Garamond" w:hAnsi="Garamond"/>
                <w:b/>
                <w:sz w:val="14"/>
                <w:szCs w:val="14"/>
              </w:rPr>
            </w:pPr>
            <w:r w:rsidRPr="00D054AC">
              <w:rPr>
                <w:rFonts w:ascii="Garamond" w:hAnsi="Garamond"/>
                <w:b/>
                <w:sz w:val="16"/>
                <w:szCs w:val="14"/>
              </w:rPr>
              <w:t>Boycott Movement</w:t>
            </w:r>
          </w:p>
        </w:tc>
        <w:tc>
          <w:tcPr>
            <w:tcW w:w="1298" w:type="dxa"/>
          </w:tcPr>
          <w:p w:rsidR="00BB49E2" w:rsidRPr="00D054AC" w:rsidRDefault="00BB49E2" w:rsidP="00533819">
            <w:pPr>
              <w:autoSpaceDE w:val="0"/>
              <w:autoSpaceDN w:val="0"/>
              <w:adjustRightInd w:val="0"/>
              <w:spacing w:after="0" w:line="240" w:lineRule="auto"/>
              <w:jc w:val="both"/>
              <w:rPr>
                <w:rFonts w:ascii="Garamond" w:hAnsi="Garamond"/>
                <w:b/>
                <w:sz w:val="14"/>
                <w:szCs w:val="14"/>
              </w:rPr>
            </w:pPr>
          </w:p>
          <w:p w:rsidR="00BB49E2" w:rsidRPr="00D054AC" w:rsidRDefault="00BB49E2" w:rsidP="00533819">
            <w:pPr>
              <w:autoSpaceDE w:val="0"/>
              <w:autoSpaceDN w:val="0"/>
              <w:adjustRightInd w:val="0"/>
              <w:spacing w:after="0" w:line="240" w:lineRule="auto"/>
              <w:jc w:val="center"/>
              <w:rPr>
                <w:rFonts w:ascii="Garamond" w:hAnsi="Garamond"/>
                <w:b/>
                <w:sz w:val="16"/>
                <w:szCs w:val="14"/>
              </w:rPr>
            </w:pPr>
            <w:r w:rsidRPr="00D054AC">
              <w:rPr>
                <w:rFonts w:ascii="Garamond" w:hAnsi="Garamond"/>
                <w:b/>
                <w:sz w:val="16"/>
                <w:szCs w:val="14"/>
              </w:rPr>
              <w:t>Activist Keywords</w:t>
            </w:r>
          </w:p>
          <w:p w:rsidR="00BB49E2" w:rsidRPr="00D054AC" w:rsidRDefault="00BB49E2" w:rsidP="00533819">
            <w:pPr>
              <w:autoSpaceDE w:val="0"/>
              <w:autoSpaceDN w:val="0"/>
              <w:adjustRightInd w:val="0"/>
              <w:spacing w:after="0" w:line="240" w:lineRule="auto"/>
              <w:jc w:val="both"/>
              <w:rPr>
                <w:rFonts w:ascii="Garamond" w:hAnsi="Garamond"/>
                <w:b/>
                <w:sz w:val="14"/>
                <w:szCs w:val="14"/>
              </w:rPr>
            </w:pPr>
          </w:p>
        </w:tc>
        <w:tc>
          <w:tcPr>
            <w:tcW w:w="1267" w:type="dxa"/>
          </w:tcPr>
          <w:p w:rsidR="00BB49E2" w:rsidRPr="00D054AC" w:rsidRDefault="00BB49E2" w:rsidP="00533819">
            <w:pPr>
              <w:autoSpaceDE w:val="0"/>
              <w:autoSpaceDN w:val="0"/>
              <w:adjustRightInd w:val="0"/>
              <w:spacing w:after="0" w:line="240" w:lineRule="auto"/>
              <w:jc w:val="center"/>
              <w:rPr>
                <w:rFonts w:ascii="Garamond" w:hAnsi="Garamond"/>
                <w:b/>
                <w:sz w:val="16"/>
                <w:szCs w:val="14"/>
              </w:rPr>
            </w:pPr>
          </w:p>
          <w:p w:rsidR="00BB49E2" w:rsidRPr="00D054AC" w:rsidRDefault="00BB49E2" w:rsidP="00533819">
            <w:pPr>
              <w:autoSpaceDE w:val="0"/>
              <w:autoSpaceDN w:val="0"/>
              <w:adjustRightInd w:val="0"/>
              <w:spacing w:after="0" w:line="240" w:lineRule="auto"/>
              <w:jc w:val="center"/>
              <w:rPr>
                <w:rFonts w:ascii="Garamond" w:hAnsi="Garamond"/>
                <w:b/>
                <w:sz w:val="14"/>
                <w:szCs w:val="14"/>
              </w:rPr>
            </w:pPr>
            <w:r w:rsidRPr="00D054AC">
              <w:rPr>
                <w:rFonts w:ascii="Garamond" w:hAnsi="Garamond"/>
                <w:b/>
                <w:sz w:val="16"/>
                <w:szCs w:val="14"/>
              </w:rPr>
              <w:t>Commodities Boycotted</w:t>
            </w:r>
          </w:p>
        </w:tc>
        <w:tc>
          <w:tcPr>
            <w:tcW w:w="1149" w:type="dxa"/>
          </w:tcPr>
          <w:p w:rsidR="00BB49E2" w:rsidRPr="00D054AC" w:rsidRDefault="00BB49E2" w:rsidP="00533819">
            <w:pPr>
              <w:autoSpaceDE w:val="0"/>
              <w:autoSpaceDN w:val="0"/>
              <w:adjustRightInd w:val="0"/>
              <w:spacing w:after="0" w:line="240" w:lineRule="auto"/>
              <w:jc w:val="both"/>
              <w:rPr>
                <w:rFonts w:ascii="Garamond" w:hAnsi="Garamond"/>
                <w:b/>
                <w:sz w:val="14"/>
                <w:szCs w:val="14"/>
              </w:rPr>
            </w:pPr>
          </w:p>
          <w:p w:rsidR="00BB49E2" w:rsidRPr="00D054AC" w:rsidRDefault="00BB49E2" w:rsidP="00533819">
            <w:pPr>
              <w:autoSpaceDE w:val="0"/>
              <w:autoSpaceDN w:val="0"/>
              <w:adjustRightInd w:val="0"/>
              <w:spacing w:after="0" w:line="240" w:lineRule="auto"/>
              <w:jc w:val="center"/>
              <w:rPr>
                <w:rFonts w:ascii="Garamond" w:hAnsi="Garamond"/>
                <w:b/>
                <w:sz w:val="16"/>
                <w:szCs w:val="14"/>
              </w:rPr>
            </w:pPr>
            <w:r w:rsidRPr="00D054AC">
              <w:rPr>
                <w:rFonts w:ascii="Garamond" w:hAnsi="Garamond"/>
                <w:b/>
                <w:sz w:val="16"/>
                <w:szCs w:val="14"/>
              </w:rPr>
              <w:t>Egregious Concerns</w:t>
            </w:r>
          </w:p>
          <w:p w:rsidR="00BB49E2" w:rsidRPr="00D054AC" w:rsidRDefault="00BB49E2" w:rsidP="00533819">
            <w:pPr>
              <w:autoSpaceDE w:val="0"/>
              <w:autoSpaceDN w:val="0"/>
              <w:adjustRightInd w:val="0"/>
              <w:spacing w:after="0" w:line="240" w:lineRule="auto"/>
              <w:jc w:val="both"/>
              <w:rPr>
                <w:rFonts w:ascii="Garamond" w:hAnsi="Garamond"/>
                <w:b/>
                <w:sz w:val="14"/>
                <w:szCs w:val="14"/>
              </w:rPr>
            </w:pPr>
          </w:p>
        </w:tc>
        <w:tc>
          <w:tcPr>
            <w:tcW w:w="1265" w:type="dxa"/>
          </w:tcPr>
          <w:p w:rsidR="00BB49E2" w:rsidRPr="00D054AC" w:rsidRDefault="00BB49E2" w:rsidP="00533819">
            <w:pPr>
              <w:autoSpaceDE w:val="0"/>
              <w:autoSpaceDN w:val="0"/>
              <w:adjustRightInd w:val="0"/>
              <w:spacing w:after="0" w:line="240" w:lineRule="auto"/>
              <w:jc w:val="center"/>
              <w:rPr>
                <w:rFonts w:ascii="Garamond" w:hAnsi="Garamond"/>
                <w:b/>
                <w:sz w:val="16"/>
                <w:szCs w:val="14"/>
              </w:rPr>
            </w:pPr>
            <w:r w:rsidRPr="00D054AC">
              <w:rPr>
                <w:rFonts w:ascii="Garamond" w:hAnsi="Garamond"/>
                <w:b/>
                <w:sz w:val="16"/>
                <w:szCs w:val="14"/>
              </w:rPr>
              <w:t>Insinuated Consumer-Producer Relationship</w:t>
            </w:r>
          </w:p>
        </w:tc>
        <w:tc>
          <w:tcPr>
            <w:tcW w:w="908" w:type="dxa"/>
          </w:tcPr>
          <w:p w:rsidR="00BB49E2" w:rsidRPr="00D054AC" w:rsidRDefault="00BB49E2" w:rsidP="00533819">
            <w:pPr>
              <w:autoSpaceDE w:val="0"/>
              <w:autoSpaceDN w:val="0"/>
              <w:adjustRightInd w:val="0"/>
              <w:spacing w:after="0" w:line="240" w:lineRule="auto"/>
              <w:jc w:val="center"/>
              <w:rPr>
                <w:rFonts w:ascii="Garamond" w:hAnsi="Garamond"/>
                <w:b/>
                <w:sz w:val="16"/>
                <w:szCs w:val="14"/>
              </w:rPr>
            </w:pPr>
          </w:p>
          <w:p w:rsidR="00BB49E2" w:rsidRPr="00D054AC" w:rsidRDefault="00BB49E2" w:rsidP="00533819">
            <w:pPr>
              <w:autoSpaceDE w:val="0"/>
              <w:autoSpaceDN w:val="0"/>
              <w:adjustRightInd w:val="0"/>
              <w:spacing w:after="0" w:line="240" w:lineRule="auto"/>
              <w:jc w:val="center"/>
              <w:rPr>
                <w:rFonts w:ascii="Garamond" w:hAnsi="Garamond"/>
                <w:b/>
                <w:sz w:val="14"/>
                <w:szCs w:val="14"/>
              </w:rPr>
            </w:pPr>
            <w:r w:rsidRPr="00D054AC">
              <w:rPr>
                <w:rFonts w:ascii="Garamond" w:hAnsi="Garamond"/>
                <w:b/>
                <w:sz w:val="16"/>
                <w:szCs w:val="14"/>
              </w:rPr>
              <w:t>Meta-Emotion</w:t>
            </w:r>
          </w:p>
        </w:tc>
        <w:tc>
          <w:tcPr>
            <w:tcW w:w="1185" w:type="dxa"/>
          </w:tcPr>
          <w:p w:rsidR="00BB49E2" w:rsidRPr="00D054AC" w:rsidRDefault="00BB49E2" w:rsidP="00533819">
            <w:pPr>
              <w:autoSpaceDE w:val="0"/>
              <w:autoSpaceDN w:val="0"/>
              <w:adjustRightInd w:val="0"/>
              <w:spacing w:after="0" w:line="240" w:lineRule="auto"/>
              <w:jc w:val="center"/>
              <w:rPr>
                <w:rFonts w:ascii="Garamond" w:hAnsi="Garamond"/>
                <w:b/>
                <w:sz w:val="16"/>
                <w:szCs w:val="14"/>
              </w:rPr>
            </w:pPr>
            <w:r w:rsidRPr="00D054AC">
              <w:rPr>
                <w:rFonts w:ascii="Garamond" w:hAnsi="Garamond"/>
                <w:b/>
                <w:sz w:val="16"/>
                <w:szCs w:val="14"/>
              </w:rPr>
              <w:t>Body Commodity Topoi</w:t>
            </w:r>
          </w:p>
        </w:tc>
        <w:tc>
          <w:tcPr>
            <w:tcW w:w="1003" w:type="dxa"/>
          </w:tcPr>
          <w:p w:rsidR="00BB49E2" w:rsidRPr="00D054AC" w:rsidRDefault="00BB49E2" w:rsidP="00533819">
            <w:pPr>
              <w:autoSpaceDE w:val="0"/>
              <w:autoSpaceDN w:val="0"/>
              <w:adjustRightInd w:val="0"/>
              <w:spacing w:after="0" w:line="240" w:lineRule="auto"/>
              <w:jc w:val="center"/>
              <w:rPr>
                <w:rFonts w:ascii="Garamond" w:hAnsi="Garamond"/>
                <w:b/>
                <w:sz w:val="16"/>
                <w:szCs w:val="14"/>
              </w:rPr>
            </w:pPr>
            <w:r w:rsidRPr="00D054AC">
              <w:rPr>
                <w:rFonts w:ascii="Garamond" w:hAnsi="Garamond"/>
                <w:b/>
                <w:sz w:val="16"/>
                <w:szCs w:val="14"/>
              </w:rPr>
              <w:t>Somatic Marker/</w:t>
            </w:r>
          </w:p>
          <w:p w:rsidR="00BB49E2" w:rsidRPr="00D054AC" w:rsidRDefault="00BB49E2" w:rsidP="00533819">
            <w:pPr>
              <w:autoSpaceDE w:val="0"/>
              <w:autoSpaceDN w:val="0"/>
              <w:adjustRightInd w:val="0"/>
              <w:spacing w:after="0" w:line="240" w:lineRule="auto"/>
              <w:jc w:val="center"/>
              <w:rPr>
                <w:rFonts w:ascii="Garamond" w:hAnsi="Garamond"/>
                <w:b/>
                <w:sz w:val="14"/>
                <w:szCs w:val="14"/>
              </w:rPr>
            </w:pPr>
            <w:r w:rsidRPr="00D054AC">
              <w:rPr>
                <w:rFonts w:ascii="Garamond" w:hAnsi="Garamond"/>
                <w:b/>
                <w:sz w:val="16"/>
                <w:szCs w:val="14"/>
              </w:rPr>
              <w:t>Metaphor</w:t>
            </w:r>
          </w:p>
        </w:tc>
      </w:tr>
      <w:tr w:rsidR="00BB49E2" w:rsidRPr="002049D4">
        <w:trPr>
          <w:trHeight w:val="1165"/>
        </w:trPr>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Anti-saccharite movement (1791-93)</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Abstention, Cleansing,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Purifying the soul</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Benevolence</w:t>
            </w: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West-Indian sugar</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British slave trade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Moral decline of empire</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on black anthropophagia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(drinking the blood of slaves)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Philanthropic</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Romantic</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Disgust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Guilt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Shame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Car</w:t>
            </w:r>
            <w:r w:rsidR="00D054AC">
              <w:rPr>
                <w:rFonts w:ascii="Garamond" w:hAnsi="Garamond"/>
                <w:sz w:val="16"/>
                <w:szCs w:val="16"/>
              </w:rPr>
              <w:t>e</w:t>
            </w: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Blood-sugar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sugar-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'Pure' feminine body</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Bitter brew</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Blood-stained</w:t>
            </w:r>
          </w:p>
        </w:tc>
      </w:tr>
      <w:tr w:rsidR="00BB49E2" w:rsidRPr="002049D4">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Free Produce Movement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(1823-1830)</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Free labour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Humanity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Justice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Rights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West-Indian sugar, rum, molasses, cotton</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Immediate abolition of slavery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Patriarchal politics</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on black anthropophagic</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Justice-based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Romantic</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Pride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Solidarity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(women,   slaves and labour)</w:t>
            </w: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Feminine consumer-sugar purity</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Bitterness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Feminine Purity and sweetness</w:t>
            </w:r>
          </w:p>
        </w:tc>
      </w:tr>
      <w:tr w:rsidR="00BB49E2" w:rsidRPr="002049D4">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 xml:space="preserve">Cadbury </w:t>
            </w:r>
            <w:r w:rsidR="00F152DB">
              <w:rPr>
                <w:rFonts w:ascii="Garamond" w:hAnsi="Garamond"/>
                <w:sz w:val="16"/>
                <w:szCs w:val="16"/>
              </w:rPr>
              <w:t>and</w:t>
            </w:r>
            <w:r w:rsidRPr="002049D4">
              <w:rPr>
                <w:rFonts w:ascii="Garamond" w:hAnsi="Garamond"/>
                <w:sz w:val="16"/>
                <w:szCs w:val="16"/>
              </w:rPr>
              <w:t xml:space="preserve">  Fry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Sao Tome cocoa crisis (1902-1909)</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Antislavery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Witness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Paternalism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Quaker hypocrisy</w:t>
            </w: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Corporate switch from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 xml:space="preserve">Portuguese cocoa produced in Sao Tome </w:t>
            </w:r>
            <w:r w:rsidR="00F152DB">
              <w:rPr>
                <w:rFonts w:ascii="Garamond" w:hAnsi="Garamond"/>
                <w:sz w:val="16"/>
                <w:szCs w:val="16"/>
              </w:rPr>
              <w:t>and</w:t>
            </w:r>
            <w:r w:rsidRPr="002049D4">
              <w:rPr>
                <w:rFonts w:ascii="Garamond" w:hAnsi="Garamond"/>
                <w:sz w:val="16"/>
                <w:szCs w:val="16"/>
              </w:rPr>
              <w:t xml:space="preserve"> Principe</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Slavery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Accountability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Moral capital</w:t>
            </w:r>
          </w:p>
          <w:p w:rsidR="00BB49E2" w:rsidRPr="002049D4" w:rsidRDefault="00F152DB" w:rsidP="003D1BF6">
            <w:pPr>
              <w:autoSpaceDE w:val="0"/>
              <w:autoSpaceDN w:val="0"/>
              <w:adjustRightInd w:val="0"/>
              <w:spacing w:after="0" w:line="240" w:lineRule="auto"/>
              <w:jc w:val="center"/>
              <w:rPr>
                <w:rFonts w:ascii="Garamond" w:hAnsi="Garamond"/>
                <w:sz w:val="16"/>
                <w:szCs w:val="16"/>
              </w:rPr>
            </w:pPr>
            <w:r>
              <w:rPr>
                <w:rFonts w:ascii="Garamond" w:hAnsi="Garamond"/>
                <w:sz w:val="16"/>
                <w:szCs w:val="16"/>
              </w:rPr>
              <w:t>and</w:t>
            </w:r>
            <w:r w:rsidR="00BB49E2" w:rsidRPr="002049D4">
              <w:rPr>
                <w:rFonts w:ascii="Garamond" w:hAnsi="Garamond"/>
                <w:sz w:val="16"/>
                <w:szCs w:val="16"/>
              </w:rPr>
              <w:t xml:space="preserve"> imperialism</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Blocked by internal Cadbury investigation and Quaker networks</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Moral outrage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Indignity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Pride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No animating topos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Bitter cocoa</w:t>
            </w:r>
          </w:p>
        </w:tc>
      </w:tr>
      <w:tr w:rsidR="00BB49E2" w:rsidRPr="002049D4">
        <w:trPr>
          <w:trHeight w:val="1395"/>
        </w:trPr>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Bengali Swadeshi Movement (1903-08)</w:t>
            </w:r>
          </w:p>
        </w:tc>
        <w:tc>
          <w:tcPr>
            <w:tcW w:w="1298" w:type="dxa"/>
          </w:tcPr>
          <w:p w:rsidR="00BB49E2" w:rsidRPr="002049D4" w:rsidRDefault="002F66C2" w:rsidP="003D1BF6">
            <w:pPr>
              <w:autoSpaceDE w:val="0"/>
              <w:autoSpaceDN w:val="0"/>
              <w:adjustRightInd w:val="0"/>
              <w:spacing w:after="0" w:line="240" w:lineRule="auto"/>
              <w:jc w:val="center"/>
              <w:rPr>
                <w:rFonts w:ascii="Garamond" w:hAnsi="Garamond"/>
                <w:sz w:val="16"/>
                <w:szCs w:val="16"/>
              </w:rPr>
            </w:pPr>
            <w:r>
              <w:rPr>
                <w:rFonts w:ascii="Garamond" w:hAnsi="Garamond"/>
                <w:sz w:val="16"/>
                <w:szCs w:val="16"/>
              </w:rPr>
              <w:t>Bande Mata</w:t>
            </w:r>
            <w:r w:rsidR="00BB49E2" w:rsidRPr="002049D4">
              <w:rPr>
                <w:rFonts w:ascii="Garamond" w:hAnsi="Garamond"/>
                <w:sz w:val="16"/>
                <w:szCs w:val="16"/>
              </w:rPr>
              <w:t>ram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(Hail Mother)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Unity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Self-sacrifice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Hindu Shaktism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Organic Society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German Idealism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British cloth, silk, textiles, paper, sweets, sugar, salt, umbrellas, matches, soap, jewellery</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Economic drain of India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'Babu-liberalism'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Imperialism</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Bengali anthropoemia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(expulsion of British goods)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Exothermic</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(ritual burning of British clothes)</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Pride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Trust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Joy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Solidarity</w:t>
            </w: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Skin-cloth</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Blood-saffron</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Cattle blood-sugar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Pig blood-sugar</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Outer followed by inner cleansing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Parasitic relation</w:t>
            </w:r>
          </w:p>
        </w:tc>
      </w:tr>
      <w:tr w:rsidR="00BB49E2" w:rsidRPr="002049D4">
        <w:trPr>
          <w:trHeight w:val="2479"/>
        </w:trPr>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Boycott Outspan Action campaigns (1971-1991)</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Solidarity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Freedom Charter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Lowest threshold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Antiracism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Imperialism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Black consciousness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International anti-apartheid</w:t>
            </w: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Outspan citrus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Outspan Girls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Supermarkets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Merchant goods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migration to South Africa and associated organizations.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Travel agencies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Airlines</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South African Apartheid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European racism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Colonialism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supremacy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Reproduction of apartheid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European complicity</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White on black anthropophagia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Vampiricism ('sucking labourers dry')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Robbing and land-grabbing, black subjugation, extirpation and death</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Anger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Disgust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Shame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Solidarity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Care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Defiance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Paranoia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Racialized fear and pride</w:t>
            </w: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Blood-orange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Blood-grapefruit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Revolutionary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black body-migrant white body</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Squeezing  a South African dry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Blood-drenched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Brittle husk</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Wasting-hole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NA</w:t>
            </w:r>
          </w:p>
        </w:tc>
      </w:tr>
      <w:tr w:rsidR="00BB49E2" w:rsidRPr="002049D4">
        <w:tc>
          <w:tcPr>
            <w:tcW w:w="1059" w:type="dxa"/>
          </w:tcPr>
          <w:p w:rsidR="00BB49E2" w:rsidRPr="002049D4" w:rsidRDefault="000121E6" w:rsidP="003D1BF6">
            <w:pPr>
              <w:autoSpaceDE w:val="0"/>
              <w:autoSpaceDN w:val="0"/>
              <w:adjustRightInd w:val="0"/>
              <w:spacing w:after="0" w:line="240" w:lineRule="auto"/>
              <w:jc w:val="center"/>
              <w:rPr>
                <w:rFonts w:ascii="Garamond" w:hAnsi="Garamond"/>
                <w:sz w:val="16"/>
                <w:szCs w:val="16"/>
              </w:rPr>
            </w:pPr>
            <w:r>
              <w:rPr>
                <w:rFonts w:ascii="Garamond" w:hAnsi="Garamond"/>
                <w:sz w:val="16"/>
                <w:szCs w:val="16"/>
              </w:rPr>
              <w:t>Nestlé</w:t>
            </w:r>
            <w:r w:rsidR="00BB49E2" w:rsidRPr="002049D4">
              <w:rPr>
                <w:rFonts w:ascii="Garamond" w:hAnsi="Garamond"/>
                <w:sz w:val="16"/>
                <w:szCs w:val="16"/>
              </w:rPr>
              <w:t xml:space="preserve"> milk formula boycott (1975-1984)</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Milk and Murder</w:t>
            </w:r>
          </w:p>
          <w:p w:rsidR="00BB49E2" w:rsidRPr="002049D4" w:rsidRDefault="00BB49E2" w:rsidP="003D1BF6">
            <w:pPr>
              <w:autoSpaceDE w:val="0"/>
              <w:autoSpaceDN w:val="0"/>
              <w:adjustRightInd w:val="0"/>
              <w:spacing w:after="0" w:line="240" w:lineRule="auto"/>
              <w:jc w:val="center"/>
              <w:rPr>
                <w:rFonts w:ascii="Garamond" w:hAnsi="Garamond"/>
                <w:sz w:val="14"/>
                <w:szCs w:val="14"/>
              </w:rPr>
            </w:pPr>
            <w:r w:rsidRPr="002049D4">
              <w:rPr>
                <w:rFonts w:ascii="Garamond" w:hAnsi="Garamond"/>
                <w:sz w:val="16"/>
                <w:szCs w:val="16"/>
              </w:rPr>
              <w:t>Corporate hypocrisy</w:t>
            </w: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 xml:space="preserve">All </w:t>
            </w:r>
            <w:r w:rsidR="000121E6">
              <w:rPr>
                <w:rFonts w:ascii="Garamond" w:hAnsi="Garamond"/>
                <w:sz w:val="16"/>
                <w:szCs w:val="16"/>
              </w:rPr>
              <w:t>Nestlé</w:t>
            </w:r>
            <w:r w:rsidRPr="002049D4">
              <w:rPr>
                <w:rFonts w:ascii="Garamond" w:hAnsi="Garamond"/>
                <w:sz w:val="16"/>
                <w:szCs w:val="16"/>
              </w:rPr>
              <w:t xml:space="preserve"> products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 xml:space="preserve">Events sponsored by </w:t>
            </w:r>
            <w:r w:rsidR="000121E6">
              <w:rPr>
                <w:rFonts w:ascii="Garamond" w:hAnsi="Garamond"/>
                <w:sz w:val="16"/>
                <w:szCs w:val="16"/>
              </w:rPr>
              <w:t>Nestlé</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Secondary products</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Aggressive marketing of breast milk formula in Africa and Asia</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Infant murder and   malnourishment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Horror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Rage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Maternal solidarity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Child corpse-milk</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Milk and Murder</w:t>
            </w:r>
          </w:p>
        </w:tc>
      </w:tr>
      <w:tr w:rsidR="00BB49E2" w:rsidRPr="002049D4">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Global Witness blood diamond boycott (1999-presnt)</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Terror diamonds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Kimberley Certification</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Adbusting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De Beers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 diamonds' from Sierra Leone, Liberia, Angola and Botswana</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Diamond wars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Kleptocracies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Deviant economies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Bloodletting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Murder Amputation</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Horror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Terror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Revulsion</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Blood-diamonds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Terror-diamonds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Consuming is killing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Amputation is forever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Luxury/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blood</w:t>
            </w:r>
          </w:p>
          <w:p w:rsidR="00BB49E2" w:rsidRPr="002049D4" w:rsidRDefault="00BB49E2" w:rsidP="003D1BF6">
            <w:pPr>
              <w:autoSpaceDE w:val="0"/>
              <w:autoSpaceDN w:val="0"/>
              <w:adjustRightInd w:val="0"/>
              <w:spacing w:after="0" w:line="240" w:lineRule="auto"/>
              <w:jc w:val="center"/>
              <w:rPr>
                <w:rFonts w:ascii="Garamond" w:hAnsi="Garamond"/>
                <w:sz w:val="14"/>
                <w:szCs w:val="14"/>
              </w:rPr>
            </w:pPr>
            <w:r w:rsidRPr="002049D4">
              <w:rPr>
                <w:rFonts w:ascii="Garamond" w:hAnsi="Garamond"/>
                <w:sz w:val="16"/>
                <w:szCs w:val="16"/>
              </w:rPr>
              <w:t>Purity/Dirt</w:t>
            </w:r>
          </w:p>
        </w:tc>
      </w:tr>
      <w:tr w:rsidR="00BB49E2" w:rsidRPr="002049D4">
        <w:trPr>
          <w:trHeight w:val="1497"/>
        </w:trPr>
        <w:tc>
          <w:tcPr>
            <w:tcW w:w="105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Stop The Traffik (2006-Present)</w:t>
            </w:r>
          </w:p>
        </w:tc>
        <w:tc>
          <w:tcPr>
            <w:tcW w:w="129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Human rights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Palermo Protocols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Universal childhood</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Chocolate greed</w:t>
            </w:r>
          </w:p>
        </w:tc>
        <w:tc>
          <w:tcPr>
            <w:tcW w:w="1267"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 xml:space="preserve">Non-certified chocolate from </w:t>
            </w:r>
            <w:r w:rsidR="000121E6">
              <w:rPr>
                <w:rFonts w:ascii="Garamond" w:hAnsi="Garamond"/>
                <w:sz w:val="16"/>
                <w:szCs w:val="16"/>
              </w:rPr>
              <w:t>Nestlé</w:t>
            </w:r>
            <w:r w:rsidRPr="002049D4">
              <w:rPr>
                <w:rFonts w:ascii="Garamond" w:hAnsi="Garamond"/>
                <w:sz w:val="16"/>
                <w:szCs w:val="16"/>
              </w:rPr>
              <w:t>, Mars, Royal Verkade, Mondalez, Hershey</w:t>
            </w:r>
          </w:p>
        </w:tc>
        <w:tc>
          <w:tcPr>
            <w:tcW w:w="1149"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Trafficking</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Child labour</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Kleptocracies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Deviant economies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Illegal migration</w:t>
            </w:r>
          </w:p>
        </w:tc>
        <w:tc>
          <w:tcPr>
            <w:tcW w:w="126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Largely absent,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occasional</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anthropophagia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anthropoemia of 'deviancy'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dismemberment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Fair trade solidarity</w:t>
            </w:r>
          </w:p>
        </w:tc>
        <w:tc>
          <w:tcPr>
            <w:tcW w:w="908"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Shock</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Joy</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Care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Optimism</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c>
          <w:tcPr>
            <w:tcW w:w="1185"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Sweat-cocoa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Tears-cocoa</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Producer child-chocolate topos</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Consumer child-chocolate topos</w:t>
            </w:r>
          </w:p>
        </w:tc>
        <w:tc>
          <w:tcPr>
            <w:tcW w:w="1003" w:type="dxa"/>
          </w:tcPr>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Bitter chocolate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Clean conscience</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Bittersweet</w:t>
            </w:r>
          </w:p>
          <w:p w:rsidR="00BB49E2" w:rsidRPr="002049D4" w:rsidRDefault="00BB49E2" w:rsidP="003D1BF6">
            <w:pPr>
              <w:autoSpaceDE w:val="0"/>
              <w:autoSpaceDN w:val="0"/>
              <w:adjustRightInd w:val="0"/>
              <w:spacing w:after="0" w:line="240" w:lineRule="auto"/>
              <w:jc w:val="center"/>
              <w:rPr>
                <w:rFonts w:ascii="Garamond" w:hAnsi="Garamond"/>
                <w:sz w:val="16"/>
                <w:szCs w:val="16"/>
              </w:rPr>
            </w:pPr>
            <w:r w:rsidRPr="002049D4">
              <w:rPr>
                <w:rFonts w:ascii="Garamond" w:hAnsi="Garamond"/>
                <w:sz w:val="16"/>
                <w:szCs w:val="16"/>
              </w:rPr>
              <w:t>Taste of exploitation</w:t>
            </w:r>
          </w:p>
          <w:p w:rsidR="00BB49E2" w:rsidRPr="002049D4" w:rsidRDefault="00BB49E2" w:rsidP="003D1BF6">
            <w:pPr>
              <w:autoSpaceDE w:val="0"/>
              <w:autoSpaceDN w:val="0"/>
              <w:adjustRightInd w:val="0"/>
              <w:spacing w:after="0" w:line="240" w:lineRule="auto"/>
              <w:jc w:val="center"/>
              <w:rPr>
                <w:rFonts w:ascii="Garamond" w:hAnsi="Garamond"/>
                <w:sz w:val="16"/>
                <w:szCs w:val="16"/>
              </w:rPr>
            </w:pPr>
          </w:p>
        </w:tc>
      </w:tr>
    </w:tbl>
    <w:p w:rsidR="00BB49E2" w:rsidRDefault="00BB49E2" w:rsidP="00BB49E2">
      <w:pPr>
        <w:pStyle w:val="Caption"/>
        <w:spacing w:after="0" w:line="360" w:lineRule="auto"/>
        <w:jc w:val="center"/>
        <w:rPr>
          <w:rFonts w:ascii="Perpetua" w:hAnsi="Perpetua"/>
          <w:color w:val="auto"/>
        </w:rPr>
      </w:pPr>
      <w:bookmarkStart w:id="89" w:name="_Toc244001180"/>
      <w:bookmarkStart w:id="90" w:name="_Toc244001409"/>
      <w:bookmarkStart w:id="91" w:name="_Toc244001438"/>
    </w:p>
    <w:p w:rsidR="00BB49E2" w:rsidRDefault="00BB49E2" w:rsidP="00BB49E2">
      <w:pPr>
        <w:pStyle w:val="Caption"/>
        <w:spacing w:after="0" w:line="360" w:lineRule="auto"/>
        <w:jc w:val="center"/>
        <w:rPr>
          <w:rFonts w:ascii="Perpetua" w:hAnsi="Perpetua"/>
          <w:b w:val="0"/>
          <w:color w:val="auto"/>
          <w:sz w:val="20"/>
        </w:rPr>
      </w:pPr>
      <w:bookmarkStart w:id="92" w:name="_Toc244168193"/>
      <w:bookmarkStart w:id="93" w:name="_Toc244578422"/>
      <w:r w:rsidRPr="00E8319A">
        <w:rPr>
          <w:rFonts w:ascii="Perpetua" w:hAnsi="Perpetua"/>
          <w:color w:val="auto"/>
          <w:sz w:val="20"/>
        </w:rPr>
        <w:t xml:space="preserve">Table </w:t>
      </w:r>
      <w:r w:rsidR="00DF2DF8" w:rsidRPr="00E8319A">
        <w:rPr>
          <w:rFonts w:ascii="Perpetua" w:hAnsi="Perpetua"/>
          <w:color w:val="auto"/>
          <w:sz w:val="20"/>
        </w:rPr>
        <w:fldChar w:fldCharType="begin"/>
      </w:r>
      <w:r w:rsidRPr="00E8319A">
        <w:rPr>
          <w:rFonts w:ascii="Perpetua" w:hAnsi="Perpetua"/>
          <w:color w:val="auto"/>
          <w:sz w:val="20"/>
        </w:rPr>
        <w:instrText xml:space="preserve"> SEQ Table \* ARABIC </w:instrText>
      </w:r>
      <w:r w:rsidR="00DF2DF8" w:rsidRPr="00E8319A">
        <w:rPr>
          <w:rFonts w:ascii="Perpetua" w:hAnsi="Perpetua"/>
          <w:color w:val="auto"/>
          <w:sz w:val="20"/>
        </w:rPr>
        <w:fldChar w:fldCharType="separate"/>
      </w:r>
      <w:r w:rsidR="002B3E92">
        <w:rPr>
          <w:rFonts w:ascii="Perpetua" w:hAnsi="Perpetua"/>
          <w:noProof/>
          <w:color w:val="auto"/>
          <w:sz w:val="20"/>
        </w:rPr>
        <w:t>1</w:t>
      </w:r>
      <w:r w:rsidR="00DF2DF8" w:rsidRPr="00E8319A">
        <w:rPr>
          <w:rFonts w:ascii="Perpetua" w:hAnsi="Perpetua"/>
          <w:color w:val="auto"/>
          <w:sz w:val="20"/>
        </w:rPr>
        <w:fldChar w:fldCharType="end"/>
      </w:r>
      <w:r w:rsidRPr="00E8319A">
        <w:rPr>
          <w:rFonts w:ascii="Perpetua" w:hAnsi="Perpetua"/>
          <w:color w:val="auto"/>
          <w:sz w:val="20"/>
        </w:rPr>
        <w:t>:</w:t>
      </w:r>
      <w:r w:rsidRPr="00E8319A">
        <w:rPr>
          <w:rFonts w:ascii="Perpetua" w:hAnsi="Perpetua"/>
          <w:b w:val="0"/>
          <w:color w:val="auto"/>
          <w:sz w:val="20"/>
        </w:rPr>
        <w:t xml:space="preserve"> Taxonomy of commodity boycott emotions and embodiments</w:t>
      </w:r>
      <w:bookmarkEnd w:id="89"/>
      <w:bookmarkEnd w:id="90"/>
      <w:bookmarkEnd w:id="91"/>
      <w:r w:rsidRPr="00E8319A">
        <w:rPr>
          <w:rFonts w:ascii="Perpetua" w:hAnsi="Perpetua"/>
          <w:b w:val="0"/>
          <w:color w:val="auto"/>
          <w:sz w:val="20"/>
        </w:rPr>
        <w:t>.</w:t>
      </w:r>
      <w:bookmarkEnd w:id="92"/>
      <w:bookmarkEnd w:id="93"/>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Pr="0002611C" w:rsidRDefault="00BB49E2" w:rsidP="00BB49E2">
      <w:pPr>
        <w:pStyle w:val="Heading2"/>
      </w:pPr>
      <w:bookmarkStart w:id="94" w:name="_Toc244424933"/>
      <w:bookmarkStart w:id="95" w:name="_Toc244453619"/>
      <w:bookmarkStart w:id="96" w:name="_Toc244454136"/>
      <w:bookmarkStart w:id="97" w:name="_Toc244469583"/>
      <w:bookmarkStart w:id="98" w:name="_Toc244508039"/>
      <w:bookmarkStart w:id="99" w:name="_Toc244535733"/>
      <w:bookmarkStart w:id="100" w:name="_Toc244578365"/>
      <w:bookmarkStart w:id="101" w:name="_Toc244578749"/>
      <w:bookmarkStart w:id="102" w:name="_Toc263451998"/>
      <w:bookmarkStart w:id="103" w:name="_Toc263510916"/>
      <w:r w:rsidRPr="0002611C">
        <w:t>Introducing Boycott Outspan Action (1970-1992)</w:t>
      </w:r>
      <w:bookmarkEnd w:id="94"/>
      <w:bookmarkEnd w:id="95"/>
      <w:bookmarkEnd w:id="96"/>
      <w:bookmarkEnd w:id="97"/>
      <w:bookmarkEnd w:id="98"/>
      <w:bookmarkEnd w:id="99"/>
      <w:bookmarkEnd w:id="100"/>
      <w:bookmarkEnd w:id="101"/>
      <w:bookmarkEnd w:id="102"/>
      <w:bookmarkEnd w:id="103"/>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 </w:t>
      </w:r>
    </w:p>
    <w:p w:rsidR="00BB49E2" w:rsidRDefault="00BB49E2" w:rsidP="00BB49E2">
      <w:pPr>
        <w:spacing w:after="0" w:line="360" w:lineRule="auto"/>
        <w:jc w:val="both"/>
        <w:rPr>
          <w:rFonts w:ascii="Garamond" w:hAnsi="Garamond"/>
          <w:sz w:val="24"/>
          <w:szCs w:val="24"/>
        </w:rPr>
      </w:pPr>
      <w:r w:rsidRPr="00E53286">
        <w:rPr>
          <w:rFonts w:ascii="Garamond" w:hAnsi="Garamond"/>
          <w:sz w:val="24"/>
          <w:szCs w:val="24"/>
        </w:rPr>
        <w:t xml:space="preserve">The BOA were formed as an amalgamation of members from the anti-apartheid organizations </w:t>
      </w:r>
      <w:r w:rsidR="00417E04">
        <w:rPr>
          <w:rFonts w:ascii="Garamond" w:hAnsi="Garamond"/>
          <w:sz w:val="24"/>
          <w:szCs w:val="24"/>
        </w:rPr>
        <w:t xml:space="preserve">Kairos, </w:t>
      </w:r>
      <w:r w:rsidRPr="00E53286">
        <w:rPr>
          <w:rFonts w:ascii="Garamond" w:hAnsi="Garamond"/>
          <w:sz w:val="24"/>
          <w:szCs w:val="24"/>
        </w:rPr>
        <w:t>the Working Group Southern Afri</w:t>
      </w:r>
      <w:r>
        <w:rPr>
          <w:rFonts w:ascii="Garamond" w:hAnsi="Garamond"/>
          <w:sz w:val="24"/>
          <w:szCs w:val="24"/>
        </w:rPr>
        <w:t>ca Leiden (WZA)</w:t>
      </w:r>
      <w:r w:rsidR="00417E04">
        <w:rPr>
          <w:rFonts w:ascii="Garamond" w:hAnsi="Garamond"/>
          <w:sz w:val="24"/>
          <w:szCs w:val="24"/>
        </w:rPr>
        <w:t xml:space="preserve"> and International South African Refugee Aid (ESARA)</w:t>
      </w:r>
      <w:r>
        <w:rPr>
          <w:rFonts w:ascii="Garamond" w:hAnsi="Garamond"/>
          <w:sz w:val="24"/>
          <w:szCs w:val="24"/>
        </w:rPr>
        <w:t>. Founded in 1970</w:t>
      </w:r>
      <w:r w:rsidRPr="00E53286">
        <w:rPr>
          <w:rFonts w:ascii="Garamond" w:hAnsi="Garamond"/>
          <w:sz w:val="24"/>
          <w:szCs w:val="24"/>
        </w:rPr>
        <w:t xml:space="preserve"> by Esau du Plessis (a student of non-Western sociology at the University of Leiden, Netherlands, and South African exile), the gr</w:t>
      </w:r>
      <w:r>
        <w:rPr>
          <w:rFonts w:ascii="Garamond" w:hAnsi="Garamond"/>
          <w:sz w:val="24"/>
          <w:szCs w:val="24"/>
        </w:rPr>
        <w:t xml:space="preserve">aphic designer Rob van der Aa, </w:t>
      </w:r>
      <w:r w:rsidRPr="00E53286">
        <w:rPr>
          <w:rFonts w:ascii="Garamond" w:hAnsi="Garamond"/>
          <w:sz w:val="24"/>
          <w:szCs w:val="24"/>
        </w:rPr>
        <w:t>the secretary Wil van de Giesen-Sherpenzeel</w:t>
      </w:r>
      <w:r>
        <w:rPr>
          <w:rFonts w:ascii="Garamond" w:hAnsi="Garamond"/>
          <w:sz w:val="24"/>
          <w:szCs w:val="24"/>
        </w:rPr>
        <w:t>,</w:t>
      </w:r>
      <w:r w:rsidRPr="00E53286">
        <w:rPr>
          <w:rFonts w:ascii="Garamond" w:hAnsi="Garamond"/>
          <w:sz w:val="24"/>
          <w:szCs w:val="24"/>
        </w:rPr>
        <w:t xml:space="preserve"> and the scholar</w:t>
      </w:r>
      <w:r>
        <w:rPr>
          <w:rFonts w:ascii="Garamond" w:hAnsi="Garamond"/>
          <w:sz w:val="24"/>
          <w:szCs w:val="24"/>
        </w:rPr>
        <w:t xml:space="preserve"> and journalist</w:t>
      </w:r>
      <w:r w:rsidRPr="00E53286">
        <w:rPr>
          <w:rFonts w:ascii="Garamond" w:hAnsi="Garamond"/>
          <w:sz w:val="24"/>
          <w:szCs w:val="24"/>
        </w:rPr>
        <w:t xml:space="preserve"> Karel Roskam (author of </w:t>
      </w:r>
      <w:r w:rsidRPr="00E53286">
        <w:rPr>
          <w:rFonts w:ascii="Garamond" w:hAnsi="Garamond"/>
          <w:i/>
          <w:sz w:val="24"/>
          <w:szCs w:val="24"/>
        </w:rPr>
        <w:t>Apartheid and Discrimination</w:t>
      </w:r>
      <w:r>
        <w:rPr>
          <w:rFonts w:ascii="Garamond" w:hAnsi="Garamond"/>
          <w:i/>
          <w:sz w:val="24"/>
          <w:szCs w:val="24"/>
        </w:rPr>
        <w:t xml:space="preserve">, </w:t>
      </w:r>
      <w:r>
        <w:rPr>
          <w:rFonts w:ascii="Garamond" w:hAnsi="Garamond"/>
          <w:sz w:val="24"/>
          <w:szCs w:val="24"/>
        </w:rPr>
        <w:t>1960). T</w:t>
      </w:r>
      <w:r w:rsidRPr="00E53286">
        <w:rPr>
          <w:rFonts w:ascii="Garamond" w:hAnsi="Garamond"/>
          <w:sz w:val="24"/>
          <w:szCs w:val="24"/>
        </w:rPr>
        <w:t xml:space="preserve">heir idea was to create a secular and politically diverse anti-apartheid and antiracist movement that would draw participants </w:t>
      </w:r>
      <w:r w:rsidR="00BB2602">
        <w:rPr>
          <w:rFonts w:ascii="Garamond" w:hAnsi="Garamond"/>
          <w:sz w:val="24"/>
          <w:szCs w:val="24"/>
        </w:rPr>
        <w:t xml:space="preserve">from the </w:t>
      </w:r>
      <w:r w:rsidR="00BB2602">
        <w:rPr>
          <w:rFonts w:ascii="Garamond" w:eastAsia="Times New Roman" w:hAnsi="Garamond" w:cs="Times New Roman"/>
          <w:color w:val="000000"/>
          <w:sz w:val="24"/>
          <w:szCs w:val="24"/>
          <w:shd w:val="clear" w:color="auto" w:fill="FFFFFF"/>
          <w:lang w:eastAsia="en-GB"/>
        </w:rPr>
        <w:t>'</w:t>
      </w:r>
      <w:r w:rsidR="00BB2602">
        <w:rPr>
          <w:rFonts w:ascii="Garamond" w:hAnsi="Garamond"/>
          <w:sz w:val="24"/>
          <w:szCs w:val="24"/>
        </w:rPr>
        <w:t>l</w:t>
      </w:r>
      <w:r w:rsidRPr="00E53286">
        <w:rPr>
          <w:rFonts w:ascii="Garamond" w:hAnsi="Garamond"/>
          <w:sz w:val="24"/>
          <w:szCs w:val="24"/>
        </w:rPr>
        <w:t>owest threshold</w:t>
      </w:r>
      <w:r w:rsidR="00BB2602">
        <w:rPr>
          <w:rFonts w:ascii="Garamond" w:eastAsia="Times New Roman" w:hAnsi="Garamond" w:cs="Times New Roman"/>
          <w:color w:val="000000"/>
          <w:sz w:val="24"/>
          <w:szCs w:val="24"/>
          <w:shd w:val="clear" w:color="auto" w:fill="FFFFFF"/>
          <w:lang w:eastAsia="en-GB"/>
        </w:rPr>
        <w:t>'</w:t>
      </w:r>
      <w:r w:rsidRPr="00E53286">
        <w:rPr>
          <w:rStyle w:val="FootnoteReference"/>
          <w:rFonts w:ascii="Garamond" w:hAnsi="Garamond"/>
          <w:sz w:val="24"/>
          <w:szCs w:val="24"/>
        </w:rPr>
        <w:footnoteReference w:id="19"/>
      </w:r>
      <w:r>
        <w:rPr>
          <w:rFonts w:ascii="Garamond" w:hAnsi="Garamond"/>
          <w:sz w:val="24"/>
          <w:szCs w:val="24"/>
        </w:rPr>
        <w:t xml:space="preserve"> otherwis</w:t>
      </w:r>
      <w:r w:rsidRPr="00E53286">
        <w:rPr>
          <w:rFonts w:ascii="Garamond" w:hAnsi="Garamond"/>
          <w:sz w:val="24"/>
          <w:szCs w:val="24"/>
        </w:rPr>
        <w:t>e not interested in anti-apartheid. While most members of the BOA worked without financial remuneration, or with small stipends to cover expenses, from 1974 they employed</w:t>
      </w:r>
      <w:r>
        <w:rPr>
          <w:rFonts w:ascii="Garamond" w:hAnsi="Garamond"/>
          <w:sz w:val="24"/>
          <w:szCs w:val="24"/>
        </w:rPr>
        <w:t xml:space="preserve"> two fully paid staff for eighteen</w:t>
      </w:r>
      <w:r w:rsidRPr="00E53286">
        <w:rPr>
          <w:rFonts w:ascii="Garamond" w:hAnsi="Garamond"/>
          <w:sz w:val="24"/>
          <w:szCs w:val="24"/>
        </w:rPr>
        <w:t xml:space="preserve"> years (Bosgra, </w:t>
      </w:r>
      <w:r>
        <w:rPr>
          <w:rFonts w:ascii="Garamond" w:hAnsi="Garamond"/>
          <w:sz w:val="24"/>
          <w:szCs w:val="24"/>
        </w:rPr>
        <w:t>2008</w:t>
      </w:r>
      <w:r w:rsidRPr="00E53286">
        <w:rPr>
          <w:rFonts w:ascii="Garamond" w:hAnsi="Garamond"/>
          <w:sz w:val="24"/>
          <w:szCs w:val="24"/>
        </w:rPr>
        <w:t>).</w:t>
      </w:r>
      <w:r>
        <w:rPr>
          <w:rFonts w:ascii="Garamond" w:hAnsi="Garamond"/>
          <w:sz w:val="24"/>
          <w:szCs w:val="24"/>
        </w:rPr>
        <w:t xml:space="preserve"> </w:t>
      </w:r>
      <w:r w:rsidRPr="00E53286">
        <w:rPr>
          <w:rFonts w:ascii="Garamond" w:hAnsi="Garamond"/>
          <w:sz w:val="24"/>
          <w:szCs w:val="24"/>
        </w:rPr>
        <w:t>Among their inner circle they counted MPs, clergymen, journalists, academics, South African exiles, members of</w:t>
      </w:r>
      <w:r>
        <w:rPr>
          <w:rFonts w:ascii="Garamond" w:hAnsi="Garamond"/>
          <w:sz w:val="24"/>
          <w:szCs w:val="24"/>
        </w:rPr>
        <w:t xml:space="preserve"> trade</w:t>
      </w:r>
      <w:r w:rsidRPr="00E53286">
        <w:rPr>
          <w:rFonts w:ascii="Garamond" w:hAnsi="Garamond"/>
          <w:sz w:val="24"/>
          <w:szCs w:val="24"/>
        </w:rPr>
        <w:t xml:space="preserve"> unions, graphic designers, lawyers and students</w:t>
      </w:r>
      <w:r>
        <w:rPr>
          <w:rFonts w:ascii="Garamond" w:hAnsi="Garamond"/>
          <w:sz w:val="24"/>
          <w:szCs w:val="24"/>
        </w:rPr>
        <w:t xml:space="preserve"> from the University of Leiden.</w:t>
      </w:r>
    </w:p>
    <w:p w:rsidR="00BB49E2" w:rsidRPr="00E53286" w:rsidRDefault="00BB49E2" w:rsidP="00BB49E2">
      <w:pPr>
        <w:spacing w:after="0" w:line="360" w:lineRule="auto"/>
        <w:jc w:val="both"/>
        <w:rPr>
          <w:rFonts w:ascii="Garamond" w:hAnsi="Garamond"/>
          <w:sz w:val="24"/>
          <w:szCs w:val="24"/>
        </w:rPr>
      </w:pPr>
    </w:p>
    <w:p w:rsidR="00BB49E2" w:rsidRPr="00E53286" w:rsidRDefault="00BB49E2" w:rsidP="00BB49E2">
      <w:pPr>
        <w:spacing w:after="0" w:line="360" w:lineRule="auto"/>
        <w:jc w:val="both"/>
        <w:rPr>
          <w:rFonts w:ascii="Garamond" w:hAnsi="Garamond"/>
          <w:sz w:val="24"/>
          <w:szCs w:val="24"/>
        </w:rPr>
      </w:pPr>
      <w:r>
        <w:rPr>
          <w:rFonts w:ascii="Garamond" w:hAnsi="Garamond"/>
          <w:sz w:val="24"/>
          <w:szCs w:val="24"/>
        </w:rPr>
        <w:t>The BOA were one of four</w:t>
      </w:r>
      <w:r w:rsidRPr="00E53286">
        <w:rPr>
          <w:rFonts w:ascii="Garamond" w:hAnsi="Garamond"/>
          <w:sz w:val="24"/>
          <w:szCs w:val="24"/>
        </w:rPr>
        <w:t xml:space="preserve"> Dutc</w:t>
      </w:r>
      <w:r w:rsidR="002706A8">
        <w:rPr>
          <w:rFonts w:ascii="Garamond" w:hAnsi="Garamond"/>
          <w:sz w:val="24"/>
          <w:szCs w:val="24"/>
        </w:rPr>
        <w:t>h Anti-Apartheid Movements (AAM</w:t>
      </w:r>
      <w:r w:rsidRPr="00E53286">
        <w:rPr>
          <w:rFonts w:ascii="Garamond" w:hAnsi="Garamond"/>
          <w:sz w:val="24"/>
          <w:szCs w:val="24"/>
        </w:rPr>
        <w:t>s) that gained significant international exposure during the 1970s an</w:t>
      </w:r>
      <w:r>
        <w:rPr>
          <w:rFonts w:ascii="Garamond" w:hAnsi="Garamond"/>
          <w:sz w:val="24"/>
          <w:szCs w:val="24"/>
        </w:rPr>
        <w:t>d 1980s (Klein, 2001; Bosgra, 2008</w:t>
      </w:r>
      <w:r w:rsidRPr="00E53286">
        <w:rPr>
          <w:rFonts w:ascii="Garamond" w:hAnsi="Garamond"/>
          <w:sz w:val="24"/>
          <w:szCs w:val="24"/>
        </w:rPr>
        <w:t>), and were embroiled in a contest over the production of knowledge about apartheid and racism, sometimes with each other, but most publicly against the aparthe</w:t>
      </w:r>
      <w:r w:rsidR="00BB2602">
        <w:rPr>
          <w:rFonts w:ascii="Garamond" w:hAnsi="Garamond"/>
          <w:sz w:val="24"/>
          <w:szCs w:val="24"/>
        </w:rPr>
        <w:t xml:space="preserve">id regime and Eschel Rhoodie’s </w:t>
      </w:r>
      <w:r w:rsidR="00BB2602">
        <w:rPr>
          <w:rFonts w:ascii="Garamond" w:eastAsia="Times New Roman" w:hAnsi="Garamond" w:cs="Times New Roman"/>
          <w:color w:val="000000"/>
          <w:sz w:val="24"/>
          <w:szCs w:val="24"/>
          <w:shd w:val="clear" w:color="auto" w:fill="FFFFFF"/>
          <w:lang w:eastAsia="en-GB"/>
        </w:rPr>
        <w:t>'</w:t>
      </w:r>
      <w:r w:rsidRPr="00E53286">
        <w:rPr>
          <w:rFonts w:ascii="Garamond" w:hAnsi="Garamond"/>
          <w:sz w:val="24"/>
          <w:szCs w:val="24"/>
        </w:rPr>
        <w:t xml:space="preserve">South </w:t>
      </w:r>
      <w:r w:rsidR="00BB2602">
        <w:rPr>
          <w:rFonts w:ascii="Garamond" w:hAnsi="Garamond"/>
          <w:sz w:val="24"/>
          <w:szCs w:val="24"/>
        </w:rPr>
        <w:t>African Ministry of Information</w:t>
      </w:r>
      <w:r w:rsidR="00BB2602">
        <w:rPr>
          <w:rFonts w:ascii="Garamond" w:eastAsia="Times New Roman" w:hAnsi="Garamond" w:cs="Times New Roman"/>
          <w:color w:val="000000"/>
          <w:sz w:val="24"/>
          <w:szCs w:val="24"/>
          <w:shd w:val="clear" w:color="auto" w:fill="FFFFFF"/>
          <w:lang w:eastAsia="en-GB"/>
        </w:rPr>
        <w:t>'</w:t>
      </w:r>
      <w:r w:rsidRPr="00E53286">
        <w:rPr>
          <w:rFonts w:ascii="Garamond" w:hAnsi="Garamond"/>
          <w:sz w:val="24"/>
          <w:szCs w:val="24"/>
        </w:rPr>
        <w:t xml:space="preserve">. The organization </w:t>
      </w:r>
      <w:r>
        <w:rPr>
          <w:rFonts w:ascii="Garamond" w:hAnsi="Garamond"/>
          <w:sz w:val="24"/>
          <w:szCs w:val="24"/>
        </w:rPr>
        <w:t>is</w:t>
      </w:r>
      <w:r w:rsidRPr="00E53286">
        <w:rPr>
          <w:rFonts w:ascii="Garamond" w:hAnsi="Garamond"/>
          <w:sz w:val="24"/>
          <w:szCs w:val="24"/>
        </w:rPr>
        <w:t xml:space="preserve"> mentioned in passing by geographers Cook</w:t>
      </w:r>
      <w:r>
        <w:rPr>
          <w:rFonts w:ascii="Garamond" w:hAnsi="Garamond"/>
          <w:sz w:val="24"/>
          <w:szCs w:val="24"/>
        </w:rPr>
        <w:t xml:space="preserve">, Crang </w:t>
      </w:r>
      <w:r w:rsidR="00F152DB">
        <w:rPr>
          <w:rFonts w:ascii="Garamond" w:hAnsi="Garamond"/>
          <w:sz w:val="24"/>
          <w:szCs w:val="24"/>
        </w:rPr>
        <w:t>and</w:t>
      </w:r>
      <w:r>
        <w:rPr>
          <w:rFonts w:ascii="Garamond" w:hAnsi="Garamond"/>
          <w:sz w:val="24"/>
          <w:szCs w:val="24"/>
        </w:rPr>
        <w:t xml:space="preserve"> Thorpe (2004)</w:t>
      </w:r>
      <w:r w:rsidRPr="00E53286">
        <w:rPr>
          <w:rFonts w:ascii="Garamond" w:hAnsi="Garamond"/>
          <w:sz w:val="24"/>
          <w:szCs w:val="24"/>
        </w:rPr>
        <w:t xml:space="preserve"> and Jackson (200</w:t>
      </w:r>
      <w:r>
        <w:rPr>
          <w:rFonts w:ascii="Garamond" w:hAnsi="Garamond"/>
          <w:sz w:val="24"/>
          <w:szCs w:val="24"/>
        </w:rPr>
        <w:t>4) in their discussion on place-</w:t>
      </w:r>
      <w:r w:rsidRPr="00E53286">
        <w:rPr>
          <w:rFonts w:ascii="Garamond" w:hAnsi="Garamond"/>
          <w:sz w:val="24"/>
          <w:szCs w:val="24"/>
        </w:rPr>
        <w:t xml:space="preserve">specific marketing strategies, the dissemination of food knowledges and consumer activism. The marketing campaign of Outspan during the 1960s and </w:t>
      </w:r>
      <w:r>
        <w:rPr>
          <w:rFonts w:ascii="Garamond" w:hAnsi="Garamond"/>
          <w:sz w:val="24"/>
          <w:szCs w:val="24"/>
        </w:rPr>
        <w:t>19</w:t>
      </w:r>
      <w:r w:rsidRPr="00E53286">
        <w:rPr>
          <w:rFonts w:ascii="Garamond" w:hAnsi="Garamond"/>
          <w:sz w:val="24"/>
          <w:szCs w:val="24"/>
        </w:rPr>
        <w:t>70s, and t</w:t>
      </w:r>
      <w:r>
        <w:rPr>
          <w:rFonts w:ascii="Garamond" w:hAnsi="Garamond"/>
          <w:sz w:val="24"/>
          <w:szCs w:val="24"/>
        </w:rPr>
        <w:t xml:space="preserve">he role of its parent company – </w:t>
      </w:r>
      <w:r w:rsidRPr="00E53286">
        <w:rPr>
          <w:rFonts w:ascii="Garamond" w:hAnsi="Garamond"/>
          <w:sz w:val="24"/>
          <w:szCs w:val="24"/>
        </w:rPr>
        <w:t xml:space="preserve">the London based Citrus Exchange – is the focus of attention in Mather </w:t>
      </w:r>
      <w:r w:rsidR="00F152DB">
        <w:rPr>
          <w:rFonts w:ascii="Garamond" w:hAnsi="Garamond"/>
          <w:sz w:val="24"/>
          <w:szCs w:val="24"/>
        </w:rPr>
        <w:t>and</w:t>
      </w:r>
      <w:r w:rsidRPr="00E53286">
        <w:rPr>
          <w:rFonts w:ascii="Garamond" w:hAnsi="Garamond"/>
          <w:sz w:val="24"/>
          <w:szCs w:val="24"/>
        </w:rPr>
        <w:t xml:space="preserve"> Mackenzie’s (2006) remarkable paper where the transnational Out</w:t>
      </w:r>
      <w:r>
        <w:rPr>
          <w:rFonts w:ascii="Garamond" w:hAnsi="Garamond"/>
          <w:sz w:val="24"/>
          <w:szCs w:val="24"/>
        </w:rPr>
        <w:t>span Girl</w:t>
      </w:r>
      <w:r w:rsidRPr="00E53286">
        <w:rPr>
          <w:rFonts w:ascii="Garamond" w:hAnsi="Garamond"/>
          <w:sz w:val="24"/>
          <w:szCs w:val="24"/>
        </w:rPr>
        <w:t>s campaign is analysed.</w:t>
      </w:r>
      <w:r w:rsidRPr="00E53286">
        <w:rPr>
          <w:rStyle w:val="FootnoteReference"/>
          <w:rFonts w:ascii="Garamond" w:hAnsi="Garamond"/>
          <w:sz w:val="24"/>
          <w:szCs w:val="24"/>
        </w:rPr>
        <w:footnoteReference w:id="20"/>
      </w:r>
      <w:r w:rsidRPr="00E53286">
        <w:rPr>
          <w:rFonts w:ascii="Garamond" w:hAnsi="Garamond"/>
          <w:sz w:val="24"/>
          <w:szCs w:val="24"/>
        </w:rPr>
        <w:t xml:space="preserve"> </w:t>
      </w:r>
      <w:r>
        <w:rPr>
          <w:rFonts w:ascii="Garamond" w:hAnsi="Garamond"/>
          <w:sz w:val="24"/>
          <w:szCs w:val="24"/>
        </w:rPr>
        <w:t xml:space="preserve">In an earlier chapter, </w:t>
      </w:r>
      <w:r w:rsidRPr="00E53286">
        <w:rPr>
          <w:rFonts w:ascii="Garamond" w:hAnsi="Garamond"/>
          <w:sz w:val="24"/>
          <w:szCs w:val="24"/>
        </w:rPr>
        <w:lastRenderedPageBreak/>
        <w:t xml:space="preserve">Mather </w:t>
      </w:r>
      <w:r w:rsidR="00F152DB">
        <w:rPr>
          <w:rFonts w:ascii="Garamond" w:hAnsi="Garamond"/>
          <w:sz w:val="24"/>
          <w:szCs w:val="24"/>
        </w:rPr>
        <w:t>and</w:t>
      </w:r>
      <w:r w:rsidRPr="00E53286">
        <w:rPr>
          <w:rFonts w:ascii="Garamond" w:hAnsi="Garamond"/>
          <w:sz w:val="24"/>
          <w:szCs w:val="24"/>
        </w:rPr>
        <w:t xml:space="preserve"> Rowcroft’s (2004</w:t>
      </w:r>
      <w:r>
        <w:rPr>
          <w:rFonts w:ascii="Garamond" w:hAnsi="Garamond"/>
          <w:sz w:val="24"/>
          <w:szCs w:val="24"/>
        </w:rPr>
        <w:t>) introduce</w:t>
      </w:r>
      <w:r w:rsidRPr="00E53286">
        <w:rPr>
          <w:rFonts w:ascii="Garamond" w:hAnsi="Garamond"/>
          <w:sz w:val="24"/>
          <w:szCs w:val="24"/>
        </w:rPr>
        <w:t xml:space="preserve"> the BOA within a ‘circuits of knowledge’ approach </w:t>
      </w:r>
      <w:r>
        <w:rPr>
          <w:rFonts w:ascii="Garamond" w:hAnsi="Garamond"/>
          <w:sz w:val="24"/>
          <w:szCs w:val="24"/>
        </w:rPr>
        <w:t>that</w:t>
      </w:r>
      <w:r w:rsidRPr="00E53286">
        <w:rPr>
          <w:rFonts w:ascii="Garamond" w:hAnsi="Garamond"/>
          <w:sz w:val="24"/>
          <w:szCs w:val="24"/>
        </w:rPr>
        <w:t xml:space="preserve"> locates power to change commodity knowledges in actors ‘outside the system of provision’ (2004: 150). </w:t>
      </w:r>
      <w:r>
        <w:rPr>
          <w:rFonts w:ascii="Garamond" w:hAnsi="Garamond"/>
          <w:sz w:val="24"/>
          <w:szCs w:val="24"/>
          <w:lang w:val="en-US"/>
        </w:rPr>
        <w:t>Analysis is limited as to how</w:t>
      </w:r>
      <w:r w:rsidRPr="00E53286">
        <w:rPr>
          <w:rFonts w:ascii="Garamond" w:hAnsi="Garamond"/>
          <w:sz w:val="24"/>
          <w:szCs w:val="24"/>
          <w:lang w:val="en-US"/>
        </w:rPr>
        <w:t xml:space="preserve"> the</w:t>
      </w:r>
      <w:r w:rsidRPr="00E53286">
        <w:rPr>
          <w:rFonts w:ascii="Garamond" w:hAnsi="Garamond"/>
          <w:sz w:val="24"/>
          <w:szCs w:val="24"/>
        </w:rPr>
        <w:t xml:space="preserve"> BOA revealed geographical knowledges about </w:t>
      </w:r>
      <w:r>
        <w:rPr>
          <w:rFonts w:ascii="Garamond" w:hAnsi="Garamond"/>
          <w:sz w:val="24"/>
          <w:szCs w:val="24"/>
        </w:rPr>
        <w:t>apartheid production, and how the organization linked</w:t>
      </w:r>
      <w:r w:rsidRPr="00E53286">
        <w:rPr>
          <w:rFonts w:ascii="Garamond" w:hAnsi="Garamond"/>
          <w:sz w:val="24"/>
          <w:szCs w:val="24"/>
        </w:rPr>
        <w:t xml:space="preserve"> these knowledges to the Outspan brand tho</w:t>
      </w:r>
      <w:r w:rsidR="000B6D76">
        <w:rPr>
          <w:rFonts w:ascii="Garamond" w:hAnsi="Garamond"/>
          <w:sz w:val="24"/>
          <w:szCs w:val="24"/>
        </w:rPr>
        <w:t>ugh the Inspan Girls</w:t>
      </w:r>
      <w:r>
        <w:rPr>
          <w:rFonts w:ascii="Garamond" w:hAnsi="Garamond"/>
          <w:sz w:val="24"/>
          <w:szCs w:val="24"/>
        </w:rPr>
        <w:t xml:space="preserve"> campaign; instead, t</w:t>
      </w:r>
      <w:r w:rsidRPr="00E53286">
        <w:rPr>
          <w:rFonts w:ascii="Garamond" w:hAnsi="Garamond"/>
          <w:sz w:val="24"/>
          <w:szCs w:val="24"/>
          <w:lang w:val="en-US"/>
        </w:rPr>
        <w:t>hey point to the effectiveness of the BOA’s campaign by showing the increase in citrus exports to Europe in the post-apartheid era. The authors reference a couple of the BOA’s early publications, and</w:t>
      </w:r>
      <w:r>
        <w:rPr>
          <w:rFonts w:ascii="Garamond" w:hAnsi="Garamond"/>
          <w:sz w:val="24"/>
          <w:szCs w:val="24"/>
          <w:lang w:val="en-US"/>
        </w:rPr>
        <w:t xml:space="preserve"> </w:t>
      </w:r>
      <w:r w:rsidRPr="00E53286">
        <w:rPr>
          <w:rFonts w:ascii="Garamond" w:hAnsi="Garamond"/>
          <w:sz w:val="24"/>
          <w:szCs w:val="24"/>
          <w:lang w:val="en-US"/>
        </w:rPr>
        <w:t>re-print two of the images archived at the IISH,</w:t>
      </w:r>
      <w:r w:rsidRPr="00E53286">
        <w:rPr>
          <w:rStyle w:val="FootnoteReference"/>
          <w:rFonts w:ascii="Garamond" w:hAnsi="Garamond"/>
          <w:sz w:val="24"/>
          <w:szCs w:val="24"/>
          <w:lang w:val="en-US"/>
        </w:rPr>
        <w:footnoteReference w:id="21"/>
      </w:r>
      <w:r w:rsidRPr="00E53286">
        <w:rPr>
          <w:rFonts w:ascii="Garamond" w:hAnsi="Garamond"/>
          <w:sz w:val="24"/>
          <w:szCs w:val="24"/>
          <w:lang w:val="en-US"/>
        </w:rPr>
        <w:t xml:space="preserve"> but they </w:t>
      </w:r>
      <w:r>
        <w:rPr>
          <w:rFonts w:ascii="Garamond" w:hAnsi="Garamond"/>
          <w:sz w:val="24"/>
          <w:szCs w:val="24"/>
          <w:lang w:val="en-US"/>
        </w:rPr>
        <w:t>chose not to interview</w:t>
      </w:r>
      <w:r w:rsidRPr="00E53286">
        <w:rPr>
          <w:rFonts w:ascii="Garamond" w:hAnsi="Garamond"/>
          <w:sz w:val="24"/>
          <w:szCs w:val="24"/>
          <w:lang w:val="en-US"/>
        </w:rPr>
        <w:t xml:space="preserve"> former BOA members, associates or other people involved with Dutch anti-apartheid.</w:t>
      </w:r>
      <w:r w:rsidRPr="00E53286">
        <w:rPr>
          <w:rStyle w:val="FootnoteReference"/>
          <w:rFonts w:ascii="Garamond" w:hAnsi="Garamond"/>
          <w:sz w:val="24"/>
          <w:szCs w:val="24"/>
          <w:lang w:val="en-US"/>
        </w:rPr>
        <w:footnoteReference w:id="22"/>
      </w:r>
      <w:r>
        <w:rPr>
          <w:rFonts w:ascii="Garamond" w:hAnsi="Garamond"/>
          <w:sz w:val="24"/>
          <w:szCs w:val="24"/>
          <w:lang w:val="en-US"/>
        </w:rPr>
        <w:t xml:space="preserve"> In Chapter T</w:t>
      </w:r>
      <w:r w:rsidRPr="00E53286">
        <w:rPr>
          <w:rFonts w:ascii="Garamond" w:hAnsi="Garamond"/>
          <w:sz w:val="24"/>
          <w:szCs w:val="24"/>
          <w:lang w:val="en-US"/>
        </w:rPr>
        <w:t xml:space="preserve">hree I argue that the author’s theoretical approach and lack of empirical material implicitly leads them to </w:t>
      </w:r>
      <w:r w:rsidR="00BB2602">
        <w:rPr>
          <w:rFonts w:ascii="Garamond" w:hAnsi="Garamond"/>
          <w:sz w:val="24"/>
          <w:szCs w:val="24"/>
          <w:lang w:val="en-US"/>
        </w:rPr>
        <w:t xml:space="preserve">replicate some of the official </w:t>
      </w:r>
      <w:r w:rsidR="00BB2602">
        <w:rPr>
          <w:rFonts w:ascii="Garamond" w:eastAsia="Times New Roman" w:hAnsi="Garamond" w:cs="Times New Roman"/>
          <w:color w:val="000000"/>
          <w:sz w:val="24"/>
          <w:szCs w:val="24"/>
          <w:shd w:val="clear" w:color="auto" w:fill="FFFFFF"/>
          <w:lang w:eastAsia="en-GB"/>
        </w:rPr>
        <w:t>'</w:t>
      </w:r>
      <w:r w:rsidR="00BB2602">
        <w:rPr>
          <w:rFonts w:ascii="Garamond" w:hAnsi="Garamond"/>
          <w:sz w:val="24"/>
          <w:szCs w:val="24"/>
          <w:lang w:val="en-US"/>
        </w:rPr>
        <w:t>white</w:t>
      </w:r>
      <w:r w:rsidR="00BB2602">
        <w:rPr>
          <w:rFonts w:ascii="Garamond" w:eastAsia="Times New Roman" w:hAnsi="Garamond" w:cs="Times New Roman"/>
          <w:color w:val="000000"/>
          <w:sz w:val="24"/>
          <w:szCs w:val="24"/>
          <w:shd w:val="clear" w:color="auto" w:fill="FFFFFF"/>
          <w:lang w:eastAsia="en-GB"/>
        </w:rPr>
        <w:t>'</w:t>
      </w:r>
      <w:r w:rsidRPr="00E53286">
        <w:rPr>
          <w:rFonts w:ascii="Garamond" w:hAnsi="Garamond"/>
          <w:sz w:val="24"/>
          <w:szCs w:val="24"/>
          <w:lang w:val="en-US"/>
        </w:rPr>
        <w:t xml:space="preserve"> narratives of Dutch anti-apartheid. </w:t>
      </w:r>
    </w:p>
    <w:p w:rsidR="00BB49E2" w:rsidRDefault="00BB49E2" w:rsidP="00BB49E2">
      <w:pPr>
        <w:autoSpaceDE w:val="0"/>
        <w:autoSpaceDN w:val="0"/>
        <w:adjustRightInd w:val="0"/>
        <w:spacing w:after="0" w:line="360" w:lineRule="auto"/>
        <w:jc w:val="both"/>
        <w:rPr>
          <w:rFonts w:ascii="Times New Roman" w:hAnsi="Times New Roman"/>
          <w:sz w:val="24"/>
          <w:szCs w:val="24"/>
        </w:rPr>
      </w:pPr>
    </w:p>
    <w:p w:rsidR="00BB49E2" w:rsidRDefault="00BB49E2" w:rsidP="00BB49E2">
      <w:pPr>
        <w:autoSpaceDE w:val="0"/>
        <w:autoSpaceDN w:val="0"/>
        <w:adjustRightInd w:val="0"/>
        <w:spacing w:after="0" w:line="360" w:lineRule="auto"/>
        <w:jc w:val="both"/>
        <w:rPr>
          <w:rFonts w:ascii="Garamond" w:hAnsi="Garamond"/>
          <w:sz w:val="24"/>
          <w:szCs w:val="24"/>
        </w:rPr>
      </w:pPr>
      <w:r w:rsidRPr="00E53286">
        <w:rPr>
          <w:rFonts w:ascii="Garamond" w:hAnsi="Garamond"/>
          <w:sz w:val="24"/>
          <w:szCs w:val="24"/>
        </w:rPr>
        <w:t>In 1974 du Plessis in</w:t>
      </w:r>
      <w:r>
        <w:rPr>
          <w:rFonts w:ascii="Garamond" w:hAnsi="Garamond"/>
          <w:sz w:val="24"/>
          <w:szCs w:val="24"/>
        </w:rPr>
        <w:t>ternationalized the BOA</w:t>
      </w:r>
      <w:r w:rsidRPr="00E53286">
        <w:rPr>
          <w:rFonts w:ascii="Garamond" w:hAnsi="Garamond"/>
          <w:sz w:val="24"/>
          <w:szCs w:val="24"/>
        </w:rPr>
        <w:t>. Working from a small room in the African Studies Centre in Leiden, several members of the BOA suggested new action models for boycott</w:t>
      </w:r>
      <w:r>
        <w:rPr>
          <w:rFonts w:ascii="Garamond" w:hAnsi="Garamond"/>
          <w:sz w:val="24"/>
          <w:szCs w:val="24"/>
        </w:rPr>
        <w:t>s, congresses and public mobiliz</w:t>
      </w:r>
      <w:r w:rsidRPr="00E53286">
        <w:rPr>
          <w:rFonts w:ascii="Garamond" w:hAnsi="Garamond"/>
          <w:sz w:val="24"/>
          <w:szCs w:val="24"/>
        </w:rPr>
        <w:t>ation in Belgium, Germany, France and Italy. The organization sent several thousand copies</w:t>
      </w:r>
      <w:r>
        <w:rPr>
          <w:rFonts w:ascii="Garamond" w:hAnsi="Garamond"/>
          <w:sz w:val="24"/>
          <w:szCs w:val="24"/>
        </w:rPr>
        <w:t xml:space="preserve"> of the action models to </w:t>
      </w:r>
      <w:r w:rsidRPr="00E53286">
        <w:rPr>
          <w:rFonts w:ascii="Garamond" w:hAnsi="Garamond"/>
          <w:sz w:val="24"/>
          <w:szCs w:val="24"/>
        </w:rPr>
        <w:t>groups, universities and Third World Shops in the UK, Ireland, Switzerland, Belgium, Germany, Italy and France (</w:t>
      </w:r>
      <w:r w:rsidR="002C0568">
        <w:rPr>
          <w:rFonts w:ascii="Garamond" w:hAnsi="Garamond"/>
          <w:sz w:val="24"/>
          <w:szCs w:val="24"/>
        </w:rPr>
        <w:t>I</w:t>
      </w:r>
      <w:r w:rsidRPr="00E53286">
        <w:rPr>
          <w:rFonts w:ascii="Garamond" w:hAnsi="Garamond"/>
          <w:sz w:val="24"/>
          <w:szCs w:val="24"/>
        </w:rPr>
        <w:t xml:space="preserve">nterview </w:t>
      </w:r>
      <w:r>
        <w:rPr>
          <w:rFonts w:ascii="Garamond" w:hAnsi="Garamond"/>
          <w:sz w:val="24"/>
          <w:szCs w:val="24"/>
        </w:rPr>
        <w:t>van der Aa</w:t>
      </w:r>
      <w:r w:rsidRPr="00E53286">
        <w:rPr>
          <w:rFonts w:ascii="Garamond" w:hAnsi="Garamond"/>
          <w:sz w:val="24"/>
          <w:szCs w:val="24"/>
        </w:rPr>
        <w:t xml:space="preserve"> 2011). In 1975, the BOA </w:t>
      </w:r>
      <w:r w:rsidRPr="00E53286">
        <w:rPr>
          <w:rFonts w:ascii="Garamond" w:hAnsi="Garamond"/>
          <w:bCs/>
          <w:color w:val="000000"/>
          <w:sz w:val="24"/>
          <w:szCs w:val="24"/>
          <w:shd w:val="clear" w:color="auto" w:fill="FFFFFF"/>
        </w:rPr>
        <w:t xml:space="preserve">België </w:t>
      </w:r>
      <w:r w:rsidRPr="00E53286">
        <w:rPr>
          <w:rFonts w:ascii="Garamond" w:hAnsi="Garamond"/>
          <w:sz w:val="24"/>
          <w:szCs w:val="24"/>
        </w:rPr>
        <w:t xml:space="preserve">were founded as an autonomous organization in Antwerp. In the summer </w:t>
      </w:r>
      <w:r>
        <w:rPr>
          <w:rFonts w:ascii="Garamond" w:hAnsi="Garamond"/>
          <w:sz w:val="24"/>
          <w:szCs w:val="24"/>
        </w:rPr>
        <w:t xml:space="preserve">of that year </w:t>
      </w:r>
      <w:r w:rsidRPr="00E53286">
        <w:rPr>
          <w:rFonts w:ascii="Garamond" w:hAnsi="Garamond"/>
          <w:sz w:val="24"/>
          <w:szCs w:val="24"/>
        </w:rPr>
        <w:t>du Plessis made frequent trips from Leiden to Paris and founded the French version of the BOA, the CAO (</w:t>
      </w:r>
      <w:r w:rsidRPr="00E53286">
        <w:rPr>
          <w:rFonts w:ascii="Garamond" w:hAnsi="Garamond"/>
          <w:i/>
          <w:sz w:val="24"/>
          <w:szCs w:val="24"/>
        </w:rPr>
        <w:t>Campagne Anti-Outspan</w:t>
      </w:r>
      <w:r w:rsidRPr="00E53286">
        <w:rPr>
          <w:rFonts w:ascii="Garamond" w:hAnsi="Garamond"/>
          <w:sz w:val="24"/>
          <w:szCs w:val="24"/>
        </w:rPr>
        <w:t xml:space="preserve">) with a Frenchman, Bernard Teillefer, who had read a French translation of the 1973 </w:t>
      </w:r>
      <w:r w:rsidRPr="00E53286">
        <w:rPr>
          <w:rFonts w:ascii="Garamond" w:hAnsi="Garamond"/>
          <w:i/>
          <w:sz w:val="24"/>
          <w:szCs w:val="24"/>
        </w:rPr>
        <w:t>BOA Bulletin</w:t>
      </w:r>
      <w:r w:rsidR="002C0568">
        <w:rPr>
          <w:rFonts w:ascii="Garamond" w:hAnsi="Garamond"/>
          <w:sz w:val="24"/>
          <w:szCs w:val="24"/>
        </w:rPr>
        <w:t xml:space="preserve"> (I</w:t>
      </w:r>
      <w:r w:rsidRPr="00E53286">
        <w:rPr>
          <w:rFonts w:ascii="Garamond" w:hAnsi="Garamond"/>
          <w:sz w:val="24"/>
          <w:szCs w:val="24"/>
        </w:rPr>
        <w:t>nterview d</w:t>
      </w:r>
      <w:r w:rsidR="002C0568">
        <w:rPr>
          <w:rFonts w:ascii="Garamond" w:hAnsi="Garamond"/>
          <w:sz w:val="24"/>
          <w:szCs w:val="24"/>
        </w:rPr>
        <w:t>u Plessis</w:t>
      </w:r>
      <w:r>
        <w:rPr>
          <w:rFonts w:ascii="Garamond" w:hAnsi="Garamond"/>
          <w:sz w:val="24"/>
          <w:szCs w:val="24"/>
        </w:rPr>
        <w:t xml:space="preserve"> 2011). Through utiliz</w:t>
      </w:r>
      <w:r w:rsidRPr="00E53286">
        <w:rPr>
          <w:rFonts w:ascii="Garamond" w:hAnsi="Garamond"/>
          <w:sz w:val="24"/>
          <w:szCs w:val="24"/>
        </w:rPr>
        <w:t>ing the BOA’s motif and slogan, and transferring its action models, the CAO became France’s first anti-apartheid organization. The inauguration press conference was attended by journalists from Ho</w:t>
      </w:r>
      <w:r>
        <w:rPr>
          <w:rFonts w:ascii="Garamond" w:hAnsi="Garamond"/>
          <w:sz w:val="24"/>
          <w:szCs w:val="24"/>
        </w:rPr>
        <w:t>lland, South Africa and</w:t>
      </w:r>
      <w:r w:rsidRPr="00E53286">
        <w:rPr>
          <w:rFonts w:ascii="Garamond" w:hAnsi="Garamond"/>
          <w:sz w:val="24"/>
          <w:szCs w:val="24"/>
        </w:rPr>
        <w:t xml:space="preserve"> the UK, as well as those from France. Within a couple of years under their new name of </w:t>
      </w:r>
      <w:r w:rsidRPr="00E53286">
        <w:rPr>
          <w:rFonts w:ascii="Garamond" w:hAnsi="Garamond"/>
          <w:i/>
          <w:sz w:val="24"/>
          <w:szCs w:val="24"/>
        </w:rPr>
        <w:t>Mouvemen</w:t>
      </w:r>
      <w:r>
        <w:rPr>
          <w:rFonts w:ascii="Garamond" w:hAnsi="Garamond"/>
          <w:i/>
          <w:sz w:val="24"/>
          <w:szCs w:val="24"/>
        </w:rPr>
        <w:t>t Anti-</w:t>
      </w:r>
      <w:r w:rsidRPr="00E53286">
        <w:rPr>
          <w:rFonts w:ascii="Garamond" w:hAnsi="Garamond"/>
          <w:i/>
          <w:sz w:val="24"/>
          <w:szCs w:val="24"/>
        </w:rPr>
        <w:t>Apartheid</w:t>
      </w:r>
      <w:r w:rsidRPr="00E53286">
        <w:rPr>
          <w:rFonts w:ascii="Garamond" w:hAnsi="Garamond"/>
          <w:sz w:val="24"/>
          <w:szCs w:val="24"/>
        </w:rPr>
        <w:t xml:space="preserve"> (MAA) they were a widely cited and diverse anti-apartheid boycott organization, reducing </w:t>
      </w:r>
      <w:r w:rsidRPr="00E53286">
        <w:rPr>
          <w:rFonts w:ascii="Garamond" w:hAnsi="Garamond"/>
          <w:sz w:val="24"/>
          <w:szCs w:val="24"/>
        </w:rPr>
        <w:lastRenderedPageBreak/>
        <w:t>the sales of Outspan citrus by 40% in France, and publishing a fortnightly magazine</w:t>
      </w:r>
      <w:r w:rsidRPr="00E53286">
        <w:rPr>
          <w:rFonts w:ascii="Garamond" w:hAnsi="Garamond"/>
          <w:i/>
          <w:sz w:val="24"/>
          <w:szCs w:val="24"/>
        </w:rPr>
        <w:t xml:space="preserve"> L’Afrique du Sud en Direct </w:t>
      </w:r>
      <w:r w:rsidRPr="00E53286">
        <w:rPr>
          <w:rFonts w:ascii="Garamond" w:hAnsi="Garamond"/>
          <w:sz w:val="24"/>
          <w:szCs w:val="24"/>
        </w:rPr>
        <w:t>which discouraged investments in South Africa and suggested boycotts of South African companies, sports and of French nuclear investment companies with close links to th</w:t>
      </w:r>
      <w:r>
        <w:rPr>
          <w:rFonts w:ascii="Garamond" w:hAnsi="Garamond"/>
          <w:sz w:val="24"/>
          <w:szCs w:val="24"/>
        </w:rPr>
        <w:t>e apartheid regime (Bosgra, 2008</w:t>
      </w:r>
      <w:r w:rsidRPr="00E53286">
        <w:rPr>
          <w:rFonts w:ascii="Garamond" w:hAnsi="Garamond"/>
          <w:sz w:val="24"/>
          <w:szCs w:val="24"/>
        </w:rPr>
        <w:t>). Between 1974 and 1990 the MAA provided a platform</w:t>
      </w:r>
      <w:r>
        <w:rPr>
          <w:rFonts w:ascii="Garamond" w:hAnsi="Garamond"/>
          <w:sz w:val="24"/>
          <w:szCs w:val="24"/>
        </w:rPr>
        <w:t xml:space="preserve"> for 3000 activists (ibid., 2008</w:t>
      </w:r>
      <w:r w:rsidRPr="00E53286">
        <w:rPr>
          <w:rFonts w:ascii="Garamond" w:hAnsi="Garamond"/>
          <w:sz w:val="24"/>
          <w:szCs w:val="24"/>
        </w:rPr>
        <w:t>; du Plessis, 2011).</w:t>
      </w:r>
    </w:p>
    <w:p w:rsidR="00BB49E2" w:rsidRDefault="00BB49E2" w:rsidP="00BB49E2">
      <w:pPr>
        <w:autoSpaceDE w:val="0"/>
        <w:autoSpaceDN w:val="0"/>
        <w:adjustRightInd w:val="0"/>
        <w:spacing w:after="0" w:line="360" w:lineRule="auto"/>
        <w:jc w:val="both"/>
        <w:rPr>
          <w:rFonts w:ascii="Garamond" w:hAnsi="Garamond"/>
          <w:sz w:val="24"/>
          <w:szCs w:val="24"/>
        </w:rPr>
      </w:pPr>
    </w:p>
    <w:p w:rsidR="00BB2602" w:rsidRDefault="00BB49E2" w:rsidP="00BB2602">
      <w:pPr>
        <w:autoSpaceDE w:val="0"/>
        <w:autoSpaceDN w:val="0"/>
        <w:adjustRightInd w:val="0"/>
        <w:spacing w:after="0" w:line="360" w:lineRule="auto"/>
        <w:jc w:val="both"/>
        <w:rPr>
          <w:rFonts w:ascii="Garamond" w:hAnsi="Garamond"/>
          <w:sz w:val="24"/>
          <w:szCs w:val="24"/>
        </w:rPr>
      </w:pPr>
      <w:r>
        <w:rPr>
          <w:rFonts w:ascii="Garamond" w:hAnsi="Garamond"/>
          <w:sz w:val="24"/>
          <w:szCs w:val="24"/>
        </w:rPr>
        <w:t>BOA</w:t>
      </w:r>
      <w:r w:rsidRPr="00E53286">
        <w:rPr>
          <w:rFonts w:ascii="Garamond" w:hAnsi="Garamond"/>
          <w:sz w:val="24"/>
          <w:szCs w:val="24"/>
        </w:rPr>
        <w:t xml:space="preserve"> successes were significant and concrete in terms of publ</w:t>
      </w:r>
      <w:r>
        <w:rPr>
          <w:rFonts w:ascii="Garamond" w:hAnsi="Garamond"/>
          <w:sz w:val="24"/>
          <w:szCs w:val="24"/>
        </w:rPr>
        <w:t xml:space="preserve">icity, actions against Outspan, </w:t>
      </w:r>
      <w:r w:rsidRPr="00E53286">
        <w:rPr>
          <w:rFonts w:ascii="Garamond" w:hAnsi="Garamond"/>
          <w:sz w:val="24"/>
          <w:szCs w:val="24"/>
        </w:rPr>
        <w:t xml:space="preserve">and scale. They achieved local, national and international publicity spanning a variety of consumer, church based, journalistic and secular anti-apartheid networks in little under a year. Through citrus they bought apartheid and race, and crucially </w:t>
      </w:r>
      <w:r w:rsidRPr="00E53286">
        <w:rPr>
          <w:rFonts w:ascii="Garamond" w:hAnsi="Garamond"/>
          <w:i/>
          <w:sz w:val="24"/>
          <w:szCs w:val="24"/>
        </w:rPr>
        <w:t xml:space="preserve">activism </w:t>
      </w:r>
      <w:r w:rsidRPr="00E53286">
        <w:rPr>
          <w:rFonts w:ascii="Garamond" w:hAnsi="Garamond"/>
          <w:sz w:val="24"/>
          <w:szCs w:val="24"/>
        </w:rPr>
        <w:t>into domestic and convivial spaces, and forged new directions, contact nodes</w:t>
      </w:r>
      <w:r>
        <w:rPr>
          <w:rFonts w:ascii="Garamond" w:hAnsi="Garamond"/>
          <w:sz w:val="24"/>
          <w:szCs w:val="24"/>
        </w:rPr>
        <w:t>,</w:t>
      </w:r>
      <w:r w:rsidRPr="00E53286">
        <w:rPr>
          <w:rStyle w:val="FootnoteReference"/>
          <w:rFonts w:ascii="Garamond" w:hAnsi="Garamond"/>
          <w:sz w:val="24"/>
          <w:szCs w:val="24"/>
        </w:rPr>
        <w:footnoteReference w:id="23"/>
      </w:r>
      <w:r w:rsidRPr="00E53286">
        <w:rPr>
          <w:rFonts w:ascii="Garamond" w:hAnsi="Garamond"/>
          <w:sz w:val="24"/>
          <w:szCs w:val="24"/>
        </w:rPr>
        <w:t xml:space="preserve"> and convergence spaces</w:t>
      </w:r>
      <w:r w:rsidRPr="00E53286">
        <w:rPr>
          <w:rStyle w:val="FootnoteReference"/>
          <w:rFonts w:ascii="Garamond" w:hAnsi="Garamond"/>
          <w:sz w:val="24"/>
          <w:szCs w:val="24"/>
        </w:rPr>
        <w:footnoteReference w:id="24"/>
      </w:r>
      <w:r>
        <w:rPr>
          <w:rFonts w:ascii="Garamond" w:hAnsi="Garamond"/>
          <w:sz w:val="24"/>
          <w:szCs w:val="24"/>
        </w:rPr>
        <w:t xml:space="preserve"> </w:t>
      </w:r>
      <w:r w:rsidRPr="00E53286">
        <w:rPr>
          <w:rFonts w:ascii="Garamond" w:hAnsi="Garamond"/>
          <w:sz w:val="24"/>
          <w:szCs w:val="24"/>
        </w:rPr>
        <w:t>for grassroots activism</w:t>
      </w:r>
      <w:r>
        <w:rPr>
          <w:rFonts w:ascii="Garamond" w:hAnsi="Garamond"/>
          <w:sz w:val="24"/>
          <w:szCs w:val="24"/>
        </w:rPr>
        <w:t xml:space="preserve">. </w:t>
      </w:r>
      <w:r w:rsidRPr="00E53286">
        <w:rPr>
          <w:rFonts w:ascii="Garamond" w:hAnsi="Garamond"/>
          <w:sz w:val="24"/>
          <w:szCs w:val="24"/>
        </w:rPr>
        <w:t>In Holland</w:t>
      </w:r>
      <w:r>
        <w:rPr>
          <w:rFonts w:ascii="Garamond" w:hAnsi="Garamond"/>
          <w:sz w:val="24"/>
          <w:szCs w:val="24"/>
        </w:rPr>
        <w:t>,</w:t>
      </w:r>
      <w:r w:rsidRPr="00E53286">
        <w:rPr>
          <w:rFonts w:ascii="Garamond" w:hAnsi="Garamond"/>
          <w:sz w:val="24"/>
          <w:szCs w:val="24"/>
        </w:rPr>
        <w:t xml:space="preserve"> the BOA launched several campaigns after their actions against Outspan. The actions included anti-apartheid and antiracism bus tours around Holl</w:t>
      </w:r>
      <w:r>
        <w:rPr>
          <w:rFonts w:ascii="Garamond" w:hAnsi="Garamond"/>
          <w:sz w:val="24"/>
          <w:szCs w:val="24"/>
        </w:rPr>
        <w:t>and, a transnational</w:t>
      </w:r>
      <w:r w:rsidRPr="00E53286">
        <w:rPr>
          <w:rFonts w:ascii="Garamond" w:hAnsi="Garamond"/>
          <w:sz w:val="24"/>
          <w:szCs w:val="24"/>
        </w:rPr>
        <w:t xml:space="preserve"> anti-emigration campaign directed at potential </w:t>
      </w:r>
      <w:r>
        <w:rPr>
          <w:rFonts w:ascii="Garamond" w:hAnsi="Garamond"/>
          <w:sz w:val="24"/>
          <w:szCs w:val="24"/>
        </w:rPr>
        <w:t>European</w:t>
      </w:r>
      <w:r w:rsidRPr="006933A4">
        <w:rPr>
          <w:rFonts w:ascii="Garamond" w:hAnsi="Garamond"/>
          <w:sz w:val="24"/>
          <w:szCs w:val="24"/>
        </w:rPr>
        <w:t xml:space="preserve"> </w:t>
      </w:r>
      <w:r>
        <w:rPr>
          <w:rFonts w:ascii="Garamond" w:hAnsi="Garamond"/>
          <w:sz w:val="24"/>
          <w:szCs w:val="24"/>
        </w:rPr>
        <w:t xml:space="preserve">expatriates, </w:t>
      </w:r>
      <w:r w:rsidRPr="00E53286">
        <w:rPr>
          <w:rFonts w:ascii="Garamond" w:hAnsi="Garamond"/>
          <w:sz w:val="24"/>
          <w:szCs w:val="24"/>
        </w:rPr>
        <w:t>and an intensive town campaign which from 1979-1990 visited sixty towns in Holland with the explicit aim of setting up the infrastructure for autono</w:t>
      </w:r>
      <w:r w:rsidR="002C0568">
        <w:rPr>
          <w:rFonts w:ascii="Garamond" w:hAnsi="Garamond"/>
          <w:sz w:val="24"/>
          <w:szCs w:val="24"/>
        </w:rPr>
        <w:t>mous antiracism organizations (Interview du Plessis</w:t>
      </w:r>
      <w:r w:rsidRPr="00E53286">
        <w:rPr>
          <w:rFonts w:ascii="Garamond" w:hAnsi="Garamond"/>
          <w:sz w:val="24"/>
          <w:szCs w:val="24"/>
        </w:rPr>
        <w:t xml:space="preserve"> 2011).</w:t>
      </w:r>
      <w:r w:rsidRPr="006933A4">
        <w:rPr>
          <w:rFonts w:ascii="Garamond" w:hAnsi="Garamond"/>
          <w:sz w:val="24"/>
          <w:szCs w:val="24"/>
        </w:rPr>
        <w:t xml:space="preserve"> </w:t>
      </w:r>
      <w:r w:rsidRPr="00E53286">
        <w:rPr>
          <w:rFonts w:ascii="Garamond" w:hAnsi="Garamond"/>
          <w:sz w:val="24"/>
          <w:szCs w:val="24"/>
        </w:rPr>
        <w:t>I</w:t>
      </w:r>
      <w:r>
        <w:rPr>
          <w:rFonts w:ascii="Garamond" w:hAnsi="Garamond"/>
          <w:sz w:val="24"/>
          <w:szCs w:val="24"/>
        </w:rPr>
        <w:t>n Chapter Six and Chapter Seven I</w:t>
      </w:r>
      <w:r w:rsidRPr="00E53286">
        <w:rPr>
          <w:rFonts w:ascii="Garamond" w:hAnsi="Garamond"/>
          <w:sz w:val="24"/>
          <w:szCs w:val="24"/>
        </w:rPr>
        <w:t xml:space="preserve"> </w:t>
      </w:r>
      <w:r>
        <w:rPr>
          <w:rFonts w:ascii="Garamond" w:hAnsi="Garamond"/>
          <w:sz w:val="24"/>
          <w:szCs w:val="24"/>
        </w:rPr>
        <w:t>analyse</w:t>
      </w:r>
      <w:r w:rsidRPr="00E53286">
        <w:rPr>
          <w:rFonts w:ascii="Garamond" w:hAnsi="Garamond"/>
          <w:sz w:val="24"/>
          <w:szCs w:val="24"/>
        </w:rPr>
        <w:t xml:space="preserve"> these campaigns</w:t>
      </w:r>
      <w:r>
        <w:rPr>
          <w:rFonts w:ascii="Garamond" w:hAnsi="Garamond"/>
          <w:sz w:val="24"/>
          <w:szCs w:val="24"/>
        </w:rPr>
        <w:t xml:space="preserve"> in detail, and propose they enabled</w:t>
      </w:r>
      <w:r w:rsidRPr="00E53286">
        <w:rPr>
          <w:rFonts w:ascii="Garamond" w:hAnsi="Garamond"/>
          <w:sz w:val="24"/>
          <w:szCs w:val="24"/>
        </w:rPr>
        <w:t xml:space="preserve"> </w:t>
      </w:r>
      <w:r>
        <w:rPr>
          <w:rFonts w:ascii="Garamond" w:hAnsi="Garamond"/>
          <w:sz w:val="24"/>
          <w:szCs w:val="24"/>
        </w:rPr>
        <w:t xml:space="preserve">the </w:t>
      </w:r>
      <w:r w:rsidRPr="00E53286">
        <w:rPr>
          <w:rFonts w:ascii="Garamond" w:hAnsi="Garamond"/>
          <w:sz w:val="24"/>
          <w:szCs w:val="24"/>
        </w:rPr>
        <w:t>BOA’s method of achieving collective responsibility amongst the Dutch public f</w:t>
      </w:r>
      <w:r>
        <w:rPr>
          <w:rFonts w:ascii="Garamond" w:hAnsi="Garamond"/>
          <w:sz w:val="24"/>
          <w:szCs w:val="24"/>
        </w:rPr>
        <w:t xml:space="preserve">or apartheid and racism. I argue they were </w:t>
      </w:r>
      <w:r w:rsidRPr="00E53286">
        <w:rPr>
          <w:rFonts w:ascii="Garamond" w:hAnsi="Garamond"/>
          <w:sz w:val="24"/>
          <w:szCs w:val="24"/>
        </w:rPr>
        <w:t>vital cog in the way the organization converted the guilt tropes from the citrus boycott into feelings of solidarity and col</w:t>
      </w:r>
      <w:r>
        <w:rPr>
          <w:rFonts w:ascii="Garamond" w:hAnsi="Garamond"/>
          <w:sz w:val="24"/>
          <w:szCs w:val="24"/>
        </w:rPr>
        <w:t>lective agency across distance.</w:t>
      </w:r>
    </w:p>
    <w:p w:rsidR="00BB49E2" w:rsidRDefault="00BB49E2" w:rsidP="00BB2602">
      <w:pPr>
        <w:autoSpaceDE w:val="0"/>
        <w:autoSpaceDN w:val="0"/>
        <w:adjustRightInd w:val="0"/>
        <w:spacing w:after="0" w:line="360" w:lineRule="auto"/>
        <w:jc w:val="both"/>
        <w:rPr>
          <w:rFonts w:ascii="Garamond" w:hAnsi="Garamond"/>
          <w:sz w:val="24"/>
          <w:szCs w:val="24"/>
        </w:rPr>
      </w:pPr>
    </w:p>
    <w:p w:rsidR="002049D4" w:rsidRDefault="00BB2602" w:rsidP="00D819BA">
      <w:pPr>
        <w:spacing w:after="0" w:line="360" w:lineRule="auto"/>
        <w:jc w:val="both"/>
        <w:rPr>
          <w:rFonts w:ascii="Garamond" w:hAnsi="Garamond"/>
          <w:sz w:val="24"/>
          <w:szCs w:val="24"/>
        </w:rPr>
      </w:pPr>
      <w:r>
        <w:rPr>
          <w:rFonts w:ascii="Garamond" w:hAnsi="Garamond"/>
          <w:sz w:val="24"/>
          <w:szCs w:val="24"/>
        </w:rPr>
        <w:t xml:space="preserve">My initial investigations into the BOA showed that they would make original and complex empirical material for my research aims; they were consummate boycott performers who were frequently reported on in the Dutch and international media. They conducted several anti-apartheid campaigns over two decades (several of which had never been studied before). The organization deployed different body-commodity topoi to suit contexts and demands, and created a framework for urban antiracist activism that was well ahead of its time. According to Kruger </w:t>
      </w:r>
      <w:r w:rsidR="00F152DB">
        <w:rPr>
          <w:rFonts w:ascii="Garamond" w:hAnsi="Garamond"/>
          <w:sz w:val="24"/>
          <w:szCs w:val="24"/>
        </w:rPr>
        <w:t>and</w:t>
      </w:r>
      <w:r>
        <w:rPr>
          <w:rFonts w:ascii="Garamond" w:hAnsi="Garamond"/>
          <w:sz w:val="24"/>
          <w:szCs w:val="24"/>
        </w:rPr>
        <w:t xml:space="preserve"> du Toit (2007), the organization also </w:t>
      </w:r>
      <w:r>
        <w:rPr>
          <w:rFonts w:ascii="Garamond" w:hAnsi="Garamond"/>
          <w:sz w:val="24"/>
          <w:szCs w:val="24"/>
        </w:rPr>
        <w:lastRenderedPageBreak/>
        <w:t>provided an education for fair trade activists who would work to lobby change in South African horticulture post-apartheid.</w:t>
      </w:r>
      <w:r>
        <w:rPr>
          <w:rStyle w:val="FootnoteReference"/>
          <w:rFonts w:ascii="Garamond" w:hAnsi="Garamond"/>
          <w:sz w:val="24"/>
          <w:szCs w:val="24"/>
        </w:rPr>
        <w:footnoteReference w:id="25"/>
      </w:r>
      <w:r>
        <w:rPr>
          <w:rFonts w:ascii="Garamond" w:hAnsi="Garamond"/>
          <w:sz w:val="24"/>
          <w:szCs w:val="24"/>
        </w:rPr>
        <w:t xml:space="preserve"> As I began to get my feet wet, I realized that this thesis would also have an important role to play in analysing testimony from its former leader. As I show in Chapter Three and Chapter Six, the BOA are overlooked in existing histories of Dutch anti-apartheid. </w:t>
      </w:r>
      <w:r w:rsidR="002049D4">
        <w:rPr>
          <w:rFonts w:ascii="Garamond" w:hAnsi="Garamond"/>
          <w:sz w:val="24"/>
          <w:szCs w:val="24"/>
        </w:rPr>
        <w:t xml:space="preserve">   </w:t>
      </w:r>
    </w:p>
    <w:p w:rsidR="002049D4" w:rsidRDefault="002049D4" w:rsidP="00D819BA">
      <w:pPr>
        <w:spacing w:after="0" w:line="360" w:lineRule="auto"/>
        <w:jc w:val="both"/>
        <w:rPr>
          <w:rFonts w:ascii="Garamond" w:hAnsi="Garamond"/>
          <w:sz w:val="24"/>
          <w:szCs w:val="24"/>
        </w:rPr>
      </w:pPr>
    </w:p>
    <w:p w:rsidR="002049D4" w:rsidRDefault="002049D4" w:rsidP="00D819BA">
      <w:pPr>
        <w:spacing w:after="0" w:line="360" w:lineRule="auto"/>
        <w:jc w:val="both"/>
        <w:rPr>
          <w:rFonts w:ascii="Garamond" w:hAnsi="Garamond"/>
          <w:sz w:val="24"/>
          <w:szCs w:val="24"/>
        </w:rPr>
      </w:pPr>
    </w:p>
    <w:tbl>
      <w:tblPr>
        <w:tblW w:w="8721" w:type="dxa"/>
        <w:tblInd w:w="392" w:type="dxa"/>
        <w:tblLook w:val="00A0"/>
      </w:tblPr>
      <w:tblGrid>
        <w:gridCol w:w="4857"/>
        <w:gridCol w:w="3864"/>
      </w:tblGrid>
      <w:tr w:rsidR="002049D4" w:rsidRPr="005064FE">
        <w:trPr>
          <w:trHeight w:val="5068"/>
        </w:trPr>
        <w:tc>
          <w:tcPr>
            <w:tcW w:w="4857" w:type="dxa"/>
          </w:tcPr>
          <w:p w:rsidR="002049D4" w:rsidRPr="005064FE" w:rsidRDefault="002049D4" w:rsidP="005064FE">
            <w:r w:rsidRPr="005064FE">
              <w:rPr>
                <w:noProof/>
                <w:lang w:eastAsia="en-GB"/>
              </w:rPr>
              <w:drawing>
                <wp:inline distT="0" distB="0" distL="0" distR="0">
                  <wp:extent cx="2578100" cy="3144292"/>
                  <wp:effectExtent l="25400" t="0" r="0" b="0"/>
                  <wp:docPr id="80" name="Picture 1" descr="C:\Users\hugh crosfield\Pictures\iphone days October 2009-January 2012 3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Pictures\iphone days October 2009-January 2012 357 (2).jpg"/>
                          <pic:cNvPicPr>
                            <a:picLocks noChangeAspect="1" noChangeArrowheads="1"/>
                          </pic:cNvPicPr>
                        </pic:nvPicPr>
                        <pic:blipFill>
                          <a:blip r:embed="rId11" cstate="print"/>
                          <a:srcRect/>
                          <a:stretch>
                            <a:fillRect/>
                          </a:stretch>
                        </pic:blipFill>
                        <pic:spPr bwMode="auto">
                          <a:xfrm>
                            <a:off x="0" y="0"/>
                            <a:ext cx="2575383" cy="3140979"/>
                          </a:xfrm>
                          <a:prstGeom prst="rect">
                            <a:avLst/>
                          </a:prstGeom>
                          <a:noFill/>
                          <a:ln w="9525">
                            <a:noFill/>
                            <a:miter lim="800000"/>
                            <a:headEnd/>
                            <a:tailEnd/>
                          </a:ln>
                        </pic:spPr>
                      </pic:pic>
                    </a:graphicData>
                  </a:graphic>
                </wp:inline>
              </w:drawing>
            </w:r>
          </w:p>
          <w:p w:rsidR="002049D4" w:rsidRPr="005064FE" w:rsidRDefault="002049D4" w:rsidP="005064FE"/>
        </w:tc>
        <w:tc>
          <w:tcPr>
            <w:tcW w:w="3864" w:type="dxa"/>
          </w:tcPr>
          <w:p w:rsidR="00286723" w:rsidRPr="00286723" w:rsidRDefault="0050393D" w:rsidP="00286723">
            <w:pPr>
              <w:pStyle w:val="Caption"/>
              <w:rPr>
                <w:rFonts w:ascii="Perpetua" w:hAnsi="Perpetua"/>
                <w:b w:val="0"/>
                <w:color w:val="auto"/>
                <w:sz w:val="20"/>
              </w:rPr>
            </w:pPr>
            <w:bookmarkStart w:id="104" w:name="_Toc263508998"/>
            <w:bookmarkStart w:id="105" w:name="_Toc263510785"/>
            <w:bookmarkStart w:id="106" w:name="_Toc263495732"/>
            <w:bookmarkStart w:id="107" w:name="_Toc244508201"/>
            <w:bookmarkStart w:id="108" w:name="_Toc244577263"/>
            <w:r w:rsidRPr="00286723">
              <w:rPr>
                <w:rFonts w:ascii="Perpetua" w:hAnsi="Perpetua"/>
                <w:b w:val="0"/>
                <w:color w:val="auto"/>
                <w:sz w:val="20"/>
              </w:rPr>
              <w:t xml:space="preserve">Figure </w:t>
            </w:r>
            <w:r w:rsidR="00DF2DF8" w:rsidRPr="00286723">
              <w:rPr>
                <w:rFonts w:ascii="Perpetua" w:hAnsi="Perpetua"/>
                <w:b w:val="0"/>
                <w:color w:val="auto"/>
                <w:sz w:val="20"/>
              </w:rPr>
              <w:fldChar w:fldCharType="begin"/>
            </w:r>
            <w:r w:rsidRPr="00286723">
              <w:rPr>
                <w:rFonts w:ascii="Perpetua" w:hAnsi="Perpetua"/>
                <w:b w:val="0"/>
                <w:color w:val="auto"/>
                <w:sz w:val="20"/>
              </w:rPr>
              <w:instrText xml:space="preserve"> SEQ Figure \* ARABIC </w:instrText>
            </w:r>
            <w:r w:rsidR="00DF2DF8" w:rsidRPr="00286723">
              <w:rPr>
                <w:rFonts w:ascii="Perpetua" w:hAnsi="Perpetua"/>
                <w:b w:val="0"/>
                <w:color w:val="auto"/>
                <w:sz w:val="20"/>
              </w:rPr>
              <w:fldChar w:fldCharType="separate"/>
            </w:r>
            <w:r w:rsidR="002B3E92">
              <w:rPr>
                <w:rFonts w:ascii="Perpetua" w:hAnsi="Perpetua"/>
                <w:b w:val="0"/>
                <w:noProof/>
                <w:color w:val="auto"/>
                <w:sz w:val="20"/>
              </w:rPr>
              <w:t>1</w:t>
            </w:r>
            <w:r w:rsidR="00DF2DF8" w:rsidRPr="00286723">
              <w:rPr>
                <w:rFonts w:ascii="Perpetua" w:hAnsi="Perpetua"/>
                <w:b w:val="0"/>
                <w:color w:val="auto"/>
                <w:sz w:val="20"/>
              </w:rPr>
              <w:fldChar w:fldCharType="end"/>
            </w:r>
            <w:r w:rsidRPr="00286723">
              <w:rPr>
                <w:rFonts w:ascii="Perpetua" w:hAnsi="Perpetua"/>
                <w:b w:val="0"/>
                <w:color w:val="auto"/>
                <w:sz w:val="20"/>
              </w:rPr>
              <w:t xml:space="preserve">: </w:t>
            </w:r>
            <w:r w:rsidR="00286723" w:rsidRPr="00286723">
              <w:rPr>
                <w:rFonts w:ascii="Perpetua" w:hAnsi="Perpetua"/>
                <w:b w:val="0"/>
                <w:color w:val="auto"/>
                <w:sz w:val="20"/>
              </w:rPr>
              <w:t xml:space="preserve">Photograph of </w:t>
            </w:r>
            <w:r w:rsidRPr="00286723">
              <w:rPr>
                <w:rFonts w:ascii="Perpetua" w:hAnsi="Perpetua"/>
                <w:b w:val="0"/>
                <w:color w:val="auto"/>
                <w:sz w:val="20"/>
              </w:rPr>
              <w:t>Esau du Plessi (holding the Outspan sign) on a reconnaissance mission with Bernard Teillefer in a busy Parisian market during the summer of 1975.</w:t>
            </w:r>
            <w:bookmarkEnd w:id="104"/>
            <w:bookmarkEnd w:id="105"/>
            <w:r w:rsidRPr="00286723">
              <w:rPr>
                <w:rFonts w:ascii="Perpetua" w:hAnsi="Perpetua"/>
                <w:b w:val="0"/>
                <w:color w:val="auto"/>
                <w:sz w:val="20"/>
              </w:rPr>
              <w:t xml:space="preserve"> </w:t>
            </w:r>
          </w:p>
          <w:p w:rsidR="0050393D" w:rsidRPr="00286723" w:rsidRDefault="0050393D" w:rsidP="00286723">
            <w:pPr>
              <w:rPr>
                <w:rFonts w:ascii="Perpetua" w:hAnsi="Perpetua"/>
                <w:sz w:val="20"/>
              </w:rPr>
            </w:pPr>
            <w:r w:rsidRPr="00286723">
              <w:rPr>
                <w:rFonts w:ascii="Perpetua" w:hAnsi="Perpetua"/>
                <w:sz w:val="20"/>
              </w:rPr>
              <w:t>Following a positive response form the French public, the C.A.O were launched as France’s first AAM. Image courtesy of du Plessis.</w:t>
            </w:r>
            <w:bookmarkEnd w:id="106"/>
          </w:p>
          <w:p w:rsidR="0050393D" w:rsidRDefault="0050393D" w:rsidP="0050393D">
            <w:pPr>
              <w:pStyle w:val="Caption"/>
            </w:pPr>
          </w:p>
          <w:bookmarkEnd w:id="107"/>
          <w:bookmarkEnd w:id="108"/>
          <w:p w:rsidR="002049D4" w:rsidRPr="00F635D3" w:rsidRDefault="002049D4" w:rsidP="00F635D3"/>
          <w:p w:rsidR="002049D4" w:rsidRPr="005064FE" w:rsidRDefault="002049D4" w:rsidP="0050393D">
            <w:pPr>
              <w:keepNext/>
            </w:pPr>
          </w:p>
        </w:tc>
      </w:tr>
    </w:tbl>
    <w:p w:rsidR="00BB49E2" w:rsidRPr="0002611C" w:rsidRDefault="00BB49E2" w:rsidP="00BB49E2">
      <w:pPr>
        <w:pStyle w:val="Heading2"/>
      </w:pPr>
      <w:bookmarkStart w:id="109" w:name="_Toc244424934"/>
      <w:bookmarkStart w:id="110" w:name="_Toc244453620"/>
      <w:bookmarkStart w:id="111" w:name="_Toc244454137"/>
      <w:bookmarkStart w:id="112" w:name="_Toc244469584"/>
      <w:bookmarkStart w:id="113" w:name="_Toc244508040"/>
      <w:bookmarkStart w:id="114" w:name="_Toc244535734"/>
      <w:bookmarkStart w:id="115" w:name="_Toc244578366"/>
      <w:bookmarkStart w:id="116" w:name="_Toc244578750"/>
      <w:bookmarkStart w:id="117" w:name="_Toc263451999"/>
      <w:bookmarkStart w:id="118" w:name="_Toc263510917"/>
      <w:r w:rsidRPr="0002611C">
        <w:t>Researching the BOA</w:t>
      </w:r>
      <w:bookmarkEnd w:id="109"/>
      <w:bookmarkEnd w:id="110"/>
      <w:bookmarkEnd w:id="111"/>
      <w:bookmarkEnd w:id="112"/>
      <w:bookmarkEnd w:id="113"/>
      <w:bookmarkEnd w:id="114"/>
      <w:bookmarkEnd w:id="115"/>
      <w:bookmarkEnd w:id="116"/>
      <w:bookmarkEnd w:id="117"/>
      <w:bookmarkEnd w:id="118"/>
      <w:r w:rsidRPr="0002611C">
        <w:t xml:space="preserve"> </w:t>
      </w:r>
    </w:p>
    <w:p w:rsidR="00BB49E2" w:rsidRDefault="00BB49E2" w:rsidP="00BB49E2">
      <w:pPr>
        <w:autoSpaceDE w:val="0"/>
        <w:autoSpaceDN w:val="0"/>
        <w:adjustRightInd w:val="0"/>
        <w:spacing w:after="0" w:line="360" w:lineRule="auto"/>
        <w:jc w:val="both"/>
        <w:rPr>
          <w:rFonts w:ascii="Garamond" w:hAnsi="Garamond"/>
          <w:sz w:val="24"/>
          <w:szCs w:val="24"/>
        </w:rPr>
      </w:pPr>
    </w:p>
    <w:p w:rsidR="00BB49E2" w:rsidRPr="005C665B"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In September 2011, I picked up the phone and dialled a number in Sweden. Much of what is written in this project was initially shaped by that twenty-minute conversation.</w:t>
      </w:r>
      <w:r>
        <w:rPr>
          <w:rFonts w:ascii="Garamond" w:hAnsi="Garamond"/>
          <w:i/>
          <w:sz w:val="24"/>
          <w:szCs w:val="24"/>
        </w:rPr>
        <w:t xml:space="preserve"> </w:t>
      </w:r>
      <w:r>
        <w:rPr>
          <w:rFonts w:ascii="Garamond" w:hAnsi="Garamond" w:cs="Times New Roman"/>
          <w:sz w:val="24"/>
          <w:szCs w:val="24"/>
        </w:rPr>
        <w:t>The call was picked up by Esau du Plessis. I had found the telephone number for his home in</w:t>
      </w:r>
      <w:r w:rsidRPr="005B5D4B">
        <w:rPr>
          <w:rFonts w:ascii="Garamond" w:hAnsi="Garamond" w:cs="Times New Roman"/>
          <w:sz w:val="24"/>
          <w:szCs w:val="24"/>
        </w:rPr>
        <w:t xml:space="preserve"> </w:t>
      </w:r>
      <w:r w:rsidRPr="005B5D4B">
        <w:rPr>
          <w:rFonts w:ascii="Garamond" w:hAnsi="Garamond"/>
          <w:sz w:val="24"/>
          <w:szCs w:val="24"/>
        </w:rPr>
        <w:t>Rydsgaard</w:t>
      </w:r>
      <w:r>
        <w:rPr>
          <w:rFonts w:ascii="Garamond" w:hAnsi="Garamond" w:cs="Times New Roman"/>
          <w:sz w:val="24"/>
          <w:szCs w:val="24"/>
        </w:rPr>
        <w:t xml:space="preserve"> at the bottom of a passionate online open letter to </w:t>
      </w:r>
      <w:r w:rsidRPr="00114C7E">
        <w:rPr>
          <w:rFonts w:ascii="Garamond" w:hAnsi="Garamond" w:cs="Times New Roman"/>
          <w:i/>
          <w:sz w:val="24"/>
          <w:szCs w:val="24"/>
        </w:rPr>
        <w:t xml:space="preserve">The South African Democracy Education Trust </w:t>
      </w:r>
      <w:r>
        <w:rPr>
          <w:rFonts w:ascii="Garamond" w:hAnsi="Garamond" w:cs="Times New Roman"/>
          <w:sz w:val="24"/>
          <w:szCs w:val="24"/>
        </w:rPr>
        <w:t>(SADET), requesting for the removal and correction of inaccurate information on the BOA recently published in volume 2 of their opus on anti-apartheid movements.</w:t>
      </w:r>
      <w:r>
        <w:rPr>
          <w:rStyle w:val="FootnoteReference"/>
          <w:rFonts w:ascii="Garamond" w:hAnsi="Garamond" w:cs="Times New Roman"/>
          <w:sz w:val="24"/>
          <w:szCs w:val="24"/>
        </w:rPr>
        <w:footnoteReference w:id="26"/>
      </w:r>
      <w:r>
        <w:rPr>
          <w:rFonts w:ascii="Garamond" w:hAnsi="Garamond" w:cs="Times New Roman"/>
          <w:sz w:val="24"/>
          <w:szCs w:val="24"/>
        </w:rPr>
        <w:t xml:space="preserve"> The Open Letter was paired with a second document by du </w:t>
      </w:r>
      <w:r>
        <w:rPr>
          <w:rFonts w:ascii="Garamond" w:hAnsi="Garamond" w:cs="Times New Roman"/>
          <w:sz w:val="24"/>
          <w:szCs w:val="24"/>
        </w:rPr>
        <w:lastRenderedPageBreak/>
        <w:t>Plessis providing a history of the BOA's campaigns. These two documents provided a roll call of twenty-five potential respondents (including activists, politicians, artists, poets and political exiles), all of whom I attempted to find through the internet. These two documents provided plenty of information and questions to begin our conversation. It is difficult to prepare for the point when a research-lead sparks into life, and individuals’ names that are both familiar and distant in print become real personalities. By the end of our conversation we agreed that I would visit him at his home in Sweden to photograph and document press reports, ephemera and campaign material from his personal archive, to conduct in-depth interviews, and potentially record an oral history of the BOA.</w:t>
      </w:r>
      <w:r>
        <w:rPr>
          <w:rStyle w:val="FootnoteReference"/>
          <w:rFonts w:ascii="Garamond" w:hAnsi="Garamond" w:cs="Times New Roman"/>
          <w:sz w:val="24"/>
          <w:szCs w:val="24"/>
        </w:rPr>
        <w:footnoteReference w:id="27"/>
      </w:r>
      <w:r>
        <w:rPr>
          <w:rFonts w:ascii="Garamond" w:hAnsi="Garamond" w:cs="Times New Roman"/>
          <w:sz w:val="24"/>
          <w:szCs w:val="24"/>
        </w:rPr>
        <w:t xml:space="preserve"> Following a series of in-depth structured interviews conducted at Esau's home in </w:t>
      </w:r>
      <w:r w:rsidRPr="005C665B">
        <w:rPr>
          <w:rFonts w:ascii="Garamond" w:hAnsi="Garamond"/>
          <w:sz w:val="24"/>
          <w:szCs w:val="24"/>
        </w:rPr>
        <w:t>Rydsgaard</w:t>
      </w:r>
      <w:r w:rsidRPr="005C665B">
        <w:rPr>
          <w:rFonts w:ascii="Garamond" w:hAnsi="Garamond" w:cs="Times New Roman"/>
          <w:sz w:val="24"/>
          <w:szCs w:val="24"/>
        </w:rPr>
        <w:t xml:space="preserve"> in </w:t>
      </w:r>
      <w:r>
        <w:rPr>
          <w:rFonts w:ascii="Garamond" w:hAnsi="Garamond" w:cs="Times New Roman"/>
          <w:sz w:val="24"/>
          <w:szCs w:val="24"/>
        </w:rPr>
        <w:t>January 2011 (see Table 2</w:t>
      </w:r>
      <w:r w:rsidRPr="005C665B">
        <w:rPr>
          <w:rFonts w:ascii="Garamond" w:hAnsi="Garamond" w:cs="Times New Roman"/>
          <w:sz w:val="24"/>
          <w:szCs w:val="24"/>
        </w:rPr>
        <w:t xml:space="preserve">), we have conducted a further 25 </w:t>
      </w:r>
      <w:r>
        <w:rPr>
          <w:rFonts w:ascii="Garamond" w:hAnsi="Garamond" w:cs="Times New Roman"/>
          <w:sz w:val="24"/>
          <w:szCs w:val="24"/>
        </w:rPr>
        <w:t>conversations</w:t>
      </w:r>
      <w:r w:rsidRPr="005C665B">
        <w:rPr>
          <w:rFonts w:ascii="Garamond" w:hAnsi="Garamond" w:cs="Times New Roman"/>
          <w:sz w:val="24"/>
          <w:szCs w:val="24"/>
        </w:rPr>
        <w:t xml:space="preserve"> over Skype (varying between twenty minutes and two hours in length, </w:t>
      </w:r>
      <w:r>
        <w:rPr>
          <w:rFonts w:ascii="Garamond" w:hAnsi="Garamond" w:cs="Times New Roman"/>
          <w:sz w:val="24"/>
          <w:szCs w:val="24"/>
        </w:rPr>
        <w:t>16</w:t>
      </w:r>
      <w:r w:rsidRPr="005C665B">
        <w:rPr>
          <w:rFonts w:ascii="Garamond" w:hAnsi="Garamond" w:cs="Times New Roman"/>
          <w:sz w:val="24"/>
          <w:szCs w:val="24"/>
        </w:rPr>
        <w:t xml:space="preserve"> of which are recorded).</w:t>
      </w:r>
      <w:r w:rsidRPr="005C665B">
        <w:rPr>
          <w:rStyle w:val="FootnoteReference"/>
          <w:rFonts w:ascii="Garamond" w:hAnsi="Garamond"/>
          <w:sz w:val="24"/>
          <w:szCs w:val="24"/>
        </w:rPr>
        <w:footnoteReference w:id="28"/>
      </w:r>
    </w:p>
    <w:p w:rsidR="00BB49E2" w:rsidRPr="005C665B"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The research process with the BOA has been led by what James Clifford (1983) describes as dialogic ethnography; a form of knowledge production defined by a series of interviews and extended testimony with a key informant (see also Herbert, 2000; Crang and Cook, 2008). In addition, I interviewed several other key members of the BOA, and activists and academics from outside the BOA who had experienced Dutch anti-apartheid (see Figure 2), and conducted visual and textual analysis of campaign materials and press reports.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The relationship between Esau du Plessis and myself has been constructed over three years in which time I have become an active participant in constructing knowledge about the BOA, and he has played an active part in shaping the way I have researched the BOA. During this time we have occasionally negotiated differences of opinion over the sorts of information to present here with concessions from both sides. But on the whole our relationship has been founded on trust of each other's motivations and respect of particular boundaries. I decided early in the process not to interview Sietse Bosgra, a </w:t>
      </w:r>
      <w:r>
        <w:rPr>
          <w:rFonts w:ascii="Garamond" w:hAnsi="Garamond" w:cs="Times New Roman"/>
          <w:sz w:val="24"/>
          <w:szCs w:val="24"/>
        </w:rPr>
        <w:lastRenderedPageBreak/>
        <w:t>leading former anti-apartheid activist and official biographer of Dutch anti-apartheid whose long-term conflict with du Plessis came to a head in 2009 after making several dismissive remarks about the BOA in the SADET chapter on Dutch anti-apartheid (see the Open Letter)</w:t>
      </w:r>
      <w:r w:rsidR="00D819BA">
        <w:rPr>
          <w:rFonts w:ascii="Garamond" w:hAnsi="Garamond" w:cs="Times New Roman"/>
          <w:sz w:val="24"/>
          <w:szCs w:val="24"/>
        </w:rPr>
        <w:t>.</w:t>
      </w:r>
      <w:r>
        <w:rPr>
          <w:rFonts w:ascii="Garamond" w:hAnsi="Garamond" w:cs="Times New Roman"/>
          <w:sz w:val="24"/>
          <w:szCs w:val="24"/>
        </w:rPr>
        <w:t xml:space="preserve"> The decision to not interview Bosgra at this stage was not taken lightly. However their communication through open letters published on the IISH and South African History Online (SAHO) websites reveal a fundamental disagreement over race and racism. Bosgra's opening paragraph on the BOA in SADET describes du Plessis in these terms: "a motivated and fanatical newcomer to join the CZA was the coloured South African student Esau du Plessis" (2008:545</w:t>
      </w:r>
      <w:r w:rsidRPr="0072123C">
        <w:rPr>
          <w:rFonts w:ascii="Garamond" w:hAnsi="Garamond" w:cs="Times New Roman"/>
          <w:sz w:val="24"/>
          <w:szCs w:val="24"/>
        </w:rPr>
        <w:t>).</w:t>
      </w:r>
      <w:r>
        <w:rPr>
          <w:rFonts w:ascii="Garamond" w:hAnsi="Garamond" w:cs="Times New Roman"/>
          <w:sz w:val="24"/>
          <w:szCs w:val="24"/>
        </w:rPr>
        <w:t xml:space="preserve"> Du Plessis was convinced that if approached, Bosgra would attempt to sabotage the project. This was a boundary that, for better or worse, I did not cross. Du Plessis has rarely challenged any arguments that I have made about the BOA; instead he has offered corrections on dates, translations and anecdotal details. Drafts have been reread, and memories have been jogged through the triangulation of oral histories with campaign ephemera (see Reichard, 2012).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tbl>
      <w:tblPr>
        <w:tblW w:w="0" w:type="auto"/>
        <w:tblLook w:val="00A0"/>
      </w:tblPr>
      <w:tblGrid>
        <w:gridCol w:w="5675"/>
        <w:gridCol w:w="2847"/>
      </w:tblGrid>
      <w:tr w:rsidR="00BB49E2">
        <w:tc>
          <w:tcPr>
            <w:tcW w:w="5778" w:type="dxa"/>
          </w:tcPr>
          <w:p w:rsidR="00BB49E2" w:rsidRDefault="00BB49E2" w:rsidP="00BB49E2">
            <w:pPr>
              <w:autoSpaceDE w:val="0"/>
              <w:autoSpaceDN w:val="0"/>
              <w:adjustRightInd w:val="0"/>
              <w:spacing w:line="360" w:lineRule="auto"/>
              <w:jc w:val="both"/>
              <w:rPr>
                <w:rFonts w:ascii="Garamond" w:hAnsi="Garamond"/>
                <w:sz w:val="24"/>
                <w:szCs w:val="24"/>
              </w:rPr>
            </w:pPr>
            <w:r>
              <w:rPr>
                <w:noProof/>
                <w:lang w:eastAsia="en-GB"/>
              </w:rPr>
              <w:drawing>
                <wp:inline distT="0" distB="0" distL="0" distR="0">
                  <wp:extent cx="3277354" cy="2456121"/>
                  <wp:effectExtent l="19050" t="0" r="0" b="0"/>
                  <wp:docPr id="18" name="Picture 12" descr="http://hughcrosfield.files.wordpress.com/2012/10/int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ughcrosfield.files.wordpress.com/2012/10/interview.jpg"/>
                          <pic:cNvPicPr>
                            <a:picLocks noChangeAspect="1" noChangeArrowheads="1"/>
                          </pic:cNvPicPr>
                        </pic:nvPicPr>
                        <pic:blipFill>
                          <a:blip r:embed="rId12" cstate="print"/>
                          <a:srcRect/>
                          <a:stretch>
                            <a:fillRect/>
                          </a:stretch>
                        </pic:blipFill>
                        <pic:spPr bwMode="auto">
                          <a:xfrm>
                            <a:off x="0" y="0"/>
                            <a:ext cx="3277541" cy="2456261"/>
                          </a:xfrm>
                          <a:prstGeom prst="rect">
                            <a:avLst/>
                          </a:prstGeom>
                          <a:noFill/>
                          <a:ln w="9525">
                            <a:noFill/>
                            <a:miter lim="800000"/>
                            <a:headEnd/>
                            <a:tailEnd/>
                          </a:ln>
                        </pic:spPr>
                      </pic:pic>
                    </a:graphicData>
                  </a:graphic>
                </wp:inline>
              </w:drawing>
            </w:r>
          </w:p>
        </w:tc>
        <w:tc>
          <w:tcPr>
            <w:tcW w:w="3464" w:type="dxa"/>
          </w:tcPr>
          <w:p w:rsidR="00286723" w:rsidRDefault="0050393D" w:rsidP="0050393D">
            <w:pPr>
              <w:pStyle w:val="Caption"/>
              <w:spacing w:line="360" w:lineRule="auto"/>
              <w:rPr>
                <w:rFonts w:ascii="Perpetua" w:hAnsi="Perpetua"/>
                <w:b w:val="0"/>
                <w:color w:val="auto"/>
                <w:sz w:val="20"/>
              </w:rPr>
            </w:pPr>
            <w:bookmarkStart w:id="119" w:name="_Toc263508999"/>
            <w:bookmarkStart w:id="120" w:name="_Toc263510786"/>
            <w:bookmarkStart w:id="121" w:name="_Toc263495733"/>
            <w:bookmarkStart w:id="122" w:name="_Toc244168217"/>
            <w:bookmarkStart w:id="123" w:name="_Toc244437507"/>
            <w:bookmarkStart w:id="124" w:name="_Toc244508202"/>
            <w:bookmarkStart w:id="125" w:name="_Toc244577264"/>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2</w:t>
            </w:r>
            <w:r w:rsidR="00DF2DF8" w:rsidRPr="0050393D">
              <w:rPr>
                <w:rFonts w:ascii="Perpetua" w:hAnsi="Perpetua"/>
                <w:b w:val="0"/>
                <w:color w:val="auto"/>
                <w:sz w:val="20"/>
              </w:rPr>
              <w:fldChar w:fldCharType="end"/>
            </w:r>
            <w:r w:rsidRPr="0050393D">
              <w:rPr>
                <w:rFonts w:ascii="Perpetua" w:hAnsi="Perpetua"/>
                <w:b w:val="0"/>
                <w:color w:val="auto"/>
                <w:sz w:val="20"/>
              </w:rPr>
              <w:t xml:space="preserve">: </w:t>
            </w:r>
            <w:r w:rsidR="00286723">
              <w:rPr>
                <w:rFonts w:ascii="Perpetua" w:hAnsi="Perpetua"/>
                <w:b w:val="0"/>
                <w:color w:val="auto"/>
                <w:sz w:val="20"/>
              </w:rPr>
              <w:t>Photograph of a</w:t>
            </w:r>
            <w:r w:rsidRPr="0050393D">
              <w:rPr>
                <w:rFonts w:ascii="Perpetua" w:hAnsi="Perpetua"/>
                <w:b w:val="0"/>
                <w:color w:val="auto"/>
                <w:sz w:val="20"/>
              </w:rPr>
              <w:t>uthor with Esau du Plessis</w:t>
            </w:r>
            <w:bookmarkEnd w:id="119"/>
            <w:bookmarkEnd w:id="120"/>
            <w:r w:rsidRPr="0050393D">
              <w:rPr>
                <w:rFonts w:ascii="Perpetua" w:hAnsi="Perpetua"/>
                <w:b w:val="0"/>
                <w:color w:val="auto"/>
                <w:sz w:val="20"/>
              </w:rPr>
              <w:t xml:space="preserve"> </w:t>
            </w:r>
          </w:p>
          <w:p w:rsidR="0050393D" w:rsidRPr="00286723" w:rsidRDefault="00286723" w:rsidP="00286723">
            <w:pPr>
              <w:rPr>
                <w:rFonts w:ascii="Perpetua" w:hAnsi="Perpetua"/>
                <w:sz w:val="20"/>
              </w:rPr>
            </w:pPr>
            <w:r w:rsidRPr="00286723">
              <w:rPr>
                <w:rFonts w:ascii="Perpetua" w:hAnsi="Perpetua"/>
                <w:sz w:val="20"/>
              </w:rPr>
              <w:t xml:space="preserve">Taken at du Plessis’ </w:t>
            </w:r>
            <w:r w:rsidR="0050393D" w:rsidRPr="00286723">
              <w:rPr>
                <w:rFonts w:ascii="Perpetua" w:hAnsi="Perpetua"/>
                <w:sz w:val="20"/>
              </w:rPr>
              <w:t>home in Rydsgaard, Sweden (January, 2011)</w:t>
            </w:r>
            <w:bookmarkEnd w:id="121"/>
            <w:r w:rsidRPr="00286723">
              <w:rPr>
                <w:rFonts w:ascii="Perpetua" w:hAnsi="Perpetua"/>
                <w:sz w:val="20"/>
              </w:rPr>
              <w:t>, demonstrating dialogic ethnography in situ.</w:t>
            </w:r>
          </w:p>
          <w:p w:rsidR="0050393D" w:rsidRPr="0050393D" w:rsidRDefault="0050393D" w:rsidP="0050393D">
            <w:pPr>
              <w:pStyle w:val="Caption"/>
              <w:rPr>
                <w:rFonts w:ascii="Perpetua" w:hAnsi="Perpetua" w:cs="Times New Roman"/>
                <w:b w:val="0"/>
                <w:color w:val="auto"/>
                <w:sz w:val="20"/>
                <w:szCs w:val="24"/>
              </w:rPr>
            </w:pPr>
          </w:p>
          <w:bookmarkEnd w:id="122"/>
          <w:bookmarkEnd w:id="123"/>
          <w:bookmarkEnd w:id="124"/>
          <w:bookmarkEnd w:id="125"/>
          <w:p w:rsidR="00BB49E2" w:rsidRPr="0050393D" w:rsidRDefault="00BB49E2" w:rsidP="0050393D">
            <w:pPr>
              <w:pStyle w:val="Caption"/>
              <w:spacing w:line="360" w:lineRule="auto"/>
              <w:rPr>
                <w:rFonts w:ascii="Perpetua" w:hAnsi="Perpetua"/>
                <w:b w:val="0"/>
                <w:color w:val="auto"/>
                <w:sz w:val="20"/>
                <w:szCs w:val="24"/>
              </w:rPr>
            </w:pPr>
          </w:p>
        </w:tc>
      </w:tr>
    </w:tbl>
    <w:p w:rsidR="00BB49E2"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Through accepting authorial vulnerability and imperfect control as a researcher from the outset of my relationship with du Plessis, </w:t>
      </w:r>
      <w:r w:rsidR="00417E04">
        <w:rPr>
          <w:rFonts w:ascii="Garamond" w:hAnsi="Garamond" w:cs="Times New Roman"/>
          <w:sz w:val="24"/>
          <w:szCs w:val="24"/>
        </w:rPr>
        <w:t>research on the BOA has been le</w:t>
      </w:r>
      <w:r>
        <w:rPr>
          <w:rFonts w:ascii="Garamond" w:hAnsi="Garamond" w:cs="Times New Roman"/>
          <w:sz w:val="24"/>
          <w:szCs w:val="24"/>
        </w:rPr>
        <w:t xml:space="preserve">nt considerable depth, empirical detail and political complexity. I have been able to avoid an authoritative representation of du Plessis as an 'other', although referential frames or types common to anti-apartheid writing such as 'South African exile' are </w:t>
      </w:r>
      <w:r w:rsidRPr="00D74242">
        <w:rPr>
          <w:rFonts w:ascii="Garamond" w:hAnsi="Garamond" w:cs="Times New Roman"/>
          <w:sz w:val="24"/>
          <w:szCs w:val="24"/>
        </w:rPr>
        <w:t xml:space="preserve">used (Clifford, 1983; </w:t>
      </w:r>
      <w:r w:rsidRPr="00D74242">
        <w:rPr>
          <w:rFonts w:ascii="Garamond" w:hAnsi="Garamond"/>
          <w:sz w:val="24"/>
          <w:szCs w:val="24"/>
          <w:lang w:val="en-US"/>
        </w:rPr>
        <w:t>Thörn, 2006)</w:t>
      </w:r>
      <w:r w:rsidRPr="00D74242">
        <w:rPr>
          <w:rFonts w:ascii="Garamond" w:hAnsi="Garamond" w:cs="Times New Roman"/>
          <w:sz w:val="24"/>
          <w:szCs w:val="24"/>
        </w:rPr>
        <w:t>.</w:t>
      </w:r>
      <w:r>
        <w:rPr>
          <w:rFonts w:ascii="Garamond" w:hAnsi="Garamond" w:cs="Times New Roman"/>
          <w:sz w:val="24"/>
          <w:szCs w:val="24"/>
        </w:rPr>
        <w:t xml:space="preserve"> Du Plessis has provided access to his personal archive of the organization, and I have recorded over thirty hours of testimony and witness on a range of topics related to Dutch anti-apartheid, political exile and antiracism. Oral history in this research offers the potential to disrupt official narratives of anti-apartheid and act as </w:t>
      </w:r>
      <w:r>
        <w:rPr>
          <w:rFonts w:ascii="Garamond" w:hAnsi="Garamond" w:cs="Times New Roman"/>
          <w:sz w:val="24"/>
          <w:szCs w:val="24"/>
        </w:rPr>
        <w:lastRenderedPageBreak/>
        <w:t xml:space="preserve">a reminder that places and events of the past were lived, personal and emotional (Riley </w:t>
      </w:r>
      <w:r w:rsidR="00F152DB">
        <w:rPr>
          <w:rFonts w:ascii="Garamond" w:hAnsi="Garamond" w:cs="Times New Roman"/>
          <w:sz w:val="24"/>
          <w:szCs w:val="24"/>
        </w:rPr>
        <w:t>and</w:t>
      </w:r>
      <w:r>
        <w:rPr>
          <w:rFonts w:ascii="Garamond" w:hAnsi="Garamond" w:cs="Times New Roman"/>
          <w:sz w:val="24"/>
          <w:szCs w:val="24"/>
        </w:rPr>
        <w:t xml:space="preserve"> Harvey, 2007).</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D819BA"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Separate interviews were recorded with Ro</w:t>
      </w:r>
      <w:r w:rsidR="00417E04">
        <w:rPr>
          <w:rFonts w:ascii="Garamond" w:hAnsi="Garamond" w:cs="Times New Roman"/>
          <w:sz w:val="24"/>
          <w:szCs w:val="24"/>
        </w:rPr>
        <w:t>b van der Aa, Theo Veerman, Lioe</w:t>
      </w:r>
      <w:r>
        <w:rPr>
          <w:rFonts w:ascii="Garamond" w:hAnsi="Garamond" w:cs="Times New Roman"/>
          <w:sz w:val="24"/>
          <w:szCs w:val="24"/>
        </w:rPr>
        <w:t xml:space="preserve"> Tan, and Hans Beerends in Leiden and Amsterdam during January 2011. These in-depth interviews provided detailed accounts of the BOA's role in anti-apartheid, and permit key insights into different subjectivities and occasional conflicting interpretations to du Plessis' narrative. The digital archive at the IISH has proven an invaluable resource for images and campaign ephemera, and through the assistance of head-archivist Julie Duchatel at the Centre Europe Tiers Monde (CETIM) archive in Berne, I have benefited from access to minutes meetings and private letters between the BOA and other anti-apartheid activists involved in the transnational campaign against white migration to South Africa (see Chapter Six). These letters composed by leading activists and organizers from national anti-apartheid movements and supra-national organizations (including Abdul Minty, Kader </w:t>
      </w:r>
      <w:r w:rsidRPr="00F06187">
        <w:rPr>
          <w:rFonts w:ascii="Garamond" w:hAnsi="Garamond" w:cs="Times New Roman"/>
          <w:sz w:val="24"/>
          <w:szCs w:val="24"/>
        </w:rPr>
        <w:t xml:space="preserve">and Louise Asmal, </w:t>
      </w:r>
      <w:r>
        <w:rPr>
          <w:rFonts w:ascii="Garamond" w:hAnsi="Garamond" w:cs="Times New Roman"/>
          <w:sz w:val="24"/>
          <w:szCs w:val="24"/>
        </w:rPr>
        <w:t xml:space="preserve">and </w:t>
      </w:r>
      <w:r w:rsidRPr="00F06187">
        <w:rPr>
          <w:rFonts w:ascii="Garamond" w:hAnsi="Garamond" w:cs="Times New Roman"/>
          <w:sz w:val="24"/>
          <w:szCs w:val="24"/>
        </w:rPr>
        <w:t>Gilbert Rist) offer fascinating insights to the BOA's role in transnational anti-apartheid.</w:t>
      </w:r>
      <w:r>
        <w:rPr>
          <w:rFonts w:ascii="Garamond" w:hAnsi="Garamond" w:cs="Times New Roman"/>
          <w:sz w:val="24"/>
          <w:szCs w:val="24"/>
        </w:rPr>
        <w:t xml:space="preserve"> </w:t>
      </w:r>
    </w:p>
    <w:p w:rsidR="00BB49E2" w:rsidRDefault="00BB49E2" w:rsidP="00BB49E2">
      <w:pPr>
        <w:autoSpaceDE w:val="0"/>
        <w:autoSpaceDN w:val="0"/>
        <w:adjustRightInd w:val="0"/>
        <w:spacing w:after="0" w:line="360" w:lineRule="auto"/>
        <w:jc w:val="both"/>
        <w:rPr>
          <w:rFonts w:ascii="Garamond" w:hAnsi="Garamond" w:cs="Times New Roman"/>
          <w:sz w:val="24"/>
          <w:szCs w:val="24"/>
        </w:rPr>
      </w:pPr>
    </w:p>
    <w:p w:rsidR="002049D4" w:rsidRDefault="00BB49E2" w:rsidP="003D1BF6">
      <w:pPr>
        <w:autoSpaceDE w:val="0"/>
        <w:autoSpaceDN w:val="0"/>
        <w:adjustRightInd w:val="0"/>
        <w:spacing w:after="0" w:line="360" w:lineRule="auto"/>
        <w:jc w:val="both"/>
        <w:rPr>
          <w:rFonts w:ascii="Garamond" w:hAnsi="Garamond"/>
          <w:sz w:val="24"/>
          <w:szCs w:val="24"/>
        </w:rPr>
      </w:pPr>
      <w:r>
        <w:rPr>
          <w:rFonts w:ascii="Garamond" w:hAnsi="Garamond"/>
          <w:sz w:val="24"/>
          <w:szCs w:val="24"/>
        </w:rPr>
        <w:t>Working from an initial process of identifying and interviewing a number of former BOA activists and reading their published scholarship (Roskam 1960; du Plessis, 1974; 2009), I participated in a dialogic ethnography with du Plessis over a three year period. This process identified continuities and contradictions between his testimony and archival materials, academic scholarship and in-depth interviews with other BOA activists and people involved in Dutch anti-apartheid. Consequently, research on the BOA has been lent breadth, depth and specific political imperatives. Most of the respondents involved in Dutch anti-apartheid spoke fluent English, but analysing campaign material and newspaper reports has meant translating a number of texts from Dutch and German to English.</w:t>
      </w:r>
      <w:r>
        <w:rPr>
          <w:rStyle w:val="FootnoteReference"/>
          <w:rFonts w:ascii="Garamond" w:hAnsi="Garamond"/>
          <w:sz w:val="24"/>
          <w:szCs w:val="24"/>
        </w:rPr>
        <w:footnoteReference w:id="29"/>
      </w:r>
      <w:r w:rsidR="003D1BF6">
        <w:rPr>
          <w:rFonts w:ascii="Garamond" w:hAnsi="Garamond"/>
          <w:sz w:val="24"/>
          <w:szCs w:val="24"/>
        </w:rPr>
        <w:t xml:space="preserve"> </w:t>
      </w:r>
      <w:r w:rsidRPr="00E53286">
        <w:rPr>
          <w:rFonts w:ascii="Garamond" w:hAnsi="Garamond"/>
          <w:sz w:val="24"/>
          <w:szCs w:val="24"/>
        </w:rPr>
        <w:t>As the culmination of archival and ethnographic methods of research (at t</w:t>
      </w:r>
      <w:r>
        <w:rPr>
          <w:rFonts w:ascii="Garamond" w:hAnsi="Garamond"/>
          <w:sz w:val="24"/>
          <w:szCs w:val="24"/>
        </w:rPr>
        <w:t>imes used together), my project provides</w:t>
      </w:r>
      <w:r w:rsidRPr="00E53286">
        <w:rPr>
          <w:rFonts w:ascii="Garamond" w:hAnsi="Garamond"/>
          <w:sz w:val="24"/>
          <w:szCs w:val="24"/>
        </w:rPr>
        <w:t xml:space="preserve"> the first comprehensive study of the BOA</w:t>
      </w:r>
      <w:r>
        <w:rPr>
          <w:rFonts w:ascii="Garamond" w:hAnsi="Garamond"/>
          <w:sz w:val="24"/>
          <w:szCs w:val="24"/>
        </w:rPr>
        <w:t>,</w:t>
      </w:r>
      <w:r w:rsidRPr="00E53286">
        <w:rPr>
          <w:rFonts w:ascii="Garamond" w:hAnsi="Garamond"/>
          <w:sz w:val="24"/>
          <w:szCs w:val="24"/>
        </w:rPr>
        <w:t xml:space="preserve"> and the first to draw from </w:t>
      </w:r>
      <w:r>
        <w:rPr>
          <w:rFonts w:ascii="Garamond" w:hAnsi="Garamond"/>
          <w:sz w:val="24"/>
          <w:szCs w:val="24"/>
        </w:rPr>
        <w:t xml:space="preserve">in-depth </w:t>
      </w:r>
      <w:r w:rsidRPr="00E53286">
        <w:rPr>
          <w:rFonts w:ascii="Garamond" w:hAnsi="Garamond"/>
          <w:sz w:val="24"/>
          <w:szCs w:val="24"/>
        </w:rPr>
        <w:t xml:space="preserve">interviews with </w:t>
      </w:r>
      <w:r>
        <w:rPr>
          <w:rFonts w:ascii="Garamond" w:hAnsi="Garamond"/>
          <w:sz w:val="24"/>
          <w:szCs w:val="24"/>
        </w:rPr>
        <w:t xml:space="preserve">key </w:t>
      </w:r>
      <w:r w:rsidRPr="00E53286">
        <w:rPr>
          <w:rFonts w:ascii="Garamond" w:hAnsi="Garamond"/>
          <w:sz w:val="24"/>
          <w:szCs w:val="24"/>
        </w:rPr>
        <w:t>former member</w:t>
      </w:r>
      <w:r>
        <w:rPr>
          <w:rFonts w:ascii="Garamond" w:hAnsi="Garamond"/>
          <w:sz w:val="24"/>
          <w:szCs w:val="24"/>
        </w:rPr>
        <w:t>s.</w:t>
      </w:r>
      <w:r w:rsidRPr="00E53286">
        <w:rPr>
          <w:rStyle w:val="FootnoteReference"/>
          <w:rFonts w:ascii="Garamond" w:hAnsi="Garamond"/>
          <w:sz w:val="24"/>
          <w:szCs w:val="24"/>
        </w:rPr>
        <w:footnoteReference w:id="30"/>
      </w:r>
    </w:p>
    <w:p w:rsidR="00BB49E2" w:rsidRDefault="00BB49E2" w:rsidP="00BB49E2">
      <w:pPr>
        <w:autoSpaceDE w:val="0"/>
        <w:autoSpaceDN w:val="0"/>
        <w:adjustRightInd w:val="0"/>
        <w:spacing w:after="0" w:line="360" w:lineRule="auto"/>
        <w:rPr>
          <w:rFonts w:ascii="Garamond" w:hAnsi="Garamond"/>
          <w:sz w:val="24"/>
          <w:szCs w:val="24"/>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2"/>
        <w:gridCol w:w="2443"/>
        <w:gridCol w:w="2115"/>
        <w:gridCol w:w="2214"/>
      </w:tblGrid>
      <w:tr w:rsidR="00BB49E2" w:rsidRPr="002049D4">
        <w:trPr>
          <w:jc w:val="center"/>
        </w:trPr>
        <w:tc>
          <w:tcPr>
            <w:tcW w:w="1740" w:type="dxa"/>
          </w:tcPr>
          <w:p w:rsidR="00BB49E2" w:rsidRPr="003D1BF6" w:rsidRDefault="00BB49E2" w:rsidP="001B6D85">
            <w:pPr>
              <w:autoSpaceDE w:val="0"/>
              <w:autoSpaceDN w:val="0"/>
              <w:adjustRightInd w:val="0"/>
              <w:spacing w:after="0" w:line="360" w:lineRule="auto"/>
              <w:jc w:val="center"/>
              <w:rPr>
                <w:rFonts w:ascii="Garamond" w:hAnsi="Garamond"/>
                <w:b/>
                <w:szCs w:val="20"/>
              </w:rPr>
            </w:pPr>
            <w:r w:rsidRPr="003D1BF6">
              <w:rPr>
                <w:rFonts w:ascii="Garamond" w:hAnsi="Garamond"/>
                <w:b/>
                <w:szCs w:val="20"/>
              </w:rPr>
              <w:t>Name</w:t>
            </w:r>
          </w:p>
        </w:tc>
        <w:tc>
          <w:tcPr>
            <w:tcW w:w="2655" w:type="dxa"/>
          </w:tcPr>
          <w:p w:rsidR="00BB49E2" w:rsidRPr="003D1BF6" w:rsidRDefault="00BB49E2" w:rsidP="001B6D85">
            <w:pPr>
              <w:autoSpaceDE w:val="0"/>
              <w:autoSpaceDN w:val="0"/>
              <w:adjustRightInd w:val="0"/>
              <w:spacing w:after="0" w:line="360" w:lineRule="auto"/>
              <w:jc w:val="center"/>
              <w:rPr>
                <w:rFonts w:ascii="Garamond" w:hAnsi="Garamond"/>
                <w:b/>
                <w:szCs w:val="20"/>
              </w:rPr>
            </w:pPr>
            <w:r w:rsidRPr="003D1BF6">
              <w:rPr>
                <w:rFonts w:ascii="Garamond" w:hAnsi="Garamond"/>
                <w:b/>
                <w:szCs w:val="20"/>
              </w:rPr>
              <w:t>Position</w:t>
            </w:r>
          </w:p>
        </w:tc>
        <w:tc>
          <w:tcPr>
            <w:tcW w:w="2268" w:type="dxa"/>
          </w:tcPr>
          <w:p w:rsidR="00BB49E2" w:rsidRPr="003D1BF6" w:rsidRDefault="00BB49E2" w:rsidP="001B6D85">
            <w:pPr>
              <w:autoSpaceDE w:val="0"/>
              <w:autoSpaceDN w:val="0"/>
              <w:adjustRightInd w:val="0"/>
              <w:spacing w:after="0" w:line="360" w:lineRule="auto"/>
              <w:jc w:val="center"/>
              <w:rPr>
                <w:rFonts w:ascii="Garamond" w:hAnsi="Garamond"/>
                <w:b/>
                <w:szCs w:val="20"/>
              </w:rPr>
            </w:pPr>
            <w:r w:rsidRPr="003D1BF6">
              <w:rPr>
                <w:rFonts w:ascii="Garamond" w:hAnsi="Garamond"/>
                <w:b/>
                <w:szCs w:val="20"/>
              </w:rPr>
              <w:t>Location</w:t>
            </w:r>
          </w:p>
        </w:tc>
        <w:tc>
          <w:tcPr>
            <w:tcW w:w="2409" w:type="dxa"/>
          </w:tcPr>
          <w:p w:rsidR="00BB49E2" w:rsidRPr="003D1BF6" w:rsidRDefault="00BB49E2" w:rsidP="001B6D85">
            <w:pPr>
              <w:autoSpaceDE w:val="0"/>
              <w:autoSpaceDN w:val="0"/>
              <w:adjustRightInd w:val="0"/>
              <w:spacing w:after="0" w:line="360" w:lineRule="auto"/>
              <w:jc w:val="center"/>
              <w:rPr>
                <w:rFonts w:ascii="Garamond" w:hAnsi="Garamond"/>
                <w:b/>
                <w:szCs w:val="20"/>
              </w:rPr>
            </w:pPr>
            <w:r w:rsidRPr="003D1BF6">
              <w:rPr>
                <w:rFonts w:ascii="Garamond" w:hAnsi="Garamond"/>
                <w:b/>
                <w:szCs w:val="20"/>
              </w:rPr>
              <w:t>Interview date</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20"/>
              </w:rPr>
            </w:pPr>
            <w:r w:rsidRPr="002049D4">
              <w:rPr>
                <w:rFonts w:ascii="Garamond" w:hAnsi="Garamond"/>
                <w:szCs w:val="20"/>
              </w:rPr>
              <w:t>Ann-Marie du Plessis</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20"/>
              </w:rPr>
            </w:pPr>
            <w:r w:rsidRPr="002049D4">
              <w:rPr>
                <w:rFonts w:ascii="Garamond" w:hAnsi="Garamond"/>
                <w:szCs w:val="20"/>
              </w:rPr>
              <w:t>BOA activist and partner to Esau du Plessis</w:t>
            </w:r>
          </w:p>
        </w:tc>
        <w:tc>
          <w:tcPr>
            <w:tcW w:w="2268" w:type="dxa"/>
          </w:tcPr>
          <w:p w:rsidR="00BB49E2" w:rsidRPr="002049D4" w:rsidRDefault="00BB49E2" w:rsidP="001B6D85">
            <w:pPr>
              <w:autoSpaceDE w:val="0"/>
              <w:autoSpaceDN w:val="0"/>
              <w:adjustRightInd w:val="0"/>
              <w:spacing w:after="0" w:line="360" w:lineRule="auto"/>
              <w:rPr>
                <w:rFonts w:ascii="Garamond" w:hAnsi="Garamond"/>
                <w:szCs w:val="20"/>
              </w:rPr>
            </w:pPr>
            <w:r w:rsidRPr="002049D4">
              <w:rPr>
                <w:rFonts w:ascii="Garamond" w:hAnsi="Garamond"/>
                <w:szCs w:val="20"/>
              </w:rPr>
              <w:t>Rydsgaard, Sweden</w:t>
            </w:r>
          </w:p>
        </w:tc>
        <w:tc>
          <w:tcPr>
            <w:tcW w:w="2409" w:type="dxa"/>
          </w:tcPr>
          <w:p w:rsidR="00BB49E2" w:rsidRPr="002049D4" w:rsidRDefault="00BB49E2" w:rsidP="001B6D85">
            <w:pPr>
              <w:autoSpaceDE w:val="0"/>
              <w:autoSpaceDN w:val="0"/>
              <w:adjustRightInd w:val="0"/>
              <w:spacing w:after="0" w:line="360" w:lineRule="auto"/>
              <w:rPr>
                <w:rFonts w:ascii="Garamond" w:hAnsi="Garamond"/>
                <w:szCs w:val="20"/>
              </w:rPr>
            </w:pPr>
            <w:r w:rsidRPr="002049D4">
              <w:rPr>
                <w:rFonts w:ascii="Garamond" w:hAnsi="Garamond"/>
                <w:szCs w:val="20"/>
              </w:rPr>
              <w:t>9th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Esau du Plessis</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Leader of the BOA</w:t>
            </w:r>
          </w:p>
        </w:tc>
        <w:tc>
          <w:tcPr>
            <w:tcW w:w="2268"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Rydsgaard, Sweden</w:t>
            </w:r>
          </w:p>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Skype</w:t>
            </w:r>
          </w:p>
          <w:p w:rsidR="00BB49E2" w:rsidRPr="002049D4" w:rsidRDefault="00BB49E2" w:rsidP="001B6D85">
            <w:pPr>
              <w:autoSpaceDE w:val="0"/>
              <w:autoSpaceDN w:val="0"/>
              <w:adjustRightInd w:val="0"/>
              <w:spacing w:after="0" w:line="360" w:lineRule="auto"/>
              <w:rPr>
                <w:rFonts w:ascii="Garamond" w:hAnsi="Garamond"/>
                <w:szCs w:val="18"/>
              </w:rPr>
            </w:pPr>
          </w:p>
          <w:p w:rsidR="00BB49E2" w:rsidRPr="002049D4" w:rsidRDefault="00BB49E2" w:rsidP="001B6D85">
            <w:pPr>
              <w:autoSpaceDE w:val="0"/>
              <w:autoSpaceDN w:val="0"/>
              <w:adjustRightInd w:val="0"/>
              <w:spacing w:after="0" w:line="360" w:lineRule="auto"/>
              <w:rPr>
                <w:rFonts w:ascii="Garamond" w:hAnsi="Garamond"/>
                <w:szCs w:val="18"/>
              </w:rPr>
            </w:pPr>
          </w:p>
        </w:tc>
        <w:tc>
          <w:tcPr>
            <w:tcW w:w="2409" w:type="dxa"/>
          </w:tcPr>
          <w:p w:rsidR="00BB49E2" w:rsidRPr="002049D4" w:rsidRDefault="00BB49E2" w:rsidP="001B6D85">
            <w:pPr>
              <w:autoSpaceDE w:val="0"/>
              <w:autoSpaceDN w:val="0"/>
              <w:adjustRightInd w:val="0"/>
              <w:spacing w:after="0" w:line="360" w:lineRule="auto"/>
              <w:rPr>
                <w:rFonts w:ascii="Garamond" w:hAnsi="Garamond"/>
                <w:szCs w:val="20"/>
              </w:rPr>
            </w:pPr>
            <w:r w:rsidRPr="002049D4">
              <w:rPr>
                <w:rFonts w:ascii="Garamond" w:hAnsi="Garamond"/>
                <w:szCs w:val="20"/>
              </w:rPr>
              <w:t>8th-11 January 2011</w:t>
            </w:r>
          </w:p>
          <w:p w:rsidR="00BB49E2" w:rsidRPr="002049D4" w:rsidRDefault="00BB49E2" w:rsidP="001B6D85">
            <w:pPr>
              <w:autoSpaceDE w:val="0"/>
              <w:autoSpaceDN w:val="0"/>
              <w:adjustRightInd w:val="0"/>
              <w:spacing w:after="0" w:line="360" w:lineRule="auto"/>
              <w:rPr>
                <w:rFonts w:ascii="Garamond" w:hAnsi="Garamond"/>
                <w:szCs w:val="24"/>
              </w:rPr>
            </w:pPr>
            <w:r w:rsidRPr="002049D4">
              <w:rPr>
                <w:rFonts w:ascii="Garamond" w:hAnsi="Garamond"/>
                <w:szCs w:val="20"/>
              </w:rPr>
              <w:t>Various dates between January 2011 and September 2013</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Rob van der Aa</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Graphic designer for BOA</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Leiden, Holland</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15th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Jit Peters</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Lawyer for the BOA until 1974</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Various dates</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Theo Veerman</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BOA secretary</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Leiden, Holland</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15th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Lioe Tan</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 xml:space="preserve">Inspan Girl </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Leiden, Holland</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13th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Professor Ann-Marie Mol</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 xml:space="preserve">Dutch academic </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Amsterdam, Holland</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14th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Hans Beerends</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Leader of the Dutch Third World Shops during the 1970s</w:t>
            </w:r>
          </w:p>
        </w:tc>
        <w:tc>
          <w:tcPr>
            <w:tcW w:w="2268" w:type="dxa"/>
          </w:tcPr>
          <w:p w:rsidR="00BB49E2" w:rsidRPr="002049D4" w:rsidRDefault="00417E04" w:rsidP="001B6D85">
            <w:pPr>
              <w:autoSpaceDE w:val="0"/>
              <w:autoSpaceDN w:val="0"/>
              <w:adjustRightInd w:val="0"/>
              <w:spacing w:after="0" w:line="360" w:lineRule="auto"/>
              <w:rPr>
                <w:rFonts w:ascii="Garamond" w:hAnsi="Garamond"/>
              </w:rPr>
            </w:pPr>
            <w:r>
              <w:rPr>
                <w:rFonts w:ascii="Garamond" w:hAnsi="Garamond"/>
              </w:rPr>
              <w:t>Amsterdam</w:t>
            </w:r>
            <w:r w:rsidR="00BB49E2" w:rsidRPr="002049D4">
              <w:rPr>
                <w:rFonts w:ascii="Garamond" w:hAnsi="Garamond"/>
              </w:rPr>
              <w:t>, Holland</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14th January 2011</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Professor Dan Ncayiyana</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South African Exile in Leiden in 1960s and 70s. Associate of du Plessis</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21st October 2010</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Professor Kenneth Grundy</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Researcher of Dutch anti-apartheid during 1973</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Various dates June 2013</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Kier Schuringa</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Lead archivist of anti-apartheid collection at IISH, Amsterdam.</w:t>
            </w:r>
          </w:p>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Former anti-apartheid activist</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Various dates October 2010</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Roeland Muskens</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Dutch academic researching anti-apartheid 1960-1990</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 xml:space="preserve">Various dates </w:t>
            </w:r>
          </w:p>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January 2013,</w:t>
            </w:r>
          </w:p>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June 2013</w:t>
            </w:r>
          </w:p>
        </w:tc>
      </w:tr>
      <w:tr w:rsidR="00BB49E2" w:rsidRPr="002049D4">
        <w:trPr>
          <w:jc w:val="center"/>
        </w:trPr>
        <w:tc>
          <w:tcPr>
            <w:tcW w:w="1740"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Peter Hain</w:t>
            </w:r>
          </w:p>
        </w:tc>
        <w:tc>
          <w:tcPr>
            <w:tcW w:w="2655" w:type="dxa"/>
          </w:tcPr>
          <w:p w:rsidR="00BB49E2" w:rsidRPr="002049D4" w:rsidRDefault="00BB49E2" w:rsidP="001B6D85">
            <w:pPr>
              <w:autoSpaceDE w:val="0"/>
              <w:autoSpaceDN w:val="0"/>
              <w:adjustRightInd w:val="0"/>
              <w:spacing w:after="0" w:line="360" w:lineRule="auto"/>
              <w:rPr>
                <w:rFonts w:ascii="Garamond" w:hAnsi="Garamond"/>
                <w:szCs w:val="18"/>
              </w:rPr>
            </w:pPr>
            <w:r w:rsidRPr="002049D4">
              <w:rPr>
                <w:rFonts w:ascii="Garamond" w:hAnsi="Garamond"/>
                <w:szCs w:val="18"/>
              </w:rPr>
              <w:t>Anti-apartheid boycott activist</w:t>
            </w:r>
          </w:p>
        </w:tc>
        <w:tc>
          <w:tcPr>
            <w:tcW w:w="2268"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Email</w:t>
            </w:r>
          </w:p>
        </w:tc>
        <w:tc>
          <w:tcPr>
            <w:tcW w:w="2409" w:type="dxa"/>
          </w:tcPr>
          <w:p w:rsidR="00BB49E2" w:rsidRPr="002049D4" w:rsidRDefault="00BB49E2" w:rsidP="001B6D85">
            <w:pPr>
              <w:autoSpaceDE w:val="0"/>
              <w:autoSpaceDN w:val="0"/>
              <w:adjustRightInd w:val="0"/>
              <w:spacing w:after="0" w:line="360" w:lineRule="auto"/>
              <w:rPr>
                <w:rFonts w:ascii="Garamond" w:hAnsi="Garamond"/>
              </w:rPr>
            </w:pPr>
            <w:r w:rsidRPr="002049D4">
              <w:rPr>
                <w:rFonts w:ascii="Garamond" w:hAnsi="Garamond"/>
              </w:rPr>
              <w:t>23rd October 2011</w:t>
            </w:r>
          </w:p>
        </w:tc>
      </w:tr>
    </w:tbl>
    <w:p w:rsidR="00BB49E2" w:rsidRDefault="00BB49E2" w:rsidP="00BB49E2">
      <w:pPr>
        <w:pStyle w:val="Caption"/>
        <w:spacing w:after="0" w:line="360" w:lineRule="auto"/>
        <w:jc w:val="center"/>
        <w:rPr>
          <w:rFonts w:ascii="Perpetua" w:hAnsi="Perpetua"/>
          <w:bCs w:val="0"/>
          <w:color w:val="auto"/>
          <w:sz w:val="24"/>
          <w:szCs w:val="24"/>
        </w:rPr>
      </w:pPr>
    </w:p>
    <w:p w:rsidR="00BB49E2" w:rsidRPr="00E8319A" w:rsidRDefault="00BB49E2" w:rsidP="00BB49E2">
      <w:pPr>
        <w:pStyle w:val="Caption"/>
        <w:spacing w:after="0" w:line="360" w:lineRule="auto"/>
        <w:jc w:val="center"/>
        <w:rPr>
          <w:rFonts w:ascii="Perpetua" w:hAnsi="Perpetua"/>
          <w:b w:val="0"/>
          <w:color w:val="auto"/>
          <w:sz w:val="20"/>
          <w:szCs w:val="24"/>
        </w:rPr>
      </w:pPr>
      <w:bookmarkStart w:id="126" w:name="_Toc244168194"/>
      <w:bookmarkStart w:id="127" w:name="_Toc244578423"/>
      <w:r w:rsidRPr="00E8319A">
        <w:rPr>
          <w:rFonts w:ascii="Perpetua" w:hAnsi="Perpetua"/>
          <w:color w:val="auto"/>
          <w:sz w:val="20"/>
        </w:rPr>
        <w:t xml:space="preserve">Table </w:t>
      </w:r>
      <w:r w:rsidR="00DF2DF8" w:rsidRPr="00E8319A">
        <w:rPr>
          <w:rFonts w:ascii="Perpetua" w:hAnsi="Perpetua"/>
          <w:color w:val="auto"/>
          <w:sz w:val="20"/>
        </w:rPr>
        <w:fldChar w:fldCharType="begin"/>
      </w:r>
      <w:r w:rsidRPr="00E8319A">
        <w:rPr>
          <w:rFonts w:ascii="Perpetua" w:hAnsi="Perpetua"/>
          <w:color w:val="auto"/>
          <w:sz w:val="20"/>
        </w:rPr>
        <w:instrText xml:space="preserve"> SEQ Table \* ARABIC </w:instrText>
      </w:r>
      <w:r w:rsidR="00DF2DF8" w:rsidRPr="00E8319A">
        <w:rPr>
          <w:rFonts w:ascii="Perpetua" w:hAnsi="Perpetua"/>
          <w:color w:val="auto"/>
          <w:sz w:val="20"/>
        </w:rPr>
        <w:fldChar w:fldCharType="separate"/>
      </w:r>
      <w:r w:rsidR="002B3E92">
        <w:rPr>
          <w:rFonts w:ascii="Perpetua" w:hAnsi="Perpetua"/>
          <w:noProof/>
          <w:color w:val="auto"/>
          <w:sz w:val="20"/>
        </w:rPr>
        <w:t>2</w:t>
      </w:r>
      <w:r w:rsidR="00DF2DF8" w:rsidRPr="00E8319A">
        <w:rPr>
          <w:rFonts w:ascii="Perpetua" w:hAnsi="Perpetua"/>
          <w:color w:val="auto"/>
          <w:sz w:val="20"/>
        </w:rPr>
        <w:fldChar w:fldCharType="end"/>
      </w:r>
      <w:r w:rsidRPr="00E8319A">
        <w:rPr>
          <w:rFonts w:ascii="Perpetua" w:hAnsi="Perpetua"/>
          <w:color w:val="auto"/>
          <w:sz w:val="20"/>
        </w:rPr>
        <w:t>:</w:t>
      </w:r>
      <w:r w:rsidRPr="00E8319A">
        <w:rPr>
          <w:rFonts w:ascii="Perpetua" w:hAnsi="Perpetua"/>
          <w:b w:val="0"/>
          <w:color w:val="auto"/>
          <w:sz w:val="20"/>
          <w:szCs w:val="24"/>
        </w:rPr>
        <w:t xml:space="preserve"> BOA interviews: names, dates and locations.</w:t>
      </w:r>
      <w:bookmarkEnd w:id="126"/>
      <w:bookmarkEnd w:id="127"/>
    </w:p>
    <w:p w:rsidR="00BB49E2" w:rsidRDefault="00BB49E2" w:rsidP="00BB49E2">
      <w:pPr>
        <w:autoSpaceDE w:val="0"/>
        <w:autoSpaceDN w:val="0"/>
        <w:adjustRightInd w:val="0"/>
        <w:spacing w:after="0" w:line="360" w:lineRule="auto"/>
        <w:rPr>
          <w:rFonts w:ascii="Perpetua" w:hAnsi="Perpetua"/>
        </w:rPr>
      </w:pPr>
    </w:p>
    <w:p w:rsidR="00BB49E2" w:rsidRDefault="00BB49E2" w:rsidP="00BB49E2">
      <w:pPr>
        <w:autoSpaceDE w:val="0"/>
        <w:autoSpaceDN w:val="0"/>
        <w:adjustRightInd w:val="0"/>
        <w:spacing w:after="0" w:line="360" w:lineRule="auto"/>
        <w:rPr>
          <w:rFonts w:ascii="Perpetua" w:hAnsi="Perpetua"/>
        </w:rPr>
      </w:pPr>
    </w:p>
    <w:p w:rsidR="00BB49E2" w:rsidRPr="00E511DF" w:rsidRDefault="00BB49E2" w:rsidP="00BB49E2">
      <w:pPr>
        <w:autoSpaceDE w:val="0"/>
        <w:autoSpaceDN w:val="0"/>
        <w:adjustRightInd w:val="0"/>
        <w:spacing w:after="0" w:line="360" w:lineRule="auto"/>
        <w:rPr>
          <w:rFonts w:ascii="Perpetua" w:hAnsi="Perpet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22"/>
      </w:tblGrid>
      <w:tr w:rsidR="00BB49E2">
        <w:trPr>
          <w:jc w:val="center"/>
        </w:trPr>
        <w:tc>
          <w:tcPr>
            <w:tcW w:w="9242" w:type="dxa"/>
          </w:tcPr>
          <w:p w:rsidR="00BB49E2" w:rsidRPr="003D1BF6" w:rsidRDefault="00BB49E2" w:rsidP="00BB49E2">
            <w:pPr>
              <w:jc w:val="center"/>
              <w:rPr>
                <w:b/>
                <w:sz w:val="20"/>
                <w:szCs w:val="20"/>
              </w:rPr>
            </w:pPr>
            <w:r w:rsidRPr="003D1BF6">
              <w:rPr>
                <w:b/>
                <w:sz w:val="20"/>
                <w:szCs w:val="20"/>
              </w:rPr>
              <w:t>Three day interview theme structure for 8th-10th January 2011</w:t>
            </w:r>
          </w:p>
          <w:p w:rsidR="00BB49E2" w:rsidRPr="002049D4" w:rsidRDefault="00BB49E2" w:rsidP="00BB49E2">
            <w:pPr>
              <w:rPr>
                <w:i/>
                <w:sz w:val="20"/>
                <w:szCs w:val="20"/>
              </w:rPr>
            </w:pPr>
            <w:r w:rsidRPr="002049D4">
              <w:rPr>
                <w:i/>
                <w:sz w:val="20"/>
                <w:szCs w:val="20"/>
              </w:rPr>
              <w:t>Dialogic, recorded on Dictaphone.</w:t>
            </w:r>
          </w:p>
          <w:p w:rsidR="00BB49E2" w:rsidRPr="002049D4" w:rsidRDefault="00BB49E2" w:rsidP="00BB49E2">
            <w:pPr>
              <w:rPr>
                <w:i/>
                <w:sz w:val="20"/>
                <w:szCs w:val="20"/>
              </w:rPr>
            </w:pPr>
            <w:r w:rsidRPr="002049D4">
              <w:rPr>
                <w:i/>
                <w:sz w:val="20"/>
                <w:szCs w:val="20"/>
              </w:rPr>
              <w:t>Five parts:</w:t>
            </w:r>
          </w:p>
          <w:p w:rsidR="00BB49E2" w:rsidRPr="002049D4" w:rsidRDefault="00BB49E2" w:rsidP="00BB49E2">
            <w:pPr>
              <w:pStyle w:val="ListParagraph"/>
              <w:numPr>
                <w:ilvl w:val="0"/>
                <w:numId w:val="1"/>
              </w:numPr>
              <w:spacing w:after="0" w:line="240" w:lineRule="auto"/>
              <w:rPr>
                <w:i/>
                <w:sz w:val="20"/>
                <w:szCs w:val="20"/>
              </w:rPr>
            </w:pPr>
            <w:r w:rsidRPr="002049D4">
              <w:rPr>
                <w:i/>
                <w:sz w:val="20"/>
                <w:szCs w:val="20"/>
              </w:rPr>
              <w:t>Introduction and overview</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7"/>
              </w:numPr>
              <w:spacing w:after="0" w:line="240" w:lineRule="auto"/>
              <w:rPr>
                <w:sz w:val="20"/>
                <w:szCs w:val="20"/>
              </w:rPr>
            </w:pPr>
            <w:r w:rsidRPr="002049D4">
              <w:rPr>
                <w:sz w:val="20"/>
                <w:szCs w:val="20"/>
              </w:rPr>
              <w:t>Key topics for discussion for you?</w:t>
            </w:r>
          </w:p>
          <w:p w:rsidR="00BB49E2" w:rsidRPr="002049D4" w:rsidRDefault="00BB49E2" w:rsidP="00BB49E2">
            <w:pPr>
              <w:pStyle w:val="ListParagraph"/>
              <w:ind w:left="1440"/>
              <w:rPr>
                <w:i/>
                <w:sz w:val="20"/>
                <w:szCs w:val="20"/>
              </w:rPr>
            </w:pPr>
          </w:p>
          <w:p w:rsidR="00BB49E2" w:rsidRPr="002049D4" w:rsidRDefault="00BB49E2" w:rsidP="00BB49E2">
            <w:pPr>
              <w:pStyle w:val="ListParagraph"/>
              <w:numPr>
                <w:ilvl w:val="0"/>
                <w:numId w:val="1"/>
              </w:numPr>
              <w:spacing w:after="0" w:line="240" w:lineRule="auto"/>
              <w:rPr>
                <w:i/>
                <w:sz w:val="20"/>
                <w:szCs w:val="20"/>
              </w:rPr>
            </w:pPr>
            <w:r w:rsidRPr="002049D4">
              <w:rPr>
                <w:i/>
                <w:sz w:val="20"/>
                <w:szCs w:val="20"/>
              </w:rPr>
              <w:t>Personal experiences and influences</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2"/>
              </w:numPr>
              <w:spacing w:after="0" w:line="240" w:lineRule="auto"/>
              <w:rPr>
                <w:sz w:val="20"/>
                <w:szCs w:val="20"/>
              </w:rPr>
            </w:pPr>
            <w:r w:rsidRPr="002049D4">
              <w:rPr>
                <w:sz w:val="20"/>
                <w:szCs w:val="20"/>
              </w:rPr>
              <w:t>Memories and histories of the Eastern Cape SA, 1938-59</w:t>
            </w:r>
          </w:p>
          <w:p w:rsidR="00BB49E2" w:rsidRPr="002049D4" w:rsidRDefault="00BB49E2" w:rsidP="00BB49E2">
            <w:pPr>
              <w:pStyle w:val="ListParagraph"/>
              <w:numPr>
                <w:ilvl w:val="0"/>
                <w:numId w:val="2"/>
              </w:numPr>
              <w:spacing w:after="0" w:line="240" w:lineRule="auto"/>
              <w:rPr>
                <w:sz w:val="20"/>
                <w:szCs w:val="20"/>
              </w:rPr>
            </w:pPr>
            <w:r w:rsidRPr="002049D4">
              <w:rPr>
                <w:sz w:val="20"/>
                <w:szCs w:val="20"/>
              </w:rPr>
              <w:t>The</w:t>
            </w:r>
            <w:r w:rsidR="00417E04">
              <w:rPr>
                <w:sz w:val="20"/>
                <w:szCs w:val="20"/>
              </w:rPr>
              <w:t xml:space="preserve"> UK and volunteering</w:t>
            </w:r>
            <w:r w:rsidRPr="002049D4">
              <w:rPr>
                <w:sz w:val="20"/>
                <w:szCs w:val="20"/>
              </w:rPr>
              <w:t xml:space="preserve"> for the AAM 1959-62 with Mazisi Kunene</w:t>
            </w:r>
          </w:p>
          <w:p w:rsidR="00BB49E2" w:rsidRPr="002049D4" w:rsidRDefault="00BB49E2" w:rsidP="00BB49E2">
            <w:pPr>
              <w:pStyle w:val="ListParagraph"/>
              <w:numPr>
                <w:ilvl w:val="0"/>
                <w:numId w:val="2"/>
              </w:numPr>
              <w:spacing w:after="0" w:line="240" w:lineRule="auto"/>
              <w:rPr>
                <w:sz w:val="20"/>
                <w:szCs w:val="20"/>
              </w:rPr>
            </w:pPr>
            <w:r w:rsidRPr="002049D4">
              <w:rPr>
                <w:sz w:val="20"/>
                <w:szCs w:val="20"/>
              </w:rPr>
              <w:t>Move to Holland in 1965</w:t>
            </w:r>
          </w:p>
          <w:p w:rsidR="00BB49E2" w:rsidRPr="002049D4" w:rsidRDefault="00BB49E2" w:rsidP="00BB49E2">
            <w:pPr>
              <w:pStyle w:val="ListParagraph"/>
              <w:numPr>
                <w:ilvl w:val="0"/>
                <w:numId w:val="2"/>
              </w:numPr>
              <w:spacing w:after="0" w:line="240" w:lineRule="auto"/>
              <w:rPr>
                <w:sz w:val="20"/>
                <w:szCs w:val="20"/>
              </w:rPr>
            </w:pPr>
            <w:r w:rsidRPr="002049D4">
              <w:rPr>
                <w:sz w:val="20"/>
                <w:szCs w:val="20"/>
              </w:rPr>
              <w:t>Awareness of other boycott campaigns (contemporary and historical)</w:t>
            </w:r>
          </w:p>
          <w:p w:rsidR="00BB49E2" w:rsidRPr="002049D4" w:rsidRDefault="00BB49E2" w:rsidP="00BB49E2">
            <w:pPr>
              <w:pStyle w:val="ListParagraph"/>
              <w:numPr>
                <w:ilvl w:val="0"/>
                <w:numId w:val="2"/>
              </w:numPr>
              <w:spacing w:after="0" w:line="240" w:lineRule="auto"/>
              <w:rPr>
                <w:sz w:val="20"/>
                <w:szCs w:val="20"/>
              </w:rPr>
            </w:pPr>
            <w:r w:rsidRPr="002049D4">
              <w:rPr>
                <w:sz w:val="20"/>
                <w:szCs w:val="20"/>
              </w:rPr>
              <w:t>Why boycotts? Why non-violence? Boycotts too simplistic a tool?</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1"/>
              </w:numPr>
              <w:spacing w:after="0" w:line="240" w:lineRule="auto"/>
              <w:rPr>
                <w:i/>
                <w:sz w:val="20"/>
                <w:szCs w:val="20"/>
              </w:rPr>
            </w:pPr>
            <w:r w:rsidRPr="002049D4">
              <w:rPr>
                <w:i/>
                <w:sz w:val="20"/>
                <w:szCs w:val="20"/>
              </w:rPr>
              <w:t>The formation of the BOA</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3"/>
              </w:numPr>
              <w:spacing w:after="0" w:line="240" w:lineRule="auto"/>
              <w:rPr>
                <w:sz w:val="20"/>
                <w:szCs w:val="20"/>
              </w:rPr>
            </w:pPr>
            <w:r w:rsidRPr="002049D4">
              <w:rPr>
                <w:sz w:val="20"/>
                <w:szCs w:val="20"/>
              </w:rPr>
              <w:t xml:space="preserve">The Dutch public ready for the two-pronged movement? </w:t>
            </w:r>
          </w:p>
          <w:p w:rsidR="00BB49E2" w:rsidRPr="002049D4" w:rsidRDefault="00BB49E2" w:rsidP="00BB49E2">
            <w:pPr>
              <w:pStyle w:val="ListParagraph"/>
              <w:numPr>
                <w:ilvl w:val="0"/>
                <w:numId w:val="3"/>
              </w:numPr>
              <w:spacing w:after="0" w:line="240" w:lineRule="auto"/>
              <w:rPr>
                <w:sz w:val="20"/>
                <w:szCs w:val="20"/>
              </w:rPr>
            </w:pPr>
            <w:r w:rsidRPr="002049D4">
              <w:rPr>
                <w:sz w:val="20"/>
                <w:szCs w:val="20"/>
              </w:rPr>
              <w:t>The blood bond, Dutch-SA relationship</w:t>
            </w:r>
          </w:p>
          <w:p w:rsidR="00BB49E2" w:rsidRPr="002049D4" w:rsidRDefault="00BB49E2" w:rsidP="00BB49E2">
            <w:pPr>
              <w:pStyle w:val="ListParagraph"/>
              <w:numPr>
                <w:ilvl w:val="0"/>
                <w:numId w:val="3"/>
              </w:numPr>
              <w:spacing w:after="0" w:line="240" w:lineRule="auto"/>
              <w:rPr>
                <w:sz w:val="20"/>
                <w:szCs w:val="20"/>
              </w:rPr>
            </w:pPr>
            <w:r w:rsidRPr="002049D4">
              <w:rPr>
                <w:sz w:val="20"/>
                <w:szCs w:val="20"/>
              </w:rPr>
              <w:t>Other anti-apartheid movements</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1"/>
              </w:numPr>
              <w:spacing w:after="0" w:line="240" w:lineRule="auto"/>
              <w:rPr>
                <w:i/>
                <w:sz w:val="20"/>
                <w:szCs w:val="20"/>
              </w:rPr>
            </w:pPr>
            <w:r w:rsidRPr="002049D4">
              <w:rPr>
                <w:i/>
                <w:sz w:val="20"/>
                <w:szCs w:val="20"/>
              </w:rPr>
              <w:t>BOA theory</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5"/>
              </w:numPr>
              <w:spacing w:after="0" w:line="240" w:lineRule="auto"/>
              <w:rPr>
                <w:sz w:val="20"/>
                <w:szCs w:val="20"/>
              </w:rPr>
            </w:pPr>
            <w:r w:rsidRPr="002049D4">
              <w:rPr>
                <w:sz w:val="20"/>
                <w:szCs w:val="20"/>
              </w:rPr>
              <w:t>You situate the BOA historically in the Dutch SA relationship from 1650s onwards, why?</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Why focus on labour and land politics?</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 xml:space="preserve">The use of blood-citrus topos as an educational tool – comment on sucking </w:t>
            </w:r>
            <w:r w:rsidR="00F152DB">
              <w:rPr>
                <w:sz w:val="20"/>
                <w:szCs w:val="20"/>
              </w:rPr>
              <w:t>and</w:t>
            </w:r>
            <w:r w:rsidRPr="002049D4">
              <w:rPr>
                <w:sz w:val="20"/>
                <w:szCs w:val="20"/>
              </w:rPr>
              <w:t xml:space="preserve"> environmental discourse</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Proximity, distance and suffering.</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European and South African racism</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Commentary on networks, publicity and witness</w:t>
            </w:r>
          </w:p>
          <w:p w:rsidR="00BB49E2" w:rsidRPr="002049D4" w:rsidRDefault="00BB49E2" w:rsidP="00BB49E2">
            <w:pPr>
              <w:pStyle w:val="ListParagraph"/>
              <w:numPr>
                <w:ilvl w:val="0"/>
                <w:numId w:val="4"/>
              </w:numPr>
              <w:spacing w:after="0" w:line="240" w:lineRule="auto"/>
              <w:rPr>
                <w:sz w:val="20"/>
                <w:szCs w:val="20"/>
              </w:rPr>
            </w:pPr>
            <w:r w:rsidRPr="002049D4">
              <w:rPr>
                <w:sz w:val="20"/>
                <w:szCs w:val="20"/>
              </w:rPr>
              <w:t>Legacy</w:t>
            </w:r>
          </w:p>
          <w:p w:rsidR="00BB49E2" w:rsidRPr="002049D4" w:rsidRDefault="00BB49E2" w:rsidP="00BB49E2">
            <w:pPr>
              <w:pStyle w:val="ListParagraph"/>
              <w:ind w:left="1440"/>
              <w:rPr>
                <w:i/>
                <w:sz w:val="20"/>
                <w:szCs w:val="20"/>
              </w:rPr>
            </w:pPr>
          </w:p>
          <w:p w:rsidR="00BB49E2" w:rsidRPr="002049D4" w:rsidRDefault="00BB49E2" w:rsidP="00BB49E2">
            <w:pPr>
              <w:pStyle w:val="ListParagraph"/>
              <w:numPr>
                <w:ilvl w:val="0"/>
                <w:numId w:val="1"/>
              </w:numPr>
              <w:spacing w:after="0" w:line="240" w:lineRule="auto"/>
              <w:rPr>
                <w:i/>
                <w:sz w:val="20"/>
                <w:szCs w:val="20"/>
              </w:rPr>
            </w:pPr>
            <w:r w:rsidRPr="002049D4">
              <w:rPr>
                <w:i/>
                <w:sz w:val="20"/>
                <w:szCs w:val="20"/>
              </w:rPr>
              <w:t>The practice of the BOA.</w:t>
            </w:r>
          </w:p>
          <w:p w:rsidR="00BB49E2" w:rsidRPr="002049D4" w:rsidRDefault="00BB49E2" w:rsidP="00BB49E2">
            <w:pPr>
              <w:pStyle w:val="ListParagraph"/>
              <w:rPr>
                <w:i/>
                <w:sz w:val="20"/>
                <w:szCs w:val="20"/>
              </w:rPr>
            </w:pP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 xml:space="preserve">Boycott tactics. Art, Inspan Girls, bus tours, exhibitions, congresses </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Relationship with 3</w:t>
            </w:r>
            <w:r w:rsidRPr="002049D4">
              <w:rPr>
                <w:sz w:val="20"/>
                <w:szCs w:val="20"/>
                <w:vertAlign w:val="superscript"/>
              </w:rPr>
              <w:t>rd</w:t>
            </w:r>
            <w:r w:rsidRPr="002049D4">
              <w:rPr>
                <w:sz w:val="20"/>
                <w:szCs w:val="20"/>
              </w:rPr>
              <w:t xml:space="preserve"> world shops, and supermarkets</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Use of international events and media</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Legality and legal battles</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The BOA Press</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Relationship with other Dutch AAMs</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 xml:space="preserve">Funding </w:t>
            </w:r>
            <w:r w:rsidR="00F152DB">
              <w:rPr>
                <w:sz w:val="20"/>
                <w:szCs w:val="20"/>
              </w:rPr>
              <w:t>and</w:t>
            </w:r>
            <w:r w:rsidRPr="002049D4">
              <w:rPr>
                <w:sz w:val="20"/>
                <w:szCs w:val="20"/>
              </w:rPr>
              <w:t xml:space="preserve"> campaigns</w:t>
            </w:r>
          </w:p>
          <w:p w:rsidR="00BB49E2" w:rsidRPr="002049D4" w:rsidRDefault="00BB49E2" w:rsidP="00BB49E2">
            <w:pPr>
              <w:pStyle w:val="ListParagraph"/>
              <w:numPr>
                <w:ilvl w:val="0"/>
                <w:numId w:val="6"/>
              </w:numPr>
              <w:spacing w:after="0" w:line="240" w:lineRule="auto"/>
              <w:rPr>
                <w:sz w:val="20"/>
                <w:szCs w:val="20"/>
              </w:rPr>
            </w:pPr>
            <w:r w:rsidRPr="002049D4">
              <w:rPr>
                <w:sz w:val="20"/>
                <w:szCs w:val="20"/>
              </w:rPr>
              <w:t>Truly transnational movement?</w:t>
            </w:r>
          </w:p>
          <w:p w:rsidR="00BB49E2" w:rsidRPr="00B01C2B" w:rsidRDefault="00BB49E2" w:rsidP="00BB49E2">
            <w:pPr>
              <w:pStyle w:val="ListParagraph"/>
              <w:spacing w:line="360" w:lineRule="auto"/>
              <w:ind w:left="1440"/>
              <w:rPr>
                <w:i/>
                <w:sz w:val="20"/>
                <w:szCs w:val="20"/>
              </w:rPr>
            </w:pPr>
          </w:p>
        </w:tc>
      </w:tr>
    </w:tbl>
    <w:p w:rsidR="00BB49E2" w:rsidRDefault="00BB49E2" w:rsidP="00BB49E2">
      <w:pPr>
        <w:pStyle w:val="Caption"/>
        <w:jc w:val="center"/>
        <w:rPr>
          <w:rFonts w:ascii="Perpetua" w:hAnsi="Perpetua"/>
          <w:color w:val="auto"/>
        </w:rPr>
      </w:pPr>
      <w:bookmarkStart w:id="128" w:name="_Toc244168195"/>
    </w:p>
    <w:p w:rsidR="00BB49E2" w:rsidRPr="00E8319A" w:rsidRDefault="00BB49E2" w:rsidP="00BB49E2">
      <w:pPr>
        <w:pStyle w:val="Caption"/>
        <w:jc w:val="center"/>
        <w:rPr>
          <w:rFonts w:ascii="Perpetua" w:hAnsi="Perpetua" w:cs="Times New Roman"/>
          <w:color w:val="auto"/>
          <w:sz w:val="20"/>
          <w:szCs w:val="24"/>
        </w:rPr>
      </w:pPr>
      <w:bookmarkStart w:id="129" w:name="_Toc244578424"/>
      <w:r w:rsidRPr="00E8319A">
        <w:rPr>
          <w:rFonts w:ascii="Perpetua" w:hAnsi="Perpetua"/>
          <w:color w:val="auto"/>
          <w:sz w:val="20"/>
        </w:rPr>
        <w:t xml:space="preserve">Table </w:t>
      </w:r>
      <w:r w:rsidR="00DF2DF8" w:rsidRPr="00E8319A">
        <w:rPr>
          <w:rFonts w:ascii="Perpetua" w:hAnsi="Perpetua"/>
          <w:color w:val="auto"/>
          <w:sz w:val="20"/>
        </w:rPr>
        <w:fldChar w:fldCharType="begin"/>
      </w:r>
      <w:r w:rsidRPr="00E8319A">
        <w:rPr>
          <w:rFonts w:ascii="Perpetua" w:hAnsi="Perpetua"/>
          <w:color w:val="auto"/>
          <w:sz w:val="20"/>
        </w:rPr>
        <w:instrText xml:space="preserve"> SEQ Table \* ARABIC </w:instrText>
      </w:r>
      <w:r w:rsidR="00DF2DF8" w:rsidRPr="00E8319A">
        <w:rPr>
          <w:rFonts w:ascii="Perpetua" w:hAnsi="Perpetua"/>
          <w:color w:val="auto"/>
          <w:sz w:val="20"/>
        </w:rPr>
        <w:fldChar w:fldCharType="separate"/>
      </w:r>
      <w:r w:rsidR="002B3E92">
        <w:rPr>
          <w:rFonts w:ascii="Perpetua" w:hAnsi="Perpetua"/>
          <w:noProof/>
          <w:color w:val="auto"/>
          <w:sz w:val="20"/>
        </w:rPr>
        <w:t>3</w:t>
      </w:r>
      <w:r w:rsidR="00DF2DF8" w:rsidRPr="00E8319A">
        <w:rPr>
          <w:rFonts w:ascii="Perpetua" w:hAnsi="Perpetua"/>
          <w:color w:val="auto"/>
          <w:sz w:val="20"/>
        </w:rPr>
        <w:fldChar w:fldCharType="end"/>
      </w:r>
      <w:r w:rsidRPr="00E8319A">
        <w:rPr>
          <w:rFonts w:ascii="Perpetua" w:hAnsi="Perpetua"/>
          <w:color w:val="auto"/>
          <w:sz w:val="20"/>
        </w:rPr>
        <w:t xml:space="preserve">: </w:t>
      </w:r>
      <w:r w:rsidRPr="00E8319A">
        <w:rPr>
          <w:rFonts w:ascii="Perpetua" w:hAnsi="Perpetua"/>
          <w:b w:val="0"/>
          <w:color w:val="auto"/>
          <w:sz w:val="20"/>
        </w:rPr>
        <w:t>Constructing an oral history. Research diary insert</w:t>
      </w:r>
      <w:r w:rsidR="001B6D85">
        <w:rPr>
          <w:rFonts w:ascii="Perpetua" w:hAnsi="Perpetua"/>
          <w:b w:val="0"/>
          <w:color w:val="auto"/>
          <w:sz w:val="20"/>
        </w:rPr>
        <w:t xml:space="preserve"> 2 January 2011</w:t>
      </w:r>
      <w:bookmarkEnd w:id="129"/>
      <w:r w:rsidRPr="00E8319A">
        <w:rPr>
          <w:rFonts w:ascii="Perpetua" w:hAnsi="Perpetua"/>
          <w:b w:val="0"/>
          <w:color w:val="auto"/>
          <w:sz w:val="20"/>
        </w:rPr>
        <w:t xml:space="preserve"> </w:t>
      </w:r>
      <w:bookmarkEnd w:id="128"/>
    </w:p>
    <w:p w:rsidR="00BB49E2" w:rsidRDefault="00BB49E2" w:rsidP="00BB49E2">
      <w:pPr>
        <w:spacing w:after="0" w:line="360" w:lineRule="auto"/>
        <w:rPr>
          <w:rFonts w:ascii="Garamond" w:hAnsi="Garamond" w:cs="Times New Roman"/>
          <w:b/>
          <w:sz w:val="24"/>
          <w:szCs w:val="24"/>
        </w:rPr>
      </w:pPr>
    </w:p>
    <w:p w:rsidR="00BB49E2" w:rsidRDefault="00BB49E2" w:rsidP="00BB49E2">
      <w:pPr>
        <w:spacing w:after="0" w:line="360" w:lineRule="auto"/>
        <w:rPr>
          <w:rFonts w:ascii="Garamond" w:hAnsi="Garamond" w:cs="Times New Roman"/>
          <w:b/>
          <w:sz w:val="24"/>
          <w:szCs w:val="24"/>
        </w:rPr>
      </w:pPr>
    </w:p>
    <w:p w:rsidR="00BB49E2" w:rsidRPr="0002611C" w:rsidRDefault="00BB49E2" w:rsidP="00BB49E2">
      <w:pPr>
        <w:pStyle w:val="Heading2"/>
      </w:pPr>
      <w:bookmarkStart w:id="130" w:name="_Toc244424935"/>
      <w:bookmarkStart w:id="131" w:name="_Toc244453621"/>
      <w:bookmarkStart w:id="132" w:name="_Toc244454138"/>
      <w:bookmarkStart w:id="133" w:name="_Toc244469585"/>
      <w:bookmarkStart w:id="134" w:name="_Toc244508041"/>
      <w:bookmarkStart w:id="135" w:name="_Toc244535735"/>
      <w:bookmarkStart w:id="136" w:name="_Toc244578367"/>
      <w:bookmarkStart w:id="137" w:name="_Toc244578751"/>
      <w:bookmarkStart w:id="138" w:name="_Toc263452000"/>
      <w:bookmarkStart w:id="139" w:name="_Toc263510918"/>
      <w:r w:rsidRPr="0002611C">
        <w:lastRenderedPageBreak/>
        <w:t>Introducing Stop The Traffik</w:t>
      </w:r>
      <w:bookmarkEnd w:id="130"/>
      <w:bookmarkEnd w:id="131"/>
      <w:bookmarkEnd w:id="132"/>
      <w:bookmarkEnd w:id="133"/>
      <w:bookmarkEnd w:id="134"/>
      <w:bookmarkEnd w:id="135"/>
      <w:bookmarkEnd w:id="136"/>
      <w:bookmarkEnd w:id="137"/>
      <w:bookmarkEnd w:id="138"/>
      <w:bookmarkEnd w:id="139"/>
    </w:p>
    <w:p w:rsidR="00BB49E2" w:rsidRPr="000F7450" w:rsidRDefault="00BB49E2" w:rsidP="00BB49E2">
      <w:pPr>
        <w:spacing w:after="0" w:line="360" w:lineRule="auto"/>
        <w:rPr>
          <w:rFonts w:ascii="Garamond" w:hAnsi="Garamond" w:cs="Times New Roman"/>
          <w:b/>
          <w:sz w:val="24"/>
          <w:szCs w:val="24"/>
        </w:rPr>
      </w:pPr>
    </w:p>
    <w:p w:rsidR="00BB49E2" w:rsidRDefault="00BB49E2" w:rsidP="00BB49E2">
      <w:pPr>
        <w:shd w:val="clear" w:color="auto" w:fill="FFFFFF"/>
        <w:spacing w:after="0" w:line="360" w:lineRule="auto"/>
        <w:ind w:left="284" w:right="284"/>
        <w:jc w:val="both"/>
        <w:rPr>
          <w:rFonts w:ascii="Garamond" w:eastAsia="Times New Roman" w:hAnsi="Garamond" w:cs="Times New Roman"/>
          <w:color w:val="000000"/>
          <w:shd w:val="clear" w:color="auto" w:fill="FFFFFF"/>
          <w:lang w:eastAsia="en-GB"/>
        </w:rPr>
      </w:pPr>
      <w:r w:rsidRPr="00253C29">
        <w:rPr>
          <w:rFonts w:ascii="Garamond" w:eastAsia="Times New Roman" w:hAnsi="Garamond" w:cs="Times New Roman"/>
          <w:color w:val="000000"/>
          <w:shd w:val="clear" w:color="auto" w:fill="FFFFFF"/>
          <w:lang w:eastAsia="en-GB"/>
        </w:rPr>
        <w:t>There are also many challenges in telling survivors stories, there are still so few in comparison to other crimes, they are extremely vulnerable to being trafficked, their safety must be alway</w:t>
      </w:r>
      <w:r>
        <w:rPr>
          <w:rFonts w:ascii="Garamond" w:eastAsia="Times New Roman" w:hAnsi="Garamond" w:cs="Times New Roman"/>
          <w:color w:val="000000"/>
          <w:shd w:val="clear" w:color="auto" w:fill="FFFFFF"/>
          <w:lang w:eastAsia="en-GB"/>
        </w:rPr>
        <w:t xml:space="preserve">s paramount. Story is the key. </w:t>
      </w:r>
      <w:r w:rsidRPr="00253C29">
        <w:rPr>
          <w:rFonts w:ascii="Garamond" w:eastAsia="Times New Roman" w:hAnsi="Garamond" w:cs="Times New Roman"/>
          <w:color w:val="000000"/>
          <w:shd w:val="clear" w:color="auto" w:fill="FFFFFF"/>
          <w:lang w:eastAsia="en-GB"/>
        </w:rPr>
        <w:t>Telling the story of what trafficking is, creating the story of how it affects us and asking the question of what we can do.  Empowering communities is what we seek to do but it starts with finding creative, simple, even fun ways</w:t>
      </w:r>
      <w:r>
        <w:rPr>
          <w:rFonts w:ascii="Garamond" w:eastAsia="Times New Roman" w:hAnsi="Garamond" w:cs="Times New Roman"/>
          <w:color w:val="000000"/>
          <w:shd w:val="clear" w:color="auto" w:fill="FFFFFF"/>
          <w:lang w:eastAsia="en-GB"/>
        </w:rPr>
        <w:t xml:space="preserve"> of individuals to do one thing.</w:t>
      </w:r>
      <w:r w:rsidRPr="00253C29">
        <w:rPr>
          <w:rFonts w:ascii="Garamond" w:eastAsia="Times New Roman" w:hAnsi="Garamond" w:cs="Times New Roman"/>
          <w:color w:val="000000"/>
          <w:shd w:val="clear" w:color="auto" w:fill="FFFFFF"/>
          <w:lang w:eastAsia="en-GB"/>
        </w:rPr>
        <w:t xml:space="preserve"> (</w:t>
      </w:r>
      <w:r>
        <w:rPr>
          <w:rFonts w:ascii="Garamond" w:eastAsia="Times New Roman" w:hAnsi="Garamond" w:cs="Times New Roman"/>
          <w:color w:val="000000"/>
          <w:shd w:val="clear" w:color="auto" w:fill="FFFFFF"/>
          <w:lang w:eastAsia="en-GB"/>
        </w:rPr>
        <w:t xml:space="preserve">Interview </w:t>
      </w:r>
      <w:r w:rsidRPr="00253C29">
        <w:rPr>
          <w:rFonts w:ascii="Garamond" w:eastAsia="Times New Roman" w:hAnsi="Garamond" w:cs="Times New Roman"/>
          <w:color w:val="000000"/>
          <w:shd w:val="clear" w:color="auto" w:fill="FFFFFF"/>
          <w:lang w:eastAsia="en-GB"/>
        </w:rPr>
        <w:t>Dearnley</w:t>
      </w:r>
      <w:r>
        <w:rPr>
          <w:rFonts w:ascii="Garamond" w:eastAsia="Times New Roman" w:hAnsi="Garamond" w:cs="Times New Roman"/>
          <w:color w:val="000000"/>
          <w:shd w:val="clear" w:color="auto" w:fill="FFFFFF"/>
          <w:lang w:eastAsia="en-GB"/>
        </w:rPr>
        <w:t xml:space="preserve"> 2011, CEO Stop The Traffik)</w:t>
      </w:r>
    </w:p>
    <w:p w:rsidR="00BB49E2" w:rsidRPr="00253C29" w:rsidRDefault="00BB49E2" w:rsidP="00BB49E2">
      <w:pPr>
        <w:shd w:val="clear" w:color="auto" w:fill="FFFFFF"/>
        <w:spacing w:after="0" w:line="360" w:lineRule="auto"/>
        <w:ind w:left="284" w:right="284"/>
        <w:jc w:val="both"/>
        <w:rPr>
          <w:rFonts w:ascii="Garamond" w:eastAsia="Times New Roman" w:hAnsi="Garamond" w:cs="Times New Roman"/>
          <w:shd w:val="clear" w:color="auto" w:fill="FFFFFF"/>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253C29">
        <w:rPr>
          <w:rFonts w:ascii="Garamond" w:eastAsia="Times New Roman" w:hAnsi="Garamond" w:cs="Times New Roman"/>
          <w:color w:val="000000"/>
          <w:sz w:val="24"/>
          <w:szCs w:val="24"/>
          <w:shd w:val="clear" w:color="auto" w:fill="FFFFFF"/>
          <w:lang w:eastAsia="en-GB"/>
        </w:rPr>
        <w:t>Stop The Traffik  (STT) were founded in 2006 by the Methodist vicar and UN Advisor on Human</w:t>
      </w:r>
      <w:r>
        <w:rPr>
          <w:rFonts w:ascii="Garamond" w:eastAsia="Times New Roman" w:hAnsi="Garamond" w:cs="Times New Roman"/>
          <w:color w:val="000000"/>
          <w:sz w:val="24"/>
          <w:szCs w:val="24"/>
          <w:shd w:val="clear" w:color="auto" w:fill="FFFFFF"/>
          <w:lang w:eastAsia="en-GB"/>
        </w:rPr>
        <w:t xml:space="preserve"> Trafficking, Steve Chalke, and</w:t>
      </w:r>
      <w:r w:rsidRPr="00253C29">
        <w:rPr>
          <w:rFonts w:ascii="Garamond" w:eastAsia="Times New Roman" w:hAnsi="Garamond" w:cs="Times New Roman"/>
          <w:color w:val="000000"/>
          <w:sz w:val="24"/>
          <w:szCs w:val="24"/>
          <w:shd w:val="clear" w:color="auto" w:fill="FFFFFF"/>
          <w:lang w:eastAsia="en-GB"/>
        </w:rPr>
        <w:t xml:space="preserve"> Ruth Dearnley, a law graduate, teacher and former director of the Christian grass roots organization, Spring Harvest</w:t>
      </w:r>
      <w:r w:rsidRPr="00253C29">
        <w:rPr>
          <w:rFonts w:ascii="Garamond" w:eastAsia="Times New Roman" w:hAnsi="Garamond" w:cs="Times New Roman"/>
          <w:i/>
          <w:color w:val="000000"/>
          <w:sz w:val="24"/>
          <w:szCs w:val="24"/>
          <w:shd w:val="clear" w:color="auto" w:fill="FFFFFF"/>
          <w:lang w:eastAsia="en-GB"/>
        </w:rPr>
        <w:t>.</w:t>
      </w:r>
      <w:r w:rsidRPr="00253C29">
        <w:rPr>
          <w:rFonts w:ascii="Garamond" w:eastAsia="Times New Roman" w:hAnsi="Garamond" w:cs="Times New Roman"/>
          <w:color w:val="000000"/>
          <w:sz w:val="24"/>
          <w:szCs w:val="24"/>
          <w:shd w:val="clear" w:color="auto" w:fill="FFFFFF"/>
          <w:lang w:eastAsia="en-GB"/>
        </w:rPr>
        <w:t xml:space="preserve"> A UK registered NGO with their headquarters in Lambeth, </w:t>
      </w:r>
      <w:r>
        <w:rPr>
          <w:rFonts w:ascii="Garamond" w:eastAsia="Times New Roman" w:hAnsi="Garamond" w:cs="Times New Roman"/>
          <w:color w:val="000000"/>
          <w:sz w:val="24"/>
          <w:szCs w:val="24"/>
          <w:shd w:val="clear" w:color="auto" w:fill="FFFFFF"/>
          <w:lang w:eastAsia="en-GB"/>
        </w:rPr>
        <w:t xml:space="preserve">London, </w:t>
      </w:r>
      <w:r w:rsidRPr="00253C29">
        <w:rPr>
          <w:rFonts w:ascii="Garamond" w:eastAsia="Times New Roman" w:hAnsi="Garamond" w:cs="Times New Roman"/>
          <w:color w:val="000000"/>
          <w:sz w:val="24"/>
          <w:szCs w:val="24"/>
          <w:shd w:val="clear" w:color="auto" w:fill="FFFFFF"/>
          <w:lang w:eastAsia="en-GB"/>
        </w:rPr>
        <w:t>STT are concurrently</w:t>
      </w:r>
      <w:r>
        <w:rPr>
          <w:rFonts w:ascii="Garamond" w:eastAsia="Times New Roman" w:hAnsi="Garamond" w:cs="Times New Roman"/>
          <w:color w:val="000000"/>
          <w:sz w:val="24"/>
          <w:szCs w:val="24"/>
          <w:shd w:val="clear" w:color="auto" w:fill="FFFFFF"/>
          <w:lang w:eastAsia="en-GB"/>
        </w:rPr>
        <w:t>:</w:t>
      </w:r>
      <w:r w:rsidRPr="00253C29">
        <w:rPr>
          <w:rFonts w:ascii="Garamond" w:eastAsia="Times New Roman" w:hAnsi="Garamond" w:cs="Times New Roman"/>
          <w:color w:val="000000"/>
          <w:sz w:val="24"/>
          <w:szCs w:val="24"/>
          <w:shd w:val="clear" w:color="auto" w:fill="FFFFFF"/>
          <w:lang w:eastAsia="en-GB"/>
        </w:rPr>
        <w:t xml:space="preserve"> a global coalition</w:t>
      </w:r>
      <w:r w:rsidRPr="00253C29">
        <w:rPr>
          <w:rFonts w:ascii="Garamond" w:hAnsi="Garamond" w:cs="Times New Roman"/>
          <w:b/>
          <w:sz w:val="24"/>
          <w:szCs w:val="24"/>
        </w:rPr>
        <w:t xml:space="preserve"> </w:t>
      </w:r>
      <w:r w:rsidRPr="00253C29">
        <w:rPr>
          <w:rFonts w:ascii="Garamond" w:hAnsi="Garamond" w:cs="Times New Roman"/>
          <w:sz w:val="24"/>
          <w:szCs w:val="24"/>
        </w:rPr>
        <w:t>aga</w:t>
      </w:r>
      <w:r>
        <w:rPr>
          <w:rFonts w:ascii="Garamond" w:hAnsi="Garamond" w:cs="Times New Roman"/>
          <w:sz w:val="24"/>
          <w:szCs w:val="24"/>
        </w:rPr>
        <w:t>inst trafficking (Chalke, 2009);</w:t>
      </w:r>
      <w:r w:rsidRPr="00253C29">
        <w:rPr>
          <w:rFonts w:ascii="Garamond" w:hAnsi="Garamond" w:cs="Times New Roman"/>
          <w:sz w:val="24"/>
          <w:szCs w:val="24"/>
        </w:rPr>
        <w:t xml:space="preserve"> a grassroots globalization network (Rout</w:t>
      </w:r>
      <w:r>
        <w:rPr>
          <w:rFonts w:ascii="Garamond" w:hAnsi="Garamond" w:cs="Times New Roman"/>
          <w:sz w:val="24"/>
          <w:szCs w:val="24"/>
        </w:rPr>
        <w:t>ledge, 2003; Featherstone 2008);</w:t>
      </w:r>
      <w:r w:rsidRPr="00253C29">
        <w:rPr>
          <w:rFonts w:ascii="Garamond" w:hAnsi="Garamond" w:cs="Times New Roman"/>
          <w:sz w:val="24"/>
          <w:szCs w:val="24"/>
        </w:rPr>
        <w:t xml:space="preserve"> a “grassroots consum</w:t>
      </w:r>
      <w:r>
        <w:rPr>
          <w:rFonts w:ascii="Garamond" w:hAnsi="Garamond" w:cs="Times New Roman"/>
          <w:sz w:val="24"/>
          <w:szCs w:val="24"/>
        </w:rPr>
        <w:t>er movement” (</w:t>
      </w:r>
      <w:r w:rsidRPr="00253C29">
        <w:rPr>
          <w:rFonts w:ascii="Garamond" w:hAnsi="Garamond" w:cs="Times New Roman"/>
          <w:sz w:val="24"/>
          <w:szCs w:val="24"/>
        </w:rPr>
        <w:t>interview</w:t>
      </w:r>
      <w:r>
        <w:rPr>
          <w:rFonts w:ascii="Garamond" w:hAnsi="Garamond" w:cs="Times New Roman"/>
          <w:sz w:val="24"/>
          <w:szCs w:val="24"/>
        </w:rPr>
        <w:t xml:space="preserve"> Fountain</w:t>
      </w:r>
      <w:r w:rsidRPr="00253C29">
        <w:rPr>
          <w:rFonts w:ascii="Garamond" w:hAnsi="Garamond" w:cs="Times New Roman"/>
          <w:sz w:val="24"/>
          <w:szCs w:val="24"/>
        </w:rPr>
        <w:t xml:space="preserve"> 2011)</w:t>
      </w:r>
      <w:r>
        <w:rPr>
          <w:rFonts w:ascii="Garamond" w:hAnsi="Garamond" w:cs="Times New Roman"/>
          <w:sz w:val="24"/>
          <w:szCs w:val="24"/>
        </w:rPr>
        <w:t>; a charitable fundraiser;</w:t>
      </w:r>
      <w:r w:rsidRPr="00253C29">
        <w:rPr>
          <w:rFonts w:ascii="Garamond" w:hAnsi="Garamond" w:cs="Times New Roman"/>
          <w:sz w:val="24"/>
          <w:szCs w:val="24"/>
        </w:rPr>
        <w:t xml:space="preserve"> and an educational, political and industrial lobbying and a</w:t>
      </w:r>
      <w:r>
        <w:rPr>
          <w:rFonts w:ascii="Garamond" w:hAnsi="Garamond" w:cs="Times New Roman"/>
          <w:sz w:val="24"/>
          <w:szCs w:val="24"/>
        </w:rPr>
        <w:t>dvocacy organization (</w:t>
      </w:r>
      <w:r w:rsidR="002C0568">
        <w:rPr>
          <w:rFonts w:ascii="Garamond" w:hAnsi="Garamond" w:cs="Times New Roman"/>
          <w:sz w:val="24"/>
          <w:szCs w:val="24"/>
        </w:rPr>
        <w:t>I</w:t>
      </w:r>
      <w:r w:rsidRPr="00253C29">
        <w:rPr>
          <w:rFonts w:ascii="Garamond" w:hAnsi="Garamond" w:cs="Times New Roman"/>
          <w:sz w:val="24"/>
          <w:szCs w:val="24"/>
        </w:rPr>
        <w:t>nterview</w:t>
      </w:r>
      <w:r w:rsidR="002C0568">
        <w:rPr>
          <w:rFonts w:ascii="Garamond" w:hAnsi="Garamond" w:cs="Times New Roman"/>
          <w:sz w:val="24"/>
          <w:szCs w:val="24"/>
        </w:rPr>
        <w:t xml:space="preserve"> Dearn</w:t>
      </w:r>
      <w:r>
        <w:rPr>
          <w:rFonts w:ascii="Garamond" w:hAnsi="Garamond" w:cs="Times New Roman"/>
          <w:sz w:val="24"/>
          <w:szCs w:val="24"/>
        </w:rPr>
        <w:t>ley</w:t>
      </w:r>
      <w:r w:rsidRPr="00253C29">
        <w:rPr>
          <w:rFonts w:ascii="Garamond" w:hAnsi="Garamond" w:cs="Times New Roman"/>
          <w:sz w:val="24"/>
          <w:szCs w:val="24"/>
        </w:rPr>
        <w:t xml:space="preserve"> 2011).</w:t>
      </w:r>
      <w:r w:rsidRPr="00253C29">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Originally the coalition was founded as a short-term project </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6B1236">
      <w:pPr>
        <w:spacing w:after="0" w:line="360" w:lineRule="auto"/>
        <w:ind w:left="284" w:right="284"/>
        <w:jc w:val="both"/>
        <w:rPr>
          <w:rFonts w:ascii="Garamond" w:eastAsia="Times New Roman" w:hAnsi="Garamond" w:cs="Arial"/>
          <w:color w:val="000000"/>
          <w:lang w:eastAsia="en-GB"/>
        </w:rPr>
      </w:pPr>
      <w:r w:rsidRPr="001E21CD">
        <w:rPr>
          <w:rFonts w:ascii="Garamond" w:eastAsia="Times New Roman" w:hAnsi="Garamond" w:cs="Arial"/>
          <w:color w:val="000000"/>
          <w:lang w:eastAsia="en-GB"/>
        </w:rPr>
        <w:t>to</w:t>
      </w:r>
      <w:r w:rsidRPr="001E21CD">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Arial"/>
          <w:bCs/>
          <w:color w:val="000000"/>
          <w:lang w:eastAsia="en-GB"/>
        </w:rPr>
        <w:t>h</w:t>
      </w:r>
      <w:r w:rsidRPr="001E21CD">
        <w:rPr>
          <w:rFonts w:ascii="Garamond" w:eastAsia="Times New Roman" w:hAnsi="Garamond" w:cs="Arial"/>
          <w:bCs/>
          <w:color w:val="000000"/>
          <w:lang w:eastAsia="en-GB"/>
        </w:rPr>
        <w:t>ost "Freedom Day" </w:t>
      </w:r>
      <w:r>
        <w:rPr>
          <w:rFonts w:ascii="Garamond" w:eastAsia="Times New Roman" w:hAnsi="Garamond" w:cs="Arial"/>
          <w:color w:val="000000"/>
          <w:lang w:eastAsia="en-GB"/>
        </w:rPr>
        <w:t>on March 25</w:t>
      </w:r>
      <w:r w:rsidRPr="00E454C8">
        <w:rPr>
          <w:rFonts w:ascii="Garamond" w:eastAsia="Times New Roman" w:hAnsi="Garamond" w:cs="Arial"/>
          <w:color w:val="000000"/>
          <w:vertAlign w:val="superscript"/>
          <w:lang w:eastAsia="en-GB"/>
        </w:rPr>
        <w:t>th</w:t>
      </w:r>
      <w:r w:rsidRPr="001E21CD">
        <w:rPr>
          <w:rFonts w:ascii="Garamond" w:eastAsia="Times New Roman" w:hAnsi="Garamond" w:cs="Arial"/>
          <w:color w:val="000000"/>
          <w:lang w:eastAsia="en-GB"/>
        </w:rPr>
        <w:t xml:space="preserve"> 2007 to mark the bicentenary of the abolition of transatlantic slavery. Thousands of people of all ages brought awareness to the streets of their communities all around the world</w:t>
      </w:r>
      <w:r>
        <w:rPr>
          <w:rFonts w:ascii="Garamond" w:eastAsia="Times New Roman" w:hAnsi="Garamond" w:cs="Arial"/>
          <w:color w:val="000000"/>
          <w:lang w:eastAsia="en-GB"/>
        </w:rPr>
        <w:t xml:space="preserve"> [and to]</w:t>
      </w:r>
      <w:r w:rsidRPr="001E21CD">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Arial"/>
          <w:bCs/>
          <w:color w:val="000000"/>
          <w:lang w:eastAsia="en-GB"/>
        </w:rPr>
        <w:t>p</w:t>
      </w:r>
      <w:r w:rsidRPr="001E21CD">
        <w:rPr>
          <w:rFonts w:ascii="Garamond" w:eastAsia="Times New Roman" w:hAnsi="Garamond" w:cs="Arial"/>
          <w:bCs/>
          <w:color w:val="000000"/>
          <w:lang w:eastAsia="en-GB"/>
        </w:rPr>
        <w:t>etition</w:t>
      </w:r>
      <w:r w:rsidRPr="001E21CD">
        <w:rPr>
          <w:rFonts w:ascii="Garamond" w:eastAsia="Times New Roman" w:hAnsi="Garamond" w:cs="Arial"/>
          <w:color w:val="000000"/>
          <w:lang w:eastAsia="en-GB"/>
        </w:rPr>
        <w:t> and hand a million signatures to the United Nations in 2007. By the time 2007 came around, over 1.5 million people had signed the declaration and got involved.</w:t>
      </w:r>
      <w:r>
        <w:rPr>
          <w:rFonts w:ascii="Garamond" w:eastAsia="Times New Roman" w:hAnsi="Garamond" w:cs="Arial"/>
          <w:color w:val="000000"/>
          <w:lang w:eastAsia="en-GB"/>
        </w:rPr>
        <w:t xml:space="preserve"> </w:t>
      </w:r>
      <w:r w:rsidRPr="001E21CD">
        <w:rPr>
          <w:rFonts w:ascii="Garamond" w:eastAsia="Times New Roman" w:hAnsi="Garamond" w:cs="Arial"/>
          <w:color w:val="000000"/>
          <w:lang w:eastAsia="en-GB"/>
        </w:rPr>
        <w:t>Instead of ending, with a following of 1.5 million activists Stop The Traffik became an independent international charity</w:t>
      </w:r>
      <w:r>
        <w:rPr>
          <w:rFonts w:ascii="Garamond" w:eastAsia="Times New Roman" w:hAnsi="Garamond" w:cs="Arial"/>
          <w:color w:val="000000"/>
          <w:lang w:eastAsia="en-GB"/>
        </w:rPr>
        <w:t>. (Interview Chalke, 2011)</w:t>
      </w:r>
    </w:p>
    <w:p w:rsidR="00BB49E2" w:rsidRPr="001E21CD" w:rsidRDefault="00BB49E2" w:rsidP="006B1236">
      <w:pPr>
        <w:spacing w:after="0" w:line="360" w:lineRule="auto"/>
        <w:ind w:left="284" w:right="284"/>
        <w:jc w:val="both"/>
        <w:rPr>
          <w:rFonts w:ascii="Garamond" w:eastAsia="Times New Roman" w:hAnsi="Garamond" w:cs="Times New Roman"/>
          <w:color w:val="000000"/>
          <w:sz w:val="24"/>
          <w:szCs w:val="24"/>
          <w:shd w:val="clear" w:color="auto" w:fill="FFFFFF"/>
          <w:lang w:eastAsia="en-GB"/>
        </w:rPr>
      </w:pPr>
    </w:p>
    <w:p w:rsidR="00BB49E2" w:rsidRPr="006B1236" w:rsidRDefault="00BB49E2" w:rsidP="006B1236">
      <w:pPr>
        <w:spacing w:after="0" w:line="360" w:lineRule="auto"/>
        <w:jc w:val="both"/>
        <w:rPr>
          <w:rFonts w:ascii="Garamond" w:hAnsi="Garamond"/>
          <w:sz w:val="24"/>
        </w:rPr>
      </w:pPr>
      <w:r w:rsidRPr="006B1236">
        <w:rPr>
          <w:rFonts w:ascii="Garamond" w:hAnsi="Garamond"/>
          <w:sz w:val="24"/>
          <w:shd w:val="clear" w:color="auto" w:fill="FFFFFF"/>
          <w:lang w:eastAsia="en-GB"/>
        </w:rPr>
        <w:t>With six full-time employed staff based in their Lambeth headquarters, and a combination of employees and volunteers operating in STT and Oasis</w:t>
      </w:r>
      <w:r w:rsidRPr="006B1236">
        <w:rPr>
          <w:rStyle w:val="FootnoteReference"/>
          <w:rFonts w:ascii="Garamond" w:eastAsia="Times New Roman" w:hAnsi="Garamond" w:cs="Times New Roman"/>
          <w:color w:val="000000"/>
          <w:sz w:val="24"/>
          <w:szCs w:val="24"/>
          <w:shd w:val="clear" w:color="auto" w:fill="FFFFFF"/>
          <w:lang w:eastAsia="en-GB"/>
        </w:rPr>
        <w:footnoteReference w:id="31"/>
      </w:r>
      <w:r w:rsidRPr="006B1236">
        <w:rPr>
          <w:rFonts w:ascii="Garamond" w:hAnsi="Garamond"/>
          <w:sz w:val="24"/>
          <w:shd w:val="clear" w:color="auto" w:fill="FFFFFF"/>
          <w:lang w:eastAsia="en-GB"/>
        </w:rPr>
        <w:t xml:space="preserve"> offices in Australia, the USA, India, Bangladesh, Belgium, Holland and </w:t>
      </w:r>
      <w:r w:rsidRPr="006B1236">
        <w:rPr>
          <w:rStyle w:val="Strong"/>
          <w:rFonts w:ascii="Garamond" w:hAnsi="Garamond" w:cs="Times New Roman"/>
          <w:b w:val="0"/>
          <w:sz w:val="24"/>
          <w:szCs w:val="24"/>
        </w:rPr>
        <w:t>Kyrgyzstan, STT have initiated community-based, and industry-targeted campaigns involving over a thousand member organizations (Chalke, 2009)</w:t>
      </w:r>
      <w:r w:rsidRPr="006B1236">
        <w:rPr>
          <w:rFonts w:ascii="Garamond" w:hAnsi="Garamond"/>
          <w:sz w:val="24"/>
          <w:shd w:val="clear" w:color="auto" w:fill="FFFFFF"/>
          <w:lang w:eastAsia="en-GB"/>
        </w:rPr>
        <w:t>, and in 2011 they gathered one and a half million signatories for a petition presented to the UN.</w:t>
      </w:r>
    </w:p>
    <w:p w:rsidR="00BB49E2" w:rsidRPr="006B1236" w:rsidRDefault="00BB49E2" w:rsidP="006B1236">
      <w:pPr>
        <w:spacing w:after="0" w:line="360" w:lineRule="auto"/>
        <w:jc w:val="both"/>
        <w:rPr>
          <w:rFonts w:ascii="Garamond" w:hAnsi="Garamond"/>
          <w:sz w:val="24"/>
        </w:rPr>
      </w:pPr>
    </w:p>
    <w:p w:rsidR="006B1236" w:rsidRPr="006B1236" w:rsidRDefault="00BB49E2" w:rsidP="006B1236">
      <w:pPr>
        <w:spacing w:line="360" w:lineRule="auto"/>
        <w:ind w:left="284" w:right="284"/>
        <w:jc w:val="both"/>
        <w:rPr>
          <w:rFonts w:ascii="Garamond" w:hAnsi="Garamond"/>
        </w:rPr>
      </w:pPr>
      <w:r w:rsidRPr="006B1236">
        <w:rPr>
          <w:rFonts w:ascii="Garamond" w:hAnsi="Garamond"/>
        </w:rPr>
        <w:lastRenderedPageBreak/>
        <w:t>HUGH: What were you</w:t>
      </w:r>
      <w:r w:rsidR="006B1236" w:rsidRPr="006B1236">
        <w:rPr>
          <w:rFonts w:ascii="Garamond" w:hAnsi="Garamond"/>
        </w:rPr>
        <w:t>r motivations for founding STT?</w:t>
      </w:r>
    </w:p>
    <w:p w:rsidR="00BB49E2" w:rsidRPr="006B1236" w:rsidRDefault="00BB49E2" w:rsidP="00B71FBE">
      <w:pPr>
        <w:spacing w:after="0" w:line="360" w:lineRule="auto"/>
        <w:ind w:left="284" w:right="284"/>
        <w:jc w:val="both"/>
        <w:rPr>
          <w:rFonts w:ascii="Garamond" w:hAnsi="Garamond"/>
        </w:rPr>
      </w:pPr>
      <w:r w:rsidRPr="006B1236">
        <w:rPr>
          <w:rFonts w:ascii="Garamond" w:hAnsi="Garamond"/>
        </w:rPr>
        <w:t xml:space="preserve">STEVE: I had been considering, with others, how we </w:t>
      </w:r>
      <w:r w:rsidR="006B1236" w:rsidRPr="006B1236">
        <w:rPr>
          <w:rFonts w:ascii="Garamond" w:hAnsi="Garamond"/>
        </w:rPr>
        <w:t xml:space="preserve">could help in the fight agains </w:t>
      </w:r>
      <w:r w:rsidRPr="006B1236">
        <w:rPr>
          <w:rFonts w:ascii="Garamond" w:hAnsi="Garamond"/>
        </w:rPr>
        <w:t>human trafficking. Not only is it an appalling international cr</w:t>
      </w:r>
      <w:r w:rsidR="006B1236" w:rsidRPr="006B1236">
        <w:rPr>
          <w:rFonts w:ascii="Garamond" w:hAnsi="Garamond"/>
        </w:rPr>
        <w:t xml:space="preserve">ime, it is one that takes place </w:t>
      </w:r>
      <w:r w:rsidRPr="006B1236">
        <w:rPr>
          <w:rFonts w:ascii="Garamond" w:hAnsi="Garamond"/>
        </w:rPr>
        <w:t>and has roots on our doorstep – at the time, people knew ve</w:t>
      </w:r>
      <w:r w:rsidR="006B1236" w:rsidRPr="006B1236">
        <w:rPr>
          <w:rFonts w:ascii="Garamond" w:hAnsi="Garamond"/>
        </w:rPr>
        <w:t xml:space="preserve">ry little about it. I wanted to </w:t>
      </w:r>
      <w:r w:rsidRPr="006B1236">
        <w:rPr>
          <w:rFonts w:ascii="Garamond" w:hAnsi="Garamond"/>
        </w:rPr>
        <w:t>work in partnership with others to create an organizat</w:t>
      </w:r>
      <w:r w:rsidR="006B1236" w:rsidRPr="006B1236">
        <w:rPr>
          <w:rFonts w:ascii="Garamond" w:hAnsi="Garamond"/>
        </w:rPr>
        <w:t xml:space="preserve">ion that could raise awareness, </w:t>
      </w:r>
      <w:r w:rsidRPr="006B1236">
        <w:rPr>
          <w:rFonts w:ascii="Garamond" w:hAnsi="Garamond"/>
        </w:rPr>
        <w:t xml:space="preserve">engage with communities to tackle root causes and raise </w:t>
      </w:r>
      <w:r w:rsidR="006B1236" w:rsidRPr="006B1236">
        <w:rPr>
          <w:rFonts w:ascii="Garamond" w:hAnsi="Garamond"/>
        </w:rPr>
        <w:t>money to help partners run anti-</w:t>
      </w:r>
      <w:r w:rsidRPr="006B1236">
        <w:rPr>
          <w:rFonts w:ascii="Garamond" w:hAnsi="Garamond"/>
        </w:rPr>
        <w:t>trafficking activities.</w:t>
      </w:r>
    </w:p>
    <w:p w:rsidR="00BB49E2" w:rsidRPr="006B1236" w:rsidRDefault="00BB49E2" w:rsidP="00B71FBE">
      <w:pPr>
        <w:spacing w:after="0" w:line="360" w:lineRule="auto"/>
        <w:jc w:val="both"/>
        <w:rPr>
          <w:rFonts w:ascii="Garamond" w:hAnsi="Garamond"/>
          <w:sz w:val="24"/>
        </w:rPr>
      </w:pPr>
    </w:p>
    <w:p w:rsidR="00B71FBE" w:rsidRDefault="00BB49E2" w:rsidP="00B71FBE">
      <w:pPr>
        <w:spacing w:after="0" w:line="360" w:lineRule="auto"/>
        <w:jc w:val="both"/>
        <w:rPr>
          <w:rFonts w:ascii="Garamond" w:hAnsi="Garamond"/>
          <w:sz w:val="24"/>
          <w:shd w:val="clear" w:color="auto" w:fill="FFFFFF"/>
          <w:lang w:eastAsia="en-GB"/>
        </w:rPr>
      </w:pPr>
      <w:r w:rsidRPr="006B1236">
        <w:rPr>
          <w:rFonts w:ascii="Garamond" w:hAnsi="Garamond"/>
          <w:sz w:val="24"/>
        </w:rPr>
        <w:t>Through the Christian network, Oasis, and Steve Chalke’s political</w:t>
      </w:r>
      <w:r w:rsidRPr="006B1236">
        <w:rPr>
          <w:rFonts w:ascii="Garamond" w:hAnsi="Garamond"/>
          <w:sz w:val="24"/>
          <w:shd w:val="clear" w:color="auto" w:fill="FFFFFF"/>
          <w:lang w:eastAsia="en-GB"/>
        </w:rPr>
        <w:t xml:space="preserve"> connections, STT were exceptionally positioned from their inception to streamline their message across embedded faith-based anti-trafficking networks. In six years STT have positioned themselves as network facilitators and architects of new convergence spaces (Routledge, 2003) for a neo-abolitionist (Lawrance, 2010a), Anglo-American led coalition of Methodist and non-secular antislavery organizations. They are a global leader for lobbying stakeholders across the chocolate industry to incorporate certification schemes across cocoa production networks, they have worked to publicize and market Fairtrade Town campaigns, and they work with government and intelligence agencies to produce knowledge and solutions to combat trafficking and human smuggling.</w:t>
      </w:r>
      <w:r w:rsidRPr="006B1236">
        <w:rPr>
          <w:rStyle w:val="FootnoteReference"/>
          <w:rFonts w:ascii="Garamond" w:eastAsia="Times New Roman" w:hAnsi="Garamond" w:cs="Times New Roman"/>
          <w:color w:val="000000"/>
          <w:sz w:val="24"/>
          <w:szCs w:val="24"/>
          <w:shd w:val="clear" w:color="auto" w:fill="FFFFFF"/>
          <w:lang w:eastAsia="en-GB"/>
        </w:rPr>
        <w:footnoteReference w:id="32"/>
      </w:r>
      <w:r w:rsidRPr="006B1236">
        <w:rPr>
          <w:rFonts w:ascii="Garamond" w:hAnsi="Garamond"/>
          <w:sz w:val="24"/>
          <w:shd w:val="clear" w:color="auto" w:fill="FFFFFF"/>
          <w:lang w:eastAsia="en-GB"/>
        </w:rPr>
        <w:t xml:space="preserve"> These different networks are commonly united by their pledge to uphold Article Four of the UN Declaration of Human Rights: the right that people should not be bought or sold. To this end, and in coalition with their partners, STT produce and export a neatly packaged brand of antislavery to a wide range of publics. </w:t>
      </w:r>
    </w:p>
    <w:p w:rsidR="00B71FBE" w:rsidRDefault="00B71FBE" w:rsidP="00B71FBE">
      <w:pPr>
        <w:spacing w:after="0" w:line="360" w:lineRule="auto"/>
        <w:jc w:val="both"/>
        <w:rPr>
          <w:rFonts w:ascii="Garamond" w:hAnsi="Garamond"/>
          <w:sz w:val="24"/>
          <w:shd w:val="clear" w:color="auto" w:fill="FFFFFF"/>
          <w:lang w:eastAsia="en-GB"/>
        </w:rPr>
      </w:pPr>
    </w:p>
    <w:tbl>
      <w:tblPr>
        <w:tblW w:w="0" w:type="auto"/>
        <w:tblLook w:val="00A0"/>
      </w:tblPr>
      <w:tblGrid>
        <w:gridCol w:w="4848"/>
        <w:gridCol w:w="3674"/>
      </w:tblGrid>
      <w:tr w:rsidR="00B71FBE">
        <w:tc>
          <w:tcPr>
            <w:tcW w:w="4621" w:type="dxa"/>
          </w:tcPr>
          <w:p w:rsidR="00B71FBE" w:rsidRDefault="00B71FBE" w:rsidP="00BB49E2">
            <w:pPr>
              <w:spacing w:line="360" w:lineRule="auto"/>
              <w:jc w:val="center"/>
              <w:rPr>
                <w:rFonts w:ascii="Garamond" w:hAnsi="Garamond"/>
                <w:color w:val="000000"/>
                <w:sz w:val="24"/>
                <w:szCs w:val="24"/>
                <w:shd w:val="clear" w:color="auto" w:fill="FFFFFF"/>
              </w:rPr>
            </w:pPr>
            <w:r w:rsidRPr="00BF1E86">
              <w:rPr>
                <w:rFonts w:ascii="Garamond" w:hAnsi="Garamond"/>
                <w:noProof/>
                <w:color w:val="000000"/>
                <w:sz w:val="24"/>
                <w:szCs w:val="24"/>
                <w:shd w:val="clear" w:color="auto" w:fill="FFFFFF"/>
                <w:lang w:eastAsia="en-GB"/>
              </w:rPr>
              <w:drawing>
                <wp:inline distT="0" distB="0" distL="0" distR="0">
                  <wp:extent cx="3084764" cy="2362200"/>
                  <wp:effectExtent l="25400" t="0" r="0" b="0"/>
                  <wp:docPr id="2" name="Picture 8" descr="http://cached.imagescaler.hbpl.co.uk/resize/scaleWidth/456/?sURL=http://offlinehbpl.hbpl.co.uk/News/NST/67E28B50-ABD1-F99A-4EA0EAF53980E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ached.imagescaler.hbpl.co.uk/resize/scaleWidth/456/?sURL=http://offlinehbpl.hbpl.co.uk/News/NST/67E28B50-ABD1-F99A-4EA0EAF53980E9BC.jpg"/>
                          <pic:cNvPicPr>
                            <a:picLocks noChangeAspect="1" noChangeArrowheads="1"/>
                          </pic:cNvPicPr>
                        </pic:nvPicPr>
                        <pic:blipFill>
                          <a:blip r:embed="rId13" cstate="print"/>
                          <a:srcRect/>
                          <a:stretch>
                            <a:fillRect/>
                          </a:stretch>
                        </pic:blipFill>
                        <pic:spPr bwMode="auto">
                          <a:xfrm>
                            <a:off x="0" y="0"/>
                            <a:ext cx="3094911" cy="2369970"/>
                          </a:xfrm>
                          <a:prstGeom prst="rect">
                            <a:avLst/>
                          </a:prstGeom>
                          <a:noFill/>
                          <a:ln w="9525">
                            <a:noFill/>
                            <a:miter lim="800000"/>
                            <a:headEnd/>
                            <a:tailEnd/>
                          </a:ln>
                        </pic:spPr>
                      </pic:pic>
                    </a:graphicData>
                  </a:graphic>
                </wp:inline>
              </w:drawing>
            </w:r>
          </w:p>
        </w:tc>
        <w:tc>
          <w:tcPr>
            <w:tcW w:w="4621" w:type="dxa"/>
          </w:tcPr>
          <w:p w:rsidR="00286723" w:rsidRDefault="0050393D" w:rsidP="0050393D">
            <w:pPr>
              <w:pStyle w:val="Caption"/>
              <w:rPr>
                <w:rFonts w:ascii="Perpetua" w:hAnsi="Perpetua"/>
                <w:b w:val="0"/>
                <w:color w:val="auto"/>
                <w:sz w:val="20"/>
              </w:rPr>
            </w:pPr>
            <w:bookmarkStart w:id="140" w:name="_Toc263509000"/>
            <w:bookmarkStart w:id="141" w:name="_Toc263510787"/>
            <w:bookmarkStart w:id="142" w:name="_Toc263495734"/>
            <w:bookmarkStart w:id="143" w:name="_Toc244168218"/>
            <w:bookmarkStart w:id="144" w:name="_Toc244437508"/>
            <w:bookmarkStart w:id="145" w:name="_Toc244508203"/>
            <w:bookmarkStart w:id="146" w:name="_Toc244577265"/>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3</w:t>
            </w:r>
            <w:r w:rsidR="00DF2DF8" w:rsidRPr="0050393D">
              <w:rPr>
                <w:rFonts w:ascii="Perpetua" w:hAnsi="Perpetua"/>
                <w:b w:val="0"/>
                <w:color w:val="auto"/>
                <w:sz w:val="20"/>
              </w:rPr>
              <w:fldChar w:fldCharType="end"/>
            </w:r>
            <w:r w:rsidRPr="0050393D">
              <w:rPr>
                <w:rFonts w:ascii="Perpetua" w:hAnsi="Perpetua"/>
                <w:b w:val="0"/>
                <w:color w:val="auto"/>
                <w:sz w:val="20"/>
              </w:rPr>
              <w:t xml:space="preserve">: </w:t>
            </w:r>
            <w:r w:rsidR="00286723">
              <w:rPr>
                <w:rFonts w:ascii="Perpetua" w:hAnsi="Perpetua"/>
                <w:b w:val="0"/>
                <w:color w:val="auto"/>
                <w:sz w:val="20"/>
              </w:rPr>
              <w:t xml:space="preserve">Photograph of </w:t>
            </w:r>
            <w:r w:rsidRPr="0050393D">
              <w:rPr>
                <w:rFonts w:ascii="Perpetua" w:hAnsi="Perpetua"/>
                <w:b w:val="0"/>
                <w:color w:val="auto"/>
                <w:sz w:val="20"/>
              </w:rPr>
              <w:t>Steve Chalke, founder of St</w:t>
            </w:r>
            <w:r w:rsidR="00286723">
              <w:rPr>
                <w:rFonts w:ascii="Perpetua" w:hAnsi="Perpetua"/>
                <w:b w:val="0"/>
                <w:color w:val="auto"/>
                <w:sz w:val="20"/>
              </w:rPr>
              <w:t>op the Traffik.</w:t>
            </w:r>
            <w:bookmarkEnd w:id="140"/>
            <w:bookmarkEnd w:id="141"/>
            <w:r w:rsidR="00286723">
              <w:rPr>
                <w:rFonts w:ascii="Perpetua" w:hAnsi="Perpetua"/>
                <w:b w:val="0"/>
                <w:color w:val="auto"/>
                <w:sz w:val="20"/>
              </w:rPr>
              <w:t xml:space="preserve"> </w:t>
            </w:r>
          </w:p>
          <w:p w:rsidR="0050393D" w:rsidRPr="00286723" w:rsidRDefault="00286723" w:rsidP="00286723">
            <w:pPr>
              <w:rPr>
                <w:rFonts w:ascii="Perpetua" w:hAnsi="Perpetua"/>
                <w:sz w:val="20"/>
              </w:rPr>
            </w:pPr>
            <w:r w:rsidRPr="00286723">
              <w:rPr>
                <w:rFonts w:ascii="Perpetua" w:hAnsi="Perpetua"/>
                <w:sz w:val="20"/>
              </w:rPr>
              <w:t>Photograph t</w:t>
            </w:r>
            <w:r w:rsidR="0050393D" w:rsidRPr="00286723">
              <w:rPr>
                <w:rFonts w:ascii="Perpetua" w:hAnsi="Perpetua"/>
                <w:sz w:val="20"/>
              </w:rPr>
              <w:t>aken in 2011 when Chalke broke his own world record for the most money raised by an individual for running the London marathon. Available at: http://www.thirdscector.co.uk/news/1065987/ (Accessed 21 October 2013).</w:t>
            </w:r>
            <w:bookmarkEnd w:id="142"/>
          </w:p>
          <w:p w:rsidR="0050393D" w:rsidRDefault="0050393D" w:rsidP="0050393D">
            <w:pPr>
              <w:pStyle w:val="Caption"/>
            </w:pPr>
          </w:p>
          <w:bookmarkEnd w:id="143"/>
          <w:bookmarkEnd w:id="144"/>
          <w:bookmarkEnd w:id="145"/>
          <w:bookmarkEnd w:id="146"/>
          <w:p w:rsidR="00B71FBE" w:rsidRDefault="00B71FBE" w:rsidP="0050393D">
            <w:pPr>
              <w:pStyle w:val="Caption"/>
              <w:rPr>
                <w:rFonts w:ascii="Garamond" w:hAnsi="Garamond"/>
                <w:color w:val="000000"/>
                <w:sz w:val="24"/>
                <w:szCs w:val="24"/>
                <w:shd w:val="clear" w:color="auto" w:fill="FFFFFF"/>
              </w:rPr>
            </w:pPr>
          </w:p>
        </w:tc>
      </w:tr>
    </w:tbl>
    <w:p w:rsidR="001B6D85" w:rsidRPr="00B71FBE" w:rsidRDefault="001B6D85" w:rsidP="006B1236">
      <w:pPr>
        <w:spacing w:after="0" w:line="360" w:lineRule="auto"/>
        <w:jc w:val="both"/>
        <w:rPr>
          <w:rFonts w:ascii="Garamond" w:eastAsia="Times New Roman" w:hAnsi="Garamond" w:cs="Times New Roman"/>
          <w:b/>
          <w:i/>
          <w:color w:val="000000"/>
          <w:szCs w:val="24"/>
          <w:shd w:val="clear" w:color="auto" w:fill="FFFFFF"/>
          <w:lang w:eastAsia="en-GB"/>
        </w:rPr>
      </w:pPr>
      <w:r w:rsidRPr="00B71FBE">
        <w:rPr>
          <w:rFonts w:ascii="Garamond" w:eastAsia="Times New Roman" w:hAnsi="Garamond" w:cs="Times New Roman"/>
          <w:b/>
          <w:i/>
          <w:color w:val="000000"/>
          <w:szCs w:val="24"/>
          <w:shd w:val="clear" w:color="auto" w:fill="FFFFFF"/>
          <w:lang w:eastAsia="en-GB"/>
        </w:rPr>
        <w:lastRenderedPageBreak/>
        <w:t>Introducing STT in relation to anti-trafficking</w:t>
      </w:r>
    </w:p>
    <w:p w:rsidR="001B6D85" w:rsidRPr="006B1236" w:rsidRDefault="001B6D85" w:rsidP="006B1236">
      <w:pPr>
        <w:spacing w:after="0" w:line="360" w:lineRule="auto"/>
        <w:jc w:val="both"/>
        <w:rPr>
          <w:rFonts w:ascii="Garamond" w:eastAsia="Times New Roman" w:hAnsi="Garamond" w:cs="Times New Roman"/>
          <w:i/>
          <w:color w:val="000000"/>
          <w:sz w:val="24"/>
          <w:szCs w:val="24"/>
          <w:shd w:val="clear" w:color="auto" w:fill="FFFFFF"/>
          <w:lang w:eastAsia="en-GB"/>
        </w:rPr>
      </w:pPr>
    </w:p>
    <w:p w:rsidR="00BB49E2" w:rsidRPr="00D819BA" w:rsidRDefault="001B6D85" w:rsidP="00D819BA">
      <w:pPr>
        <w:spacing w:after="0" w:line="360" w:lineRule="auto"/>
        <w:ind w:left="284" w:right="284"/>
        <w:jc w:val="both"/>
        <w:rPr>
          <w:rFonts w:ascii="Garamond" w:eastAsia="Times New Roman" w:hAnsi="Garamond" w:cs="Times New Roman"/>
          <w:color w:val="000000"/>
          <w:shd w:val="clear" w:color="auto" w:fill="FFFFFF"/>
          <w:lang w:eastAsia="en-GB"/>
        </w:rPr>
      </w:pPr>
      <w:r w:rsidRPr="00253C29">
        <w:rPr>
          <w:rFonts w:ascii="Garamond" w:eastAsia="Times New Roman" w:hAnsi="Garamond" w:cs="Times New Roman"/>
          <w:color w:val="000000"/>
          <w:shd w:val="clear" w:color="auto" w:fill="FFFFFF"/>
          <w:lang w:eastAsia="en-GB"/>
        </w:rPr>
        <w:t>There is much discussion around definitions.  We adhere to the definition in the Palermo Protocol as set out in our book. It is not our role to spend time arguing the parameters, but raising awareness of this crime and empowerin</w:t>
      </w:r>
      <w:r>
        <w:rPr>
          <w:rFonts w:ascii="Garamond" w:eastAsia="Times New Roman" w:hAnsi="Garamond" w:cs="Times New Roman"/>
          <w:color w:val="000000"/>
          <w:shd w:val="clear" w:color="auto" w:fill="FFFFFF"/>
          <w:lang w:eastAsia="en-GB"/>
        </w:rPr>
        <w:t>g people to stop it. (Interview</w:t>
      </w:r>
      <w:r w:rsidRPr="00253C29">
        <w:rPr>
          <w:rFonts w:ascii="Garamond" w:eastAsia="Times New Roman" w:hAnsi="Garamond" w:cs="Times New Roman"/>
          <w:color w:val="000000"/>
          <w:shd w:val="clear" w:color="auto" w:fill="FFFFFF"/>
          <w:lang w:eastAsia="en-GB"/>
        </w:rPr>
        <w:t xml:space="preserve"> Dearnley, 2011)</w:t>
      </w:r>
    </w:p>
    <w:p w:rsidR="00BB49E2" w:rsidRDefault="00BB49E2" w:rsidP="00BB49E2">
      <w:pPr>
        <w:spacing w:after="0" w:line="360" w:lineRule="auto"/>
        <w:jc w:val="both"/>
        <w:rPr>
          <w:rFonts w:ascii="Garamond" w:eastAsia="Times New Roman" w:hAnsi="Garamond" w:cs="Times New Roman"/>
          <w:i/>
          <w:color w:val="000000"/>
          <w:sz w:val="24"/>
          <w:szCs w:val="24"/>
          <w:shd w:val="clear" w:color="auto" w:fill="FFFFFF"/>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253C29">
        <w:rPr>
          <w:rFonts w:ascii="Garamond" w:eastAsia="Times New Roman" w:hAnsi="Garamond" w:cs="Times New Roman"/>
          <w:color w:val="000000"/>
          <w:sz w:val="24"/>
          <w:szCs w:val="24"/>
          <w:shd w:val="clear" w:color="auto" w:fill="FFFFFF"/>
          <w:lang w:eastAsia="en-GB"/>
        </w:rPr>
        <w:t xml:space="preserve">Stop </w:t>
      </w:r>
      <w:r>
        <w:rPr>
          <w:rFonts w:ascii="Garamond" w:eastAsia="Times New Roman" w:hAnsi="Garamond" w:cs="Times New Roman"/>
          <w:color w:val="000000"/>
          <w:sz w:val="24"/>
          <w:szCs w:val="24"/>
          <w:shd w:val="clear" w:color="auto" w:fill="FFFFFF"/>
          <w:lang w:eastAsia="en-GB"/>
        </w:rPr>
        <w:t xml:space="preserve">The Traffik’s overarching aim – </w:t>
      </w:r>
      <w:r w:rsidRPr="00253C29">
        <w:rPr>
          <w:rFonts w:ascii="Garamond" w:eastAsia="Times New Roman" w:hAnsi="Garamond" w:cs="Times New Roman"/>
          <w:color w:val="000000"/>
          <w:sz w:val="24"/>
          <w:szCs w:val="24"/>
          <w:shd w:val="clear" w:color="auto" w:fill="FFFFFF"/>
          <w:lang w:eastAsia="en-GB"/>
        </w:rPr>
        <w:t>to abolish al</w:t>
      </w:r>
      <w:r>
        <w:rPr>
          <w:rFonts w:ascii="Garamond" w:eastAsia="Times New Roman" w:hAnsi="Garamond" w:cs="Times New Roman"/>
          <w:color w:val="000000"/>
          <w:sz w:val="24"/>
          <w:szCs w:val="24"/>
          <w:shd w:val="clear" w:color="auto" w:fill="FFFFFF"/>
          <w:lang w:eastAsia="en-GB"/>
        </w:rPr>
        <w:t xml:space="preserve">l forms of people trafficking – </w:t>
      </w:r>
      <w:r w:rsidRPr="00253C29">
        <w:rPr>
          <w:rFonts w:ascii="Garamond" w:eastAsia="Times New Roman" w:hAnsi="Garamond" w:cs="Times New Roman"/>
          <w:color w:val="000000"/>
          <w:sz w:val="24"/>
          <w:szCs w:val="24"/>
          <w:shd w:val="clear" w:color="auto" w:fill="FFFFFF"/>
          <w:lang w:eastAsia="en-GB"/>
        </w:rPr>
        <w:t>is strikingly simplified. The unity and scope of their ambition is condensed into a definition of trafficking published on their website and publication:</w:t>
      </w:r>
    </w:p>
    <w:p w:rsidR="00BB49E2" w:rsidRPr="00253C29"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BB49E2">
      <w:pPr>
        <w:spacing w:after="0" w:line="360" w:lineRule="auto"/>
        <w:ind w:left="284" w:right="284"/>
        <w:jc w:val="both"/>
        <w:rPr>
          <w:rFonts w:ascii="Garamond" w:eastAsia="Times New Roman" w:hAnsi="Garamond" w:cs="Times New Roman"/>
          <w:lang w:eastAsia="en-GB"/>
        </w:rPr>
      </w:pPr>
      <w:r>
        <w:rPr>
          <w:rFonts w:ascii="Garamond" w:eastAsia="Times New Roman" w:hAnsi="Garamond" w:cs="Times New Roman"/>
          <w:lang w:eastAsia="en-GB"/>
        </w:rPr>
        <w:t>[T]</w:t>
      </w:r>
      <w:r w:rsidRPr="00253C29">
        <w:rPr>
          <w:rFonts w:ascii="Garamond" w:eastAsia="Times New Roman" w:hAnsi="Garamond" w:cs="Times New Roman"/>
          <w:lang w:eastAsia="en-GB"/>
        </w:rPr>
        <w:t xml:space="preserve">o be deceived or taken against your will, bought, sold and transported into slavery for sexual exploitation, sweat shops, child brides, circuses, sacrificial worship, forced begging, sale of human organs, </w:t>
      </w:r>
      <w:r>
        <w:rPr>
          <w:rFonts w:ascii="Garamond" w:eastAsia="Times New Roman" w:hAnsi="Garamond" w:cs="Times New Roman"/>
          <w:lang w:eastAsia="en-GB"/>
        </w:rPr>
        <w:t>farm labour, domestic servitude.</w:t>
      </w:r>
      <w:r w:rsidRPr="00253C29">
        <w:rPr>
          <w:rFonts w:ascii="Garamond" w:eastAsia="Times New Roman" w:hAnsi="Garamond" w:cs="Times New Roman"/>
          <w:lang w:eastAsia="en-GB"/>
        </w:rPr>
        <w:t xml:space="preserve"> (STT website, 2011)</w:t>
      </w:r>
    </w:p>
    <w:p w:rsidR="00BB49E2" w:rsidRPr="00253C29" w:rsidRDefault="00BB49E2" w:rsidP="00BB49E2">
      <w:pPr>
        <w:spacing w:after="0" w:line="360" w:lineRule="auto"/>
        <w:ind w:left="284" w:right="284"/>
        <w:jc w:val="both"/>
        <w:rPr>
          <w:rFonts w:ascii="Garamond" w:eastAsia="Times New Roman" w:hAnsi="Garamond" w:cs="Times New Roman"/>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253C29">
        <w:rPr>
          <w:rFonts w:ascii="Garamond" w:eastAsia="Times New Roman" w:hAnsi="Garamond" w:cs="Times New Roman"/>
          <w:color w:val="000000"/>
          <w:sz w:val="24"/>
          <w:szCs w:val="24"/>
          <w:shd w:val="clear" w:color="auto" w:fill="FFFFFF"/>
          <w:lang w:eastAsia="en-GB"/>
        </w:rPr>
        <w:t>As alluded to by Dearnley (2011), the groundwork for the material and emotive infrastructure of anti-trafficking, and the parameters of STT’s discursive terrain, were precisely tuned by a series of United Nations laws passed in 2000 that are collectively known as the Palermo Protocols (and importantly include the “Protocol to Prevent, Supress and Punish the Trafficking in Persons Especially Women and Children”). These internationally binding laws converted a post-Cold War policy aporia over the subjective moralities of assisted migration and “worst forms of child labour” (ILO, 1999; Lawrance, 2010b), into</w:t>
      </w:r>
      <w:r>
        <w:rPr>
          <w:rFonts w:ascii="Garamond" w:eastAsia="Times New Roman" w:hAnsi="Garamond" w:cs="Times New Roman"/>
          <w:color w:val="000000"/>
          <w:sz w:val="24"/>
          <w:szCs w:val="24"/>
          <w:shd w:val="clear" w:color="auto" w:fill="FFFFFF"/>
          <w:lang w:eastAsia="en-GB"/>
        </w:rPr>
        <w:t xml:space="preserve"> a simple binary of trafficking – </w:t>
      </w:r>
      <w:r w:rsidRPr="00253C29">
        <w:rPr>
          <w:rFonts w:ascii="Garamond" w:eastAsia="Times New Roman" w:hAnsi="Garamond" w:cs="Times New Roman"/>
          <w:color w:val="000000"/>
          <w:sz w:val="24"/>
          <w:szCs w:val="24"/>
          <w:shd w:val="clear" w:color="auto" w:fill="FFFFFF"/>
          <w:lang w:eastAsia="en-GB"/>
        </w:rPr>
        <w:t>where the migrant is deceived, mov</w:t>
      </w:r>
      <w:r>
        <w:rPr>
          <w:rFonts w:ascii="Garamond" w:eastAsia="Times New Roman" w:hAnsi="Garamond" w:cs="Times New Roman"/>
          <w:color w:val="000000"/>
          <w:sz w:val="24"/>
          <w:szCs w:val="24"/>
          <w:shd w:val="clear" w:color="auto" w:fill="FFFFFF"/>
          <w:lang w:eastAsia="en-GB"/>
        </w:rPr>
        <w:t xml:space="preserve">ed and subsequently exploited – and smuggling – </w:t>
      </w:r>
      <w:r w:rsidRPr="00253C29">
        <w:rPr>
          <w:rFonts w:ascii="Garamond" w:eastAsia="Times New Roman" w:hAnsi="Garamond" w:cs="Times New Roman"/>
          <w:color w:val="000000"/>
          <w:sz w:val="24"/>
          <w:szCs w:val="24"/>
          <w:shd w:val="clear" w:color="auto" w:fill="FFFFFF"/>
          <w:lang w:eastAsia="en-GB"/>
        </w:rPr>
        <w:t>where the migrant acts through their ow</w:t>
      </w:r>
      <w:r>
        <w:rPr>
          <w:rFonts w:ascii="Garamond" w:eastAsia="Times New Roman" w:hAnsi="Garamond" w:cs="Times New Roman"/>
          <w:color w:val="000000"/>
          <w:sz w:val="24"/>
          <w:szCs w:val="24"/>
          <w:shd w:val="clear" w:color="auto" w:fill="FFFFFF"/>
          <w:lang w:eastAsia="en-GB"/>
        </w:rPr>
        <w:t>n (criminaliz</w:t>
      </w:r>
      <w:r w:rsidRPr="00253C29">
        <w:rPr>
          <w:rFonts w:ascii="Garamond" w:eastAsia="Times New Roman" w:hAnsi="Garamond" w:cs="Times New Roman"/>
          <w:color w:val="000000"/>
          <w:sz w:val="24"/>
          <w:szCs w:val="24"/>
          <w:shd w:val="clear" w:color="auto" w:fill="FFFFFF"/>
          <w:lang w:eastAsia="en-GB"/>
        </w:rPr>
        <w:t xml:space="preserve">ed) volition, and the state is exploited (Silvey, 2009; </w:t>
      </w:r>
      <w:r>
        <w:rPr>
          <w:rFonts w:ascii="Garamond" w:eastAsia="Times New Roman" w:hAnsi="Garamond" w:cs="Times New Roman"/>
          <w:color w:val="000000"/>
          <w:sz w:val="24"/>
          <w:szCs w:val="24"/>
          <w:shd w:val="clear" w:color="auto" w:fill="FFFFFF"/>
          <w:lang w:eastAsia="en-GB"/>
        </w:rPr>
        <w:t xml:space="preserve">van </w:t>
      </w:r>
      <w:r w:rsidRPr="00253C29">
        <w:rPr>
          <w:rFonts w:ascii="Garamond" w:eastAsia="Times New Roman" w:hAnsi="Garamond" w:cs="Times New Roman"/>
          <w:color w:val="000000"/>
          <w:sz w:val="24"/>
          <w:szCs w:val="24"/>
          <w:shd w:val="clear" w:color="auto" w:fill="FFFFFF"/>
          <w:lang w:eastAsia="en-GB"/>
        </w:rPr>
        <w:t>Liempt, 2010</w:t>
      </w:r>
      <w:r>
        <w:rPr>
          <w:rFonts w:ascii="Garamond" w:eastAsia="Times New Roman" w:hAnsi="Garamond" w:cs="Times New Roman"/>
          <w:color w:val="000000"/>
          <w:sz w:val="24"/>
          <w:szCs w:val="24"/>
          <w:shd w:val="clear" w:color="auto" w:fill="FFFFFF"/>
          <w:lang w:eastAsia="en-GB"/>
        </w:rPr>
        <w:t>). From the perspective of anti</w:t>
      </w:r>
      <w:r w:rsidRPr="00253C29">
        <w:rPr>
          <w:rFonts w:ascii="Garamond" w:eastAsia="Times New Roman" w:hAnsi="Garamond" w:cs="Times New Roman"/>
          <w:color w:val="000000"/>
          <w:sz w:val="24"/>
          <w:szCs w:val="24"/>
          <w:shd w:val="clear" w:color="auto" w:fill="FFFFFF"/>
          <w:lang w:eastAsia="en-GB"/>
        </w:rPr>
        <w:t xml:space="preserve">slavery organizations, the masterstroke of the trafficking protocol was to produce a definition of slavery </w:t>
      </w:r>
      <w:r>
        <w:rPr>
          <w:rFonts w:ascii="Garamond" w:eastAsia="Times New Roman" w:hAnsi="Garamond" w:cs="Times New Roman"/>
          <w:color w:val="000000"/>
          <w:sz w:val="24"/>
          <w:szCs w:val="24"/>
          <w:shd w:val="clear" w:color="auto" w:fill="FFFFFF"/>
          <w:lang w:eastAsia="en-GB"/>
        </w:rPr>
        <w:t>that</w:t>
      </w:r>
      <w:r w:rsidRPr="00253C29">
        <w:rPr>
          <w:rFonts w:ascii="Garamond" w:eastAsia="Times New Roman" w:hAnsi="Garamond" w:cs="Times New Roman"/>
          <w:color w:val="000000"/>
          <w:sz w:val="24"/>
          <w:szCs w:val="24"/>
          <w:shd w:val="clear" w:color="auto" w:fill="FFFFFF"/>
          <w:lang w:eastAsia="en-GB"/>
        </w:rPr>
        <w:t xml:space="preserve"> combined mobility a</w:t>
      </w:r>
      <w:r>
        <w:rPr>
          <w:rFonts w:ascii="Garamond" w:eastAsia="Times New Roman" w:hAnsi="Garamond" w:cs="Times New Roman"/>
          <w:color w:val="000000"/>
          <w:sz w:val="24"/>
          <w:szCs w:val="24"/>
          <w:shd w:val="clear" w:color="auto" w:fill="FFFFFF"/>
          <w:lang w:eastAsia="en-GB"/>
        </w:rPr>
        <w:t>nd exploitation. Thus, the anti</w:t>
      </w:r>
      <w:r w:rsidRPr="00253C29">
        <w:rPr>
          <w:rFonts w:ascii="Garamond" w:eastAsia="Times New Roman" w:hAnsi="Garamond" w:cs="Times New Roman"/>
          <w:color w:val="000000"/>
          <w:sz w:val="24"/>
          <w:szCs w:val="24"/>
          <w:shd w:val="clear" w:color="auto" w:fill="FFFFFF"/>
          <w:lang w:eastAsia="en-GB"/>
        </w:rPr>
        <w:t xml:space="preserve">slavery agenda was given leverage in global trade and governance debates as it tapped into the urgent border and ‘irregular’ or ‘porous’ migration anxieties of multinational corporations, sovereign states and supra-national organizations in an era of millennial capitalism (Comaroff </w:t>
      </w:r>
      <w:r w:rsidR="00F152DB">
        <w:rPr>
          <w:rFonts w:ascii="Garamond" w:eastAsia="Times New Roman" w:hAnsi="Garamond" w:cs="Times New Roman"/>
          <w:color w:val="000000"/>
          <w:sz w:val="24"/>
          <w:szCs w:val="24"/>
          <w:shd w:val="clear" w:color="auto" w:fill="FFFFFF"/>
          <w:lang w:eastAsia="en-GB"/>
        </w:rPr>
        <w:t>and</w:t>
      </w:r>
      <w:r w:rsidRPr="00253C29">
        <w:rPr>
          <w:rFonts w:ascii="Garamond" w:eastAsia="Times New Roman" w:hAnsi="Garamond" w:cs="Times New Roman"/>
          <w:color w:val="000000"/>
          <w:sz w:val="24"/>
          <w:szCs w:val="24"/>
          <w:shd w:val="clear" w:color="auto" w:fill="FFFFFF"/>
          <w:lang w:eastAsia="en-GB"/>
        </w:rPr>
        <w:t xml:space="preserve"> Comaroff, 2000; Bhab</w:t>
      </w:r>
      <w:r>
        <w:rPr>
          <w:rFonts w:ascii="Garamond" w:eastAsia="Times New Roman" w:hAnsi="Garamond" w:cs="Times New Roman"/>
          <w:color w:val="000000"/>
          <w:sz w:val="24"/>
          <w:szCs w:val="24"/>
          <w:shd w:val="clear" w:color="auto" w:fill="FFFFFF"/>
          <w:lang w:eastAsia="en-GB"/>
        </w:rPr>
        <w:t>ha, 2005; Silvey, 2009</w:t>
      </w:r>
      <w:r w:rsidRPr="00253C29">
        <w:rPr>
          <w:rFonts w:ascii="Garamond" w:eastAsia="Times New Roman" w:hAnsi="Garamond" w:cs="Times New Roman"/>
          <w:color w:val="000000"/>
          <w:sz w:val="24"/>
          <w:szCs w:val="24"/>
          <w:shd w:val="clear" w:color="auto" w:fill="FFFFFF"/>
          <w:lang w:eastAsia="en-GB"/>
        </w:rPr>
        <w:t>). In</w:t>
      </w:r>
      <w:r>
        <w:rPr>
          <w:rFonts w:ascii="Garamond" w:eastAsia="Times New Roman" w:hAnsi="Garamond" w:cs="Times New Roman"/>
          <w:color w:val="000000"/>
          <w:sz w:val="24"/>
          <w:szCs w:val="24"/>
          <w:shd w:val="clear" w:color="auto" w:fill="FFFFFF"/>
          <w:lang w:eastAsia="en-GB"/>
        </w:rPr>
        <w:t xml:space="preserve"> addition to making anti-trafficking</w:t>
      </w:r>
      <w:r w:rsidRPr="00253C29">
        <w:rPr>
          <w:rFonts w:ascii="Garamond" w:eastAsia="Times New Roman" w:hAnsi="Garamond" w:cs="Times New Roman"/>
          <w:color w:val="000000"/>
          <w:sz w:val="24"/>
          <w:szCs w:val="24"/>
          <w:shd w:val="clear" w:color="auto" w:fill="FFFFFF"/>
          <w:lang w:eastAsia="en-GB"/>
        </w:rPr>
        <w:t xml:space="preserve"> relevant to (Western) geopolitical and neoliberal power (in 2002 the Bush administration passed a </w:t>
      </w:r>
      <w:r w:rsidRPr="00253C29">
        <w:rPr>
          <w:rFonts w:ascii="Garamond" w:eastAsia="Times New Roman" w:hAnsi="Garamond" w:cs="Times New Roman"/>
          <w:i/>
          <w:color w:val="000000"/>
          <w:sz w:val="24"/>
          <w:szCs w:val="24"/>
          <w:shd w:val="clear" w:color="auto" w:fill="FFFFFF"/>
          <w:lang w:eastAsia="en-GB"/>
        </w:rPr>
        <w:t>National Security Presidential Directive</w:t>
      </w:r>
      <w:r w:rsidRPr="00253C29">
        <w:rPr>
          <w:rFonts w:ascii="Garamond" w:eastAsia="Times New Roman" w:hAnsi="Garamond" w:cs="Times New Roman"/>
          <w:color w:val="000000"/>
          <w:sz w:val="24"/>
          <w:szCs w:val="24"/>
          <w:shd w:val="clear" w:color="auto" w:fill="FFFFFF"/>
          <w:lang w:eastAsia="en-GB"/>
        </w:rPr>
        <w:t xml:space="preserve"> which identified trafficking as an important national security issue), the Palermo Protocols provided NGOs with an authoritative and internationally binding definition of the ‘new slaveries’ which spoke to a plethora of social movements and publics.   </w:t>
      </w:r>
    </w:p>
    <w:p w:rsidR="00BB49E2" w:rsidRPr="00253C29"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Pr="00253C29"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sz w:val="24"/>
          <w:szCs w:val="24"/>
          <w:lang w:eastAsia="en-GB"/>
        </w:rPr>
        <w:t>STT’s</w:t>
      </w:r>
      <w:r w:rsidRPr="00253C29">
        <w:rPr>
          <w:rFonts w:ascii="Garamond" w:eastAsia="Times New Roman" w:hAnsi="Garamond" w:cs="Times New Roman"/>
          <w:sz w:val="24"/>
          <w:szCs w:val="24"/>
          <w:lang w:eastAsia="en-GB"/>
        </w:rPr>
        <w:t xml:space="preserve"> definition positions trafficking as the ‘new’ form of slavery. In line with Kevin Bale’s </w:t>
      </w:r>
      <w:r w:rsidRPr="00253C29">
        <w:rPr>
          <w:rFonts w:ascii="Garamond" w:eastAsia="Times New Roman" w:hAnsi="Garamond" w:cs="Times New Roman"/>
          <w:i/>
          <w:sz w:val="24"/>
          <w:szCs w:val="24"/>
          <w:lang w:eastAsia="en-GB"/>
        </w:rPr>
        <w:t>The Disposable Peopl</w:t>
      </w:r>
      <w:r>
        <w:rPr>
          <w:rFonts w:ascii="Garamond" w:eastAsia="Times New Roman" w:hAnsi="Garamond" w:cs="Times New Roman"/>
          <w:i/>
          <w:sz w:val="24"/>
          <w:szCs w:val="24"/>
          <w:lang w:eastAsia="en-GB"/>
        </w:rPr>
        <w:t xml:space="preserve">e </w:t>
      </w:r>
      <w:r w:rsidRPr="00253C29">
        <w:rPr>
          <w:rFonts w:ascii="Garamond" w:eastAsia="Times New Roman" w:hAnsi="Garamond" w:cs="Times New Roman"/>
          <w:sz w:val="24"/>
          <w:szCs w:val="24"/>
          <w:lang w:eastAsia="en-GB"/>
        </w:rPr>
        <w:t xml:space="preserve">(1999), this slavery is understood to be more ubiquitous, fluid and </w:t>
      </w:r>
      <w:r>
        <w:rPr>
          <w:rFonts w:ascii="Garamond" w:eastAsia="Times New Roman" w:hAnsi="Garamond" w:cs="Times New Roman"/>
          <w:sz w:val="24"/>
          <w:szCs w:val="24"/>
          <w:lang w:eastAsia="en-GB"/>
        </w:rPr>
        <w:t>destabiliz</w:t>
      </w:r>
      <w:r w:rsidRPr="00253C29">
        <w:rPr>
          <w:rFonts w:ascii="Garamond" w:eastAsia="Times New Roman" w:hAnsi="Garamond" w:cs="Times New Roman"/>
          <w:sz w:val="24"/>
          <w:szCs w:val="24"/>
          <w:lang w:eastAsia="en-GB"/>
        </w:rPr>
        <w:t>ed than chattel or contractual slaveries. It is highlighted by the drop in value in comparative terms of a slave from the Ivory Coast from $50,000 to between $100-200:</w:t>
      </w:r>
    </w:p>
    <w:p w:rsidR="00BB49E2" w:rsidRPr="00253C29" w:rsidRDefault="00BB49E2" w:rsidP="00BB49E2">
      <w:pPr>
        <w:pStyle w:val="ListParagraph"/>
        <w:spacing w:after="0" w:line="360" w:lineRule="auto"/>
        <w:ind w:left="1080"/>
        <w:rPr>
          <w:rFonts w:ascii="Garamond" w:eastAsia="Times New Roman" w:hAnsi="Garamond" w:cs="Times New Roman"/>
          <w:sz w:val="24"/>
          <w:szCs w:val="24"/>
          <w:lang w:eastAsia="en-GB"/>
        </w:rPr>
      </w:pPr>
    </w:p>
    <w:p w:rsidR="00BB49E2" w:rsidRPr="00253C29" w:rsidRDefault="00BB49E2" w:rsidP="00BB49E2">
      <w:pPr>
        <w:pStyle w:val="ListParagraph"/>
        <w:spacing w:after="0" w:line="360" w:lineRule="auto"/>
        <w:ind w:left="284" w:right="284"/>
        <w:jc w:val="both"/>
        <w:rPr>
          <w:rFonts w:ascii="Garamond" w:eastAsia="Times New Roman" w:hAnsi="Garamond" w:cs="Times New Roman"/>
          <w:lang w:eastAsia="en-GB"/>
        </w:rPr>
      </w:pPr>
      <w:r w:rsidRPr="00253C29">
        <w:rPr>
          <w:rFonts w:ascii="Garamond" w:eastAsia="Times New Roman" w:hAnsi="Garamond" w:cs="Times New Roman"/>
          <w:lang w:eastAsia="en-GB"/>
        </w:rPr>
        <w:t>Slavery is a booming business and the number of slaves is increasing. People get rich by using slaves. And when they’ve finished with their slaves they just throw those people away. This is the new slavery, which focuses on big profits and cheap lives. It is not about owning people in the traditional sense of the old slavery, but about controlling them completely. People become completely di</w:t>
      </w:r>
      <w:r>
        <w:rPr>
          <w:rFonts w:ascii="Garamond" w:eastAsia="Times New Roman" w:hAnsi="Garamond" w:cs="Times New Roman"/>
          <w:lang w:eastAsia="en-GB"/>
        </w:rPr>
        <w:t>sposable tools for making money. (1999: 4)</w:t>
      </w:r>
    </w:p>
    <w:p w:rsidR="00BB49E2" w:rsidRPr="00253C29" w:rsidRDefault="00BB49E2" w:rsidP="00BB49E2">
      <w:pPr>
        <w:pStyle w:val="ListParagraph"/>
        <w:spacing w:after="0" w:line="360" w:lineRule="auto"/>
        <w:ind w:left="284" w:right="284"/>
        <w:jc w:val="both"/>
        <w:rPr>
          <w:rFonts w:ascii="Garamond" w:eastAsia="Times New Roman" w:hAnsi="Garamond" w:cs="Times New Roman"/>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253C29">
        <w:rPr>
          <w:rFonts w:ascii="Garamond" w:eastAsia="Times New Roman" w:hAnsi="Garamond" w:cs="Times New Roman"/>
          <w:sz w:val="24"/>
          <w:szCs w:val="24"/>
          <w:lang w:eastAsia="en-GB"/>
        </w:rPr>
        <w:t>According to Bales, trafficked people are not owned so much as controlled, and they are explo</w:t>
      </w:r>
      <w:r>
        <w:rPr>
          <w:rFonts w:ascii="Garamond" w:eastAsia="Times New Roman" w:hAnsi="Garamond" w:cs="Times New Roman"/>
          <w:sz w:val="24"/>
          <w:szCs w:val="24"/>
          <w:lang w:eastAsia="en-GB"/>
        </w:rPr>
        <w:t>i</w:t>
      </w:r>
      <w:r w:rsidRPr="00253C29">
        <w:rPr>
          <w:rFonts w:ascii="Garamond" w:eastAsia="Times New Roman" w:hAnsi="Garamond" w:cs="Times New Roman"/>
          <w:sz w:val="24"/>
          <w:szCs w:val="24"/>
          <w:lang w:eastAsia="en-GB"/>
        </w:rPr>
        <w:t>ted not in bounded places such as plantations, but often in the hidden interstices of global capital, in the kitchens of restaurants, and the back</w:t>
      </w:r>
      <w:r>
        <w:rPr>
          <w:rFonts w:ascii="Garamond" w:eastAsia="Times New Roman" w:hAnsi="Garamond" w:cs="Times New Roman"/>
          <w:sz w:val="24"/>
          <w:szCs w:val="24"/>
          <w:lang w:eastAsia="en-GB"/>
        </w:rPr>
        <w:t>s</w:t>
      </w:r>
      <w:r w:rsidRPr="00253C29">
        <w:rPr>
          <w:rFonts w:ascii="Garamond" w:eastAsia="Times New Roman" w:hAnsi="Garamond" w:cs="Times New Roman"/>
          <w:sz w:val="24"/>
          <w:szCs w:val="24"/>
          <w:lang w:eastAsia="en-GB"/>
        </w:rPr>
        <w:t xml:space="preserve"> of transit vans. In 2007, STT released a series of video shorts on YouTube depicting a range of industries in London where trafficking could be found. </w:t>
      </w:r>
      <w:r w:rsidRPr="00253C29">
        <w:rPr>
          <w:rFonts w:ascii="Garamond" w:eastAsia="Times New Roman" w:hAnsi="Garamond" w:cs="Times New Roman"/>
          <w:color w:val="000000"/>
          <w:sz w:val="24"/>
          <w:szCs w:val="24"/>
          <w:shd w:val="clear" w:color="auto" w:fill="FFFFFF"/>
          <w:lang w:eastAsia="en-GB"/>
        </w:rPr>
        <w:t xml:space="preserve">Following the model of recent popular accounts and exposés of ‘new slaveries’ </w:t>
      </w:r>
      <w:r>
        <w:rPr>
          <w:rFonts w:ascii="Garamond" w:eastAsia="Times New Roman" w:hAnsi="Garamond" w:cs="Times New Roman"/>
          <w:color w:val="000000"/>
          <w:sz w:val="24"/>
          <w:szCs w:val="24"/>
          <w:shd w:val="clear" w:color="auto" w:fill="FFFFFF"/>
          <w:lang w:eastAsia="en-GB"/>
        </w:rPr>
        <w:t>in buyer-</w:t>
      </w:r>
      <w:r w:rsidRPr="00253C29">
        <w:rPr>
          <w:rFonts w:ascii="Garamond" w:eastAsia="Times New Roman" w:hAnsi="Garamond" w:cs="Times New Roman"/>
          <w:color w:val="000000"/>
          <w:sz w:val="24"/>
          <w:szCs w:val="24"/>
          <w:shd w:val="clear" w:color="auto" w:fill="FFFFFF"/>
          <w:lang w:eastAsia="en-GB"/>
        </w:rPr>
        <w:t>led chains of the chocolate, sex, and domestic servitude indus</w:t>
      </w:r>
      <w:r>
        <w:rPr>
          <w:rFonts w:ascii="Garamond" w:eastAsia="Times New Roman" w:hAnsi="Garamond" w:cs="Times New Roman"/>
          <w:color w:val="000000"/>
          <w:sz w:val="24"/>
          <w:szCs w:val="24"/>
          <w:shd w:val="clear" w:color="auto" w:fill="FFFFFF"/>
          <w:lang w:eastAsia="en-GB"/>
        </w:rPr>
        <w:t>tries during the last decade (Off, 2006; Skinner 2008</w:t>
      </w:r>
      <w:r w:rsidRPr="00253C29">
        <w:rPr>
          <w:rFonts w:ascii="Garamond" w:eastAsia="Times New Roman" w:hAnsi="Garamond" w:cs="Times New Roman"/>
          <w:color w:val="000000"/>
          <w:sz w:val="24"/>
          <w:szCs w:val="24"/>
          <w:shd w:val="clear" w:color="auto" w:fill="FFFFFF"/>
          <w:lang w:eastAsia="en-GB"/>
        </w:rPr>
        <w:t>; Bales</w:t>
      </w:r>
      <w:r>
        <w:rPr>
          <w:rFonts w:ascii="Garamond" w:eastAsia="Times New Roman" w:hAnsi="Garamond" w:cs="Times New Roman"/>
          <w:color w:val="000000"/>
          <w:sz w:val="24"/>
          <w:szCs w:val="24"/>
          <w:shd w:val="clear" w:color="auto" w:fill="FFFFFF"/>
          <w:lang w:eastAsia="en-GB"/>
        </w:rPr>
        <w:t xml:space="preserve">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Soodalter</w:t>
      </w:r>
      <w:r w:rsidRPr="00253C29">
        <w:rPr>
          <w:rFonts w:ascii="Garamond" w:eastAsia="Times New Roman" w:hAnsi="Garamond" w:cs="Times New Roman"/>
          <w:color w:val="000000"/>
          <w:sz w:val="24"/>
          <w:szCs w:val="24"/>
          <w:shd w:val="clear" w:color="auto" w:fill="FFFFFF"/>
          <w:lang w:eastAsia="en-GB"/>
        </w:rPr>
        <w:t xml:space="preserve">, 2009), STT have adopted the mantra of the citizen-consumer with its tendency </w:t>
      </w:r>
      <w:r>
        <w:rPr>
          <w:rFonts w:ascii="Garamond" w:eastAsia="Times New Roman" w:hAnsi="Garamond" w:cs="Times New Roman"/>
          <w:color w:val="000000"/>
          <w:sz w:val="24"/>
          <w:szCs w:val="24"/>
          <w:shd w:val="clear" w:color="auto" w:fill="FFFFFF"/>
          <w:lang w:eastAsia="en-GB"/>
        </w:rPr>
        <w:t>to coalesce around collectivist-</w:t>
      </w:r>
      <w:r w:rsidRPr="00253C29">
        <w:rPr>
          <w:rFonts w:ascii="Garamond" w:eastAsia="Times New Roman" w:hAnsi="Garamond" w:cs="Times New Roman"/>
          <w:color w:val="000000"/>
          <w:sz w:val="24"/>
          <w:szCs w:val="24"/>
          <w:shd w:val="clear" w:color="auto" w:fill="FFFFFF"/>
          <w:lang w:eastAsia="en-GB"/>
        </w:rPr>
        <w:t xml:space="preserve">based structures whilst producing individualist </w:t>
      </w:r>
      <w:r>
        <w:rPr>
          <w:rFonts w:ascii="Garamond" w:eastAsia="Times New Roman" w:hAnsi="Garamond" w:cs="Times New Roman"/>
          <w:color w:val="000000"/>
          <w:sz w:val="24"/>
          <w:szCs w:val="24"/>
          <w:shd w:val="clear" w:color="auto" w:fill="FFFFFF"/>
          <w:lang w:eastAsia="en-GB"/>
        </w:rPr>
        <w:t xml:space="preserve">heroes past and present (Gabriel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Lang,</w:t>
      </w:r>
      <w:r w:rsidRPr="00253C29">
        <w:rPr>
          <w:rFonts w:ascii="Garamond" w:eastAsia="Times New Roman" w:hAnsi="Garamond" w:cs="Times New Roman"/>
          <w:color w:val="000000"/>
          <w:sz w:val="24"/>
          <w:szCs w:val="24"/>
          <w:shd w:val="clear" w:color="auto" w:fill="FFFFFF"/>
          <w:lang w:eastAsia="en-GB"/>
        </w:rPr>
        <w:t xml:space="preserve"> 2005).  Some of STT’s contemporary heroes (su</w:t>
      </w:r>
      <w:r>
        <w:rPr>
          <w:rFonts w:ascii="Garamond" w:eastAsia="Times New Roman" w:hAnsi="Garamond" w:cs="Times New Roman"/>
          <w:color w:val="000000"/>
          <w:sz w:val="24"/>
          <w:szCs w:val="24"/>
          <w:shd w:val="clear" w:color="auto" w:fill="FFFFFF"/>
          <w:lang w:eastAsia="en-GB"/>
        </w:rPr>
        <w:t xml:space="preserve">ch as the film-maker and </w:t>
      </w:r>
      <w:r w:rsidRPr="00253C29">
        <w:rPr>
          <w:rFonts w:ascii="Garamond" w:eastAsia="Times New Roman" w:hAnsi="Garamond" w:cs="Times New Roman"/>
          <w:color w:val="000000"/>
          <w:sz w:val="24"/>
          <w:szCs w:val="24"/>
          <w:shd w:val="clear" w:color="auto" w:fill="FFFFFF"/>
          <w:lang w:eastAsia="en-GB"/>
        </w:rPr>
        <w:t xml:space="preserve">activist Robert Romero) work in tandem with particular STT campaigns (Romero produced Channel 4’s 2009 trafficking witness documentary </w:t>
      </w:r>
      <w:r w:rsidRPr="00253C29">
        <w:rPr>
          <w:rFonts w:ascii="Garamond" w:eastAsia="Times New Roman" w:hAnsi="Garamond" w:cs="Times New Roman"/>
          <w:i/>
          <w:color w:val="000000"/>
          <w:sz w:val="24"/>
          <w:szCs w:val="24"/>
          <w:shd w:val="clear" w:color="auto" w:fill="FFFFFF"/>
          <w:lang w:eastAsia="en-GB"/>
        </w:rPr>
        <w:t xml:space="preserve">The Dark Side of Chocolate </w:t>
      </w:r>
      <w:r>
        <w:rPr>
          <w:rFonts w:ascii="Garamond" w:eastAsia="Times New Roman" w:hAnsi="Garamond" w:cs="Times New Roman"/>
          <w:color w:val="000000"/>
          <w:sz w:val="24"/>
          <w:szCs w:val="24"/>
          <w:shd w:val="clear" w:color="auto" w:fill="FFFFFF"/>
          <w:lang w:eastAsia="en-GB"/>
        </w:rPr>
        <w:t>while taking advice from STT). During the time I have researched the organization, STT have worked on anti-trafficking campaigns across a range of consumption contexts (including restaurants, hotels, taxis, schools and eating chocolate). Their work across the sex industry is less translucent to the public and deploys forms of community surveillance in coalition with regional, national and international security organizations. STT propose industry and community-led solutions to trafficking; volunteers are variously encouraged to pressurize stakeholders, make petitions, engage in fair trade campaigns, and conduct surveillance.</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22355"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 xml:space="preserve">I chose to research STT because they communicate their message through several commodity-body topoi, and through tailored campaigns that address consumers and </w:t>
      </w:r>
      <w:r>
        <w:rPr>
          <w:rFonts w:ascii="Garamond" w:eastAsia="Times New Roman" w:hAnsi="Garamond" w:cs="Times New Roman"/>
          <w:color w:val="000000"/>
          <w:sz w:val="24"/>
          <w:szCs w:val="24"/>
          <w:shd w:val="clear" w:color="auto" w:fill="FFFFFF"/>
          <w:lang w:eastAsia="en-GB"/>
        </w:rPr>
        <w:lastRenderedPageBreak/>
        <w:t xml:space="preserve">stakeholders differently.  From 2008, STT have made a significant impact on the mainstreaming of fair trade and other certification schemes for cocoa. In 2008 the Dutch manufacturer Royal Verkade converted its production lines to 100% certified cocoa in response to pressure from the coalition. Following this initial success, STT Amsterdam, in coalition with their partners, have negotiated partial certified cocoa conversions and industry commitments to improving farming practices and education with Cadbury, Kraft (now both owned by </w:t>
      </w:r>
      <w:r w:rsidRPr="00E454C8">
        <w:rPr>
          <w:rFonts w:ascii="Garamond" w:eastAsia="Times New Roman" w:hAnsi="Garamond" w:cs="Times New Roman"/>
          <w:color w:val="000000"/>
          <w:sz w:val="24"/>
          <w:szCs w:val="24"/>
          <w:shd w:val="clear" w:color="auto" w:fill="FFFFFF"/>
          <w:lang w:eastAsia="en-GB"/>
        </w:rPr>
        <w:t>Mond</w:t>
      </w:r>
      <w:r w:rsidRPr="00E454C8">
        <w:rPr>
          <w:rFonts w:ascii="Times New Roman" w:eastAsia="Times New Roman" w:hAnsi="Times New Roman" w:cs="Times New Roman"/>
          <w:color w:val="000000"/>
          <w:sz w:val="20"/>
          <w:szCs w:val="24"/>
          <w:shd w:val="clear" w:color="auto" w:fill="FFFFFF"/>
          <w:lang w:eastAsia="en-GB"/>
        </w:rPr>
        <w:t>ē</w:t>
      </w:r>
      <w:r w:rsidRPr="00E454C8">
        <w:rPr>
          <w:rFonts w:ascii="Garamond" w:eastAsia="Times New Roman" w:hAnsi="Garamond" w:cs="Times New Roman"/>
          <w:color w:val="000000"/>
          <w:sz w:val="24"/>
          <w:szCs w:val="24"/>
          <w:shd w:val="clear" w:color="auto" w:fill="FFFFFF"/>
          <w:lang w:eastAsia="en-GB"/>
        </w:rPr>
        <w:t>lez),</w:t>
      </w:r>
      <w:r>
        <w:rPr>
          <w:rFonts w:ascii="Garamond" w:eastAsia="Times New Roman" w:hAnsi="Garamond" w:cs="Times New Roman"/>
          <w:color w:val="000000"/>
          <w:sz w:val="24"/>
          <w:szCs w:val="24"/>
          <w:shd w:val="clear" w:color="auto" w:fill="FFFFFF"/>
          <w:lang w:eastAsia="en-GB"/>
        </w:rPr>
        <w:t xml:space="preserve"> Ferrero, Hershey and </w:t>
      </w:r>
      <w:r w:rsidRPr="00537026">
        <w:rPr>
          <w:rFonts w:ascii="Garamond" w:eastAsia="Times New Roman" w:hAnsi="Garamond" w:cs="Times New Roman"/>
          <w:color w:val="000000"/>
          <w:sz w:val="24"/>
          <w:szCs w:val="24"/>
          <w:shd w:val="clear" w:color="auto" w:fill="FFFFFF"/>
          <w:lang w:eastAsia="en-GB"/>
        </w:rPr>
        <w:t>Nestlé</w:t>
      </w:r>
      <w:r>
        <w:rPr>
          <w:rFonts w:ascii="Garamond" w:eastAsia="Times New Roman" w:hAnsi="Garamond" w:cs="Times New Roman"/>
          <w:color w:val="000000"/>
          <w:sz w:val="24"/>
          <w:szCs w:val="24"/>
          <w:shd w:val="clear" w:color="auto" w:fill="FFFFFF"/>
          <w:lang w:eastAsia="en-GB"/>
        </w:rPr>
        <w:t xml:space="preserve">. In Chapter Four, I show how STT use a combination of boycotter tactics while being careful to not encourage full consumer boycotts of chocolate. </w:t>
      </w:r>
    </w:p>
    <w:p w:rsidR="00BB49E2"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BB49E2">
      <w:pPr>
        <w:rPr>
          <w:rFonts w:ascii="Garamond" w:eastAsia="Times New Roman" w:hAnsi="Garamond" w:cs="Times New Roman"/>
          <w:color w:val="000000"/>
          <w:sz w:val="24"/>
          <w:szCs w:val="24"/>
          <w:shd w:val="clear" w:color="auto" w:fill="FFFFFF"/>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noProof/>
          <w:color w:val="000000"/>
          <w:sz w:val="24"/>
          <w:szCs w:val="24"/>
          <w:shd w:val="clear" w:color="auto" w:fill="FFFFFF"/>
          <w:lang w:eastAsia="en-GB"/>
        </w:rPr>
        <w:drawing>
          <wp:inline distT="0" distB="0" distL="0" distR="0">
            <wp:extent cx="5318494" cy="3688338"/>
            <wp:effectExtent l="19050" t="0" r="0" b="0"/>
            <wp:docPr id="15" name="Picture 15" descr="C:\Users\hugh crosfield\Desktop\uptake of certified choco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gh crosfield\Desktop\uptake of certified chocolate.png"/>
                    <pic:cNvPicPr>
                      <a:picLocks noChangeAspect="1" noChangeArrowheads="1"/>
                    </pic:cNvPicPr>
                  </pic:nvPicPr>
                  <pic:blipFill>
                    <a:blip r:embed="rId14" cstate="print"/>
                    <a:srcRect/>
                    <a:stretch>
                      <a:fillRect/>
                    </a:stretch>
                  </pic:blipFill>
                  <pic:spPr bwMode="auto">
                    <a:xfrm>
                      <a:off x="0" y="0"/>
                      <a:ext cx="5319316" cy="3688908"/>
                    </a:xfrm>
                    <a:prstGeom prst="rect">
                      <a:avLst/>
                    </a:prstGeom>
                    <a:noFill/>
                    <a:ln w="9525">
                      <a:noFill/>
                      <a:miter lim="800000"/>
                      <a:headEnd/>
                      <a:tailEnd/>
                    </a:ln>
                  </pic:spPr>
                </pic:pic>
              </a:graphicData>
            </a:graphic>
          </wp:inline>
        </w:drawing>
      </w:r>
      <w:r>
        <w:rPr>
          <w:rFonts w:ascii="Garamond" w:eastAsia="Times New Roman" w:hAnsi="Garamond" w:cs="Times New Roman"/>
          <w:color w:val="000000"/>
          <w:sz w:val="24"/>
          <w:szCs w:val="24"/>
          <w:shd w:val="clear" w:color="auto" w:fill="FFFFFF"/>
          <w:lang w:eastAsia="en-GB"/>
        </w:rPr>
        <w:t xml:space="preserve">    </w:t>
      </w:r>
    </w:p>
    <w:p w:rsidR="00286723" w:rsidRPr="00286723" w:rsidRDefault="0050393D" w:rsidP="00286723">
      <w:pPr>
        <w:rPr>
          <w:rFonts w:ascii="Perpetua" w:hAnsi="Perpetua"/>
          <w:sz w:val="20"/>
        </w:rPr>
      </w:pPr>
      <w:bookmarkStart w:id="147" w:name="_Toc263509001"/>
      <w:bookmarkStart w:id="148" w:name="_Toc263510788"/>
      <w:bookmarkStart w:id="149" w:name="_Toc244168219"/>
      <w:bookmarkStart w:id="150" w:name="_Toc244437509"/>
      <w:bookmarkStart w:id="151" w:name="_Toc244508204"/>
      <w:bookmarkStart w:id="152" w:name="_Toc244577266"/>
      <w:bookmarkStart w:id="153" w:name="_Toc263495735"/>
      <w:r w:rsidRPr="00286723">
        <w:rPr>
          <w:rFonts w:ascii="Perpetua" w:hAnsi="Perpetua"/>
          <w:sz w:val="20"/>
        </w:rPr>
        <w:t xml:space="preserve">Figure </w:t>
      </w:r>
      <w:r w:rsidR="00DF2DF8" w:rsidRPr="00286723">
        <w:rPr>
          <w:rFonts w:ascii="Perpetua" w:hAnsi="Perpetua"/>
          <w:sz w:val="20"/>
        </w:rPr>
        <w:fldChar w:fldCharType="begin"/>
      </w:r>
      <w:r w:rsidRPr="00286723">
        <w:rPr>
          <w:rFonts w:ascii="Perpetua" w:hAnsi="Perpetua"/>
          <w:sz w:val="20"/>
        </w:rPr>
        <w:instrText xml:space="preserve"> SEQ Figure \* ARABIC </w:instrText>
      </w:r>
      <w:r w:rsidR="00DF2DF8" w:rsidRPr="00286723">
        <w:rPr>
          <w:rFonts w:ascii="Perpetua" w:hAnsi="Perpetua"/>
          <w:sz w:val="20"/>
        </w:rPr>
        <w:fldChar w:fldCharType="separate"/>
      </w:r>
      <w:r w:rsidR="002B3E92">
        <w:rPr>
          <w:rFonts w:ascii="Perpetua" w:hAnsi="Perpetua"/>
          <w:noProof/>
          <w:sz w:val="20"/>
        </w:rPr>
        <w:t>4</w:t>
      </w:r>
      <w:r w:rsidR="00DF2DF8" w:rsidRPr="00286723">
        <w:rPr>
          <w:rFonts w:ascii="Perpetua" w:hAnsi="Perpetua"/>
          <w:sz w:val="20"/>
        </w:rPr>
        <w:fldChar w:fldCharType="end"/>
      </w:r>
      <w:r w:rsidR="00286723" w:rsidRPr="00286723">
        <w:rPr>
          <w:rFonts w:ascii="Perpetua" w:hAnsi="Perpetua"/>
          <w:sz w:val="20"/>
        </w:rPr>
        <w:t>: Illustration of p</w:t>
      </w:r>
      <w:r w:rsidRPr="00286723">
        <w:rPr>
          <w:rFonts w:ascii="Perpetua" w:hAnsi="Perpetua"/>
          <w:sz w:val="20"/>
        </w:rPr>
        <w:t>ercentage of certified cocoa, 2011.</w:t>
      </w:r>
      <w:r>
        <w:t xml:space="preserve"> </w:t>
      </w:r>
      <w:r w:rsidR="00286723" w:rsidRPr="00286723">
        <w:rPr>
          <w:rFonts w:ascii="Perpetua" w:hAnsi="Perpetua"/>
          <w:sz w:val="20"/>
        </w:rPr>
        <w:t>Shows commitments for future conversions by individual chocolate grinding and manufacturing companies (Hutz-Adams and Fountain, 2011: 11).</w:t>
      </w:r>
      <w:bookmarkEnd w:id="147"/>
      <w:bookmarkEnd w:id="148"/>
    </w:p>
    <w:p w:rsidR="00286723" w:rsidRDefault="00286723" w:rsidP="0050393D">
      <w:pPr>
        <w:pStyle w:val="Caption"/>
      </w:pPr>
    </w:p>
    <w:p w:rsidR="00F07857" w:rsidRDefault="00F07857" w:rsidP="00F07857">
      <w:pPr>
        <w:pStyle w:val="Caption"/>
        <w:spacing w:after="0" w:line="360" w:lineRule="auto"/>
        <w:jc w:val="both"/>
        <w:rPr>
          <w:rFonts w:ascii="Perpetua" w:hAnsi="Perpetua"/>
          <w:b w:val="0"/>
          <w:color w:val="auto"/>
          <w:sz w:val="20"/>
        </w:rPr>
      </w:pPr>
      <w:bookmarkStart w:id="154" w:name="_Toc244424936"/>
      <w:bookmarkStart w:id="155" w:name="_Toc244453622"/>
      <w:bookmarkStart w:id="156" w:name="_Toc244454139"/>
      <w:bookmarkEnd w:id="149"/>
      <w:bookmarkEnd w:id="150"/>
      <w:bookmarkEnd w:id="151"/>
      <w:bookmarkEnd w:id="152"/>
      <w:bookmarkEnd w:id="153"/>
    </w:p>
    <w:p w:rsidR="00F07857" w:rsidRDefault="00F07857" w:rsidP="00F07857">
      <w:pPr>
        <w:pStyle w:val="Caption"/>
        <w:spacing w:after="0" w:line="360" w:lineRule="auto"/>
        <w:jc w:val="both"/>
        <w:rPr>
          <w:rFonts w:ascii="Perpetua" w:hAnsi="Perpetua"/>
          <w:b w:val="0"/>
          <w:color w:val="auto"/>
          <w:sz w:val="20"/>
        </w:rPr>
      </w:pPr>
    </w:p>
    <w:p w:rsidR="00B22355" w:rsidRDefault="00B22355" w:rsidP="00F07857">
      <w:pPr>
        <w:pStyle w:val="Heading2"/>
        <w:rPr>
          <w:rFonts w:ascii="Perpetua" w:eastAsiaTheme="minorHAnsi" w:hAnsi="Perpetua" w:cstheme="minorBidi"/>
          <w:b w:val="0"/>
          <w:sz w:val="20"/>
          <w:szCs w:val="18"/>
        </w:rPr>
      </w:pPr>
      <w:bookmarkStart w:id="157" w:name="_Toc244469586"/>
    </w:p>
    <w:p w:rsidR="00417E04" w:rsidRPr="00417E04" w:rsidRDefault="00417E04" w:rsidP="00417E04"/>
    <w:p w:rsidR="00417E04" w:rsidRDefault="00417E04" w:rsidP="00F07857">
      <w:pPr>
        <w:pStyle w:val="Heading2"/>
      </w:pPr>
      <w:bookmarkStart w:id="158" w:name="_Toc244508042"/>
      <w:bookmarkStart w:id="159" w:name="_Toc244535736"/>
      <w:bookmarkStart w:id="160" w:name="_Toc244578368"/>
      <w:bookmarkStart w:id="161" w:name="_Toc244578752"/>
    </w:p>
    <w:p w:rsidR="00417E04" w:rsidRPr="00417E04" w:rsidRDefault="00417E04" w:rsidP="00417E04"/>
    <w:p w:rsidR="00417E04" w:rsidRDefault="00417E04" w:rsidP="00F07857">
      <w:pPr>
        <w:pStyle w:val="Heading2"/>
      </w:pPr>
    </w:p>
    <w:p w:rsidR="00BB49E2" w:rsidRPr="00F07857" w:rsidRDefault="00BB49E2" w:rsidP="00F07857">
      <w:pPr>
        <w:pStyle w:val="Heading2"/>
      </w:pPr>
      <w:bookmarkStart w:id="162" w:name="_Toc263452001"/>
      <w:bookmarkStart w:id="163" w:name="_Toc263510919"/>
      <w:r w:rsidRPr="00F07857">
        <w:t>Researching STT</w:t>
      </w:r>
      <w:bookmarkEnd w:id="154"/>
      <w:bookmarkEnd w:id="155"/>
      <w:bookmarkEnd w:id="156"/>
      <w:bookmarkEnd w:id="157"/>
      <w:bookmarkEnd w:id="158"/>
      <w:bookmarkEnd w:id="159"/>
      <w:bookmarkEnd w:id="160"/>
      <w:bookmarkEnd w:id="161"/>
      <w:bookmarkEnd w:id="162"/>
      <w:bookmarkEnd w:id="163"/>
      <w:r w:rsidRPr="00F07857">
        <w:t xml:space="preserve"> </w:t>
      </w:r>
    </w:p>
    <w:p w:rsidR="00BB49E2" w:rsidRDefault="00BB49E2" w:rsidP="00BB49E2">
      <w:pPr>
        <w:spacing w:after="0" w:line="360" w:lineRule="auto"/>
        <w:jc w:val="both"/>
        <w:rPr>
          <w:rFonts w:ascii="Garamond" w:eastAsia="Times New Roman" w:hAnsi="Garamond" w:cs="Times New Roman"/>
          <w:i/>
          <w:color w:val="000000"/>
          <w:sz w:val="24"/>
          <w:szCs w:val="24"/>
          <w:shd w:val="clear" w:color="auto" w:fill="FFFFFF"/>
          <w:lang w:eastAsia="en-GB"/>
        </w:rPr>
      </w:pPr>
    </w:p>
    <w:p w:rsidR="00BB49E2" w:rsidRPr="00B22355" w:rsidRDefault="00BB49E2" w:rsidP="00BB49E2">
      <w:pPr>
        <w:spacing w:after="0" w:line="360" w:lineRule="auto"/>
        <w:jc w:val="both"/>
        <w:rPr>
          <w:rFonts w:ascii="Garamond" w:eastAsia="Times New Roman" w:hAnsi="Garamond" w:cs="Times New Roman"/>
          <w:b/>
          <w:i/>
          <w:color w:val="000000"/>
          <w:szCs w:val="24"/>
          <w:shd w:val="clear" w:color="auto" w:fill="FFFFFF"/>
          <w:lang w:eastAsia="en-GB"/>
        </w:rPr>
      </w:pPr>
      <w:r w:rsidRPr="00B22355">
        <w:rPr>
          <w:rFonts w:ascii="Garamond" w:eastAsia="Times New Roman" w:hAnsi="Garamond" w:cs="Times New Roman"/>
          <w:b/>
          <w:i/>
          <w:color w:val="000000"/>
          <w:szCs w:val="24"/>
          <w:shd w:val="clear" w:color="auto" w:fill="FFFFFF"/>
          <w:lang w:eastAsia="en-GB"/>
        </w:rPr>
        <w:t>Overview</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666B91" w:rsidRPr="00666B91"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r w:rsidRPr="00253C29">
        <w:rPr>
          <w:rFonts w:ascii="Garamond" w:eastAsia="Times New Roman" w:hAnsi="Garamond" w:cs="Times New Roman"/>
          <w:color w:val="000000"/>
          <w:sz w:val="24"/>
          <w:szCs w:val="24"/>
          <w:shd w:val="clear" w:color="auto" w:fill="FFFFFF"/>
          <w:lang w:eastAsia="en-GB"/>
        </w:rPr>
        <w:t>The complexities of Stop The Traffik’s cho</w:t>
      </w:r>
      <w:r>
        <w:rPr>
          <w:rFonts w:ascii="Garamond" w:eastAsia="Times New Roman" w:hAnsi="Garamond" w:cs="Times New Roman"/>
          <w:color w:val="000000"/>
          <w:sz w:val="24"/>
          <w:szCs w:val="24"/>
          <w:shd w:val="clear" w:color="auto" w:fill="FFFFFF"/>
          <w:lang w:eastAsia="en-GB"/>
        </w:rPr>
        <w:t xml:space="preserve">colate activism emerged from a </w:t>
      </w:r>
      <w:r w:rsidRPr="00253C29">
        <w:rPr>
          <w:rFonts w:ascii="Garamond" w:eastAsia="Times New Roman" w:hAnsi="Garamond" w:cs="Times New Roman"/>
          <w:color w:val="000000"/>
          <w:sz w:val="24"/>
          <w:szCs w:val="24"/>
          <w:shd w:val="clear" w:color="auto" w:fill="FFFFFF"/>
          <w:lang w:eastAsia="en-GB"/>
        </w:rPr>
        <w:t>challenging and sustained dialogue with activists beginning with</w:t>
      </w:r>
      <w:r>
        <w:rPr>
          <w:rFonts w:ascii="Garamond" w:eastAsia="Times New Roman" w:hAnsi="Garamond" w:cs="Times New Roman"/>
          <w:color w:val="000000"/>
          <w:sz w:val="24"/>
          <w:szCs w:val="24"/>
          <w:shd w:val="clear" w:color="auto" w:fill="FFFFFF"/>
          <w:lang w:eastAsia="en-GB"/>
        </w:rPr>
        <w:t xml:space="preserve"> a series of open-ended questions through emails in September</w:t>
      </w:r>
      <w:r w:rsidRPr="00253C29">
        <w:rPr>
          <w:rFonts w:ascii="Garamond" w:eastAsia="Times New Roman" w:hAnsi="Garamond" w:cs="Times New Roman"/>
          <w:color w:val="000000"/>
          <w:sz w:val="24"/>
          <w:szCs w:val="24"/>
          <w:shd w:val="clear" w:color="auto" w:fill="FFFFFF"/>
          <w:lang w:eastAsia="en-GB"/>
        </w:rPr>
        <w:t xml:space="preserve"> 2010</w:t>
      </w:r>
      <w:r>
        <w:rPr>
          <w:rFonts w:ascii="Garamond" w:eastAsia="Times New Roman" w:hAnsi="Garamond" w:cs="Times New Roman"/>
          <w:color w:val="000000"/>
          <w:sz w:val="24"/>
          <w:szCs w:val="24"/>
          <w:shd w:val="clear" w:color="auto" w:fill="FFFFFF"/>
          <w:lang w:eastAsia="en-GB"/>
        </w:rPr>
        <w:t>, and culminating in interviews with members of the Tunbridge Wells Fairtrade Town steering committee, and</w:t>
      </w:r>
      <w:r w:rsidRPr="00253C29">
        <w:rPr>
          <w:rFonts w:ascii="Garamond" w:eastAsia="Times New Roman" w:hAnsi="Garamond" w:cs="Times New Roman"/>
          <w:color w:val="000000"/>
          <w:sz w:val="24"/>
          <w:szCs w:val="24"/>
          <w:shd w:val="clear" w:color="auto" w:fill="FFFFFF"/>
          <w:lang w:eastAsia="en-GB"/>
        </w:rPr>
        <w:t xml:space="preserve"> a series of </w:t>
      </w:r>
      <w:r>
        <w:rPr>
          <w:rFonts w:ascii="Garamond" w:eastAsia="Times New Roman" w:hAnsi="Garamond" w:cs="Times New Roman"/>
          <w:color w:val="000000"/>
          <w:sz w:val="24"/>
          <w:szCs w:val="24"/>
          <w:shd w:val="clear" w:color="auto" w:fill="FFFFFF"/>
          <w:lang w:eastAsia="en-GB"/>
        </w:rPr>
        <w:t xml:space="preserve">in-depth </w:t>
      </w:r>
      <w:r w:rsidRPr="00253C29">
        <w:rPr>
          <w:rFonts w:ascii="Garamond" w:eastAsia="Times New Roman" w:hAnsi="Garamond" w:cs="Times New Roman"/>
          <w:color w:val="000000"/>
          <w:sz w:val="24"/>
          <w:szCs w:val="24"/>
          <w:shd w:val="clear" w:color="auto" w:fill="FFFFFF"/>
          <w:lang w:eastAsia="en-GB"/>
        </w:rPr>
        <w:t>interviews in July and August 2011 with</w:t>
      </w:r>
      <w:r>
        <w:rPr>
          <w:rFonts w:ascii="Garamond" w:eastAsia="Times New Roman" w:hAnsi="Garamond" w:cs="Times New Roman"/>
          <w:color w:val="000000"/>
          <w:sz w:val="24"/>
          <w:szCs w:val="24"/>
          <w:shd w:val="clear" w:color="auto" w:fill="FFFFFF"/>
          <w:lang w:eastAsia="en-GB"/>
        </w:rPr>
        <w:t xml:space="preserve"> Antonie Fountain,</w:t>
      </w:r>
      <w:r w:rsidRPr="00253C29">
        <w:rPr>
          <w:rFonts w:ascii="Garamond" w:eastAsia="Times New Roman" w:hAnsi="Garamond" w:cs="Times New Roman"/>
          <w:color w:val="000000"/>
          <w:sz w:val="24"/>
          <w:szCs w:val="24"/>
          <w:shd w:val="clear" w:color="auto" w:fill="FFFFFF"/>
          <w:lang w:eastAsia="en-GB"/>
        </w:rPr>
        <w:t xml:space="preserve"> the global director of their anti-trafficking chocolate campaigns. During this period I have </w:t>
      </w:r>
      <w:r>
        <w:rPr>
          <w:rFonts w:ascii="Garamond" w:eastAsia="Times New Roman" w:hAnsi="Garamond" w:cs="Times New Roman"/>
          <w:color w:val="000000"/>
          <w:sz w:val="24"/>
          <w:szCs w:val="24"/>
          <w:shd w:val="clear" w:color="auto" w:fill="FFFFFF"/>
          <w:lang w:eastAsia="en-GB"/>
        </w:rPr>
        <w:t>conversed with ten</w:t>
      </w:r>
      <w:r w:rsidRPr="00253C29">
        <w:rPr>
          <w:rFonts w:ascii="Garamond" w:eastAsia="Times New Roman" w:hAnsi="Garamond" w:cs="Times New Roman"/>
          <w:color w:val="000000"/>
          <w:sz w:val="24"/>
          <w:szCs w:val="24"/>
          <w:shd w:val="clear" w:color="auto" w:fill="FFFFFF"/>
          <w:lang w:eastAsia="en-GB"/>
        </w:rPr>
        <w:t xml:space="preserve"> past and present employees, volunteers and associates of STT including the current CEO, the head of their Dutch campaigns, the UK manager, two Fairtrade Town</w:t>
      </w:r>
      <w:r>
        <w:rPr>
          <w:rFonts w:ascii="Garamond" w:eastAsia="Times New Roman" w:hAnsi="Garamond" w:cs="Times New Roman"/>
          <w:color w:val="000000"/>
          <w:sz w:val="24"/>
          <w:szCs w:val="24"/>
          <w:shd w:val="clear" w:color="auto" w:fill="FFFFFF"/>
          <w:lang w:eastAsia="en-GB"/>
        </w:rPr>
        <w:t xml:space="preserve"> steering committee</w:t>
      </w:r>
      <w:r w:rsidRPr="00253C29">
        <w:rPr>
          <w:rFonts w:ascii="Garamond" w:eastAsia="Times New Roman" w:hAnsi="Garamond" w:cs="Times New Roman"/>
          <w:color w:val="000000"/>
          <w:sz w:val="24"/>
          <w:szCs w:val="24"/>
          <w:shd w:val="clear" w:color="auto" w:fill="FFFFFF"/>
          <w:lang w:eastAsia="en-GB"/>
        </w:rPr>
        <w:t xml:space="preserve"> activists</w:t>
      </w:r>
      <w:r>
        <w:rPr>
          <w:rFonts w:ascii="Garamond" w:eastAsia="Times New Roman" w:hAnsi="Garamond" w:cs="Times New Roman"/>
          <w:color w:val="000000"/>
          <w:sz w:val="24"/>
          <w:szCs w:val="24"/>
          <w:shd w:val="clear" w:color="auto" w:fill="FFFFFF"/>
          <w:lang w:eastAsia="en-GB"/>
        </w:rPr>
        <w:t>, an artist, an ACT group co-ordinator,</w:t>
      </w:r>
      <w:r w:rsidRPr="00253C29">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and </w:t>
      </w:r>
      <w:r w:rsidRPr="00253C29">
        <w:rPr>
          <w:rFonts w:ascii="Garamond" w:eastAsia="Times New Roman" w:hAnsi="Garamond" w:cs="Times New Roman"/>
          <w:color w:val="000000"/>
          <w:sz w:val="24"/>
          <w:szCs w:val="24"/>
          <w:shd w:val="clear" w:color="auto" w:fill="FFFFFF"/>
          <w:lang w:eastAsia="en-GB"/>
        </w:rPr>
        <w:t>interns wo</w:t>
      </w:r>
      <w:r>
        <w:rPr>
          <w:rFonts w:ascii="Garamond" w:eastAsia="Times New Roman" w:hAnsi="Garamond" w:cs="Times New Roman"/>
          <w:color w:val="000000"/>
          <w:sz w:val="24"/>
          <w:szCs w:val="24"/>
          <w:shd w:val="clear" w:color="auto" w:fill="FFFFFF"/>
          <w:lang w:eastAsia="en-GB"/>
        </w:rPr>
        <w:t>rking on a variety of campaigns (see Tables 4 and 5).</w:t>
      </w:r>
    </w:p>
    <w:p w:rsidR="00BB49E2" w:rsidRPr="00D96AD1" w:rsidRDefault="00BB49E2" w:rsidP="00BB49E2">
      <w:pPr>
        <w:spacing w:after="0" w:line="360" w:lineRule="auto"/>
        <w:jc w:val="both"/>
        <w:rPr>
          <w:rFonts w:ascii="Garamond" w:eastAsia="Times New Roman" w:hAnsi="Garamond" w:cs="Times New Roman"/>
          <w:b/>
          <w:sz w:val="24"/>
          <w:szCs w:val="24"/>
          <w:lang w:eastAsia="en-GB"/>
        </w:rPr>
      </w:pPr>
    </w:p>
    <w:p w:rsidR="00BB49E2" w:rsidRDefault="00666B91" w:rsidP="00BB49E2">
      <w:pPr>
        <w:spacing w:after="0" w:line="360" w:lineRule="auto"/>
        <w:jc w:val="center"/>
        <w:rPr>
          <w:rFonts w:ascii="Garamond" w:eastAsia="Times New Roman" w:hAnsi="Garamond" w:cs="Times New Roman"/>
          <w:color w:val="000000"/>
          <w:sz w:val="24"/>
          <w:szCs w:val="24"/>
          <w:shd w:val="clear" w:color="auto" w:fill="FFFFFF"/>
          <w:lang w:eastAsia="en-GB"/>
        </w:rPr>
      </w:pPr>
      <w:r w:rsidRPr="00A917B0">
        <w:rPr>
          <w:rFonts w:ascii="Garamond" w:eastAsia="Times New Roman" w:hAnsi="Garamond" w:cs="Times New Roman"/>
          <w:noProof/>
          <w:color w:val="000000"/>
          <w:sz w:val="24"/>
          <w:szCs w:val="24"/>
          <w:shd w:val="clear" w:color="auto" w:fill="FFFFFF"/>
          <w:lang w:eastAsia="en-GB"/>
        </w:rPr>
        <w:drawing>
          <wp:inline distT="0" distB="0" distL="0" distR="0">
            <wp:extent cx="4584700" cy="3446423"/>
            <wp:effectExtent l="25400" t="0" r="0" b="0"/>
            <wp:docPr id="1" name="Picture 11" descr="C:\Users\hugh crosfield\Desktop\Antonie Fount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gh crosfield\Desktop\Antonie Fountain.png"/>
                    <pic:cNvPicPr>
                      <a:picLocks noChangeAspect="1" noChangeArrowheads="1"/>
                    </pic:cNvPicPr>
                  </pic:nvPicPr>
                  <pic:blipFill>
                    <a:blip r:embed="rId15" cstate="print"/>
                    <a:srcRect/>
                    <a:stretch>
                      <a:fillRect/>
                    </a:stretch>
                  </pic:blipFill>
                  <pic:spPr bwMode="auto">
                    <a:xfrm>
                      <a:off x="0" y="0"/>
                      <a:ext cx="4590891" cy="3451077"/>
                    </a:xfrm>
                    <a:prstGeom prst="rect">
                      <a:avLst/>
                    </a:prstGeom>
                    <a:noFill/>
                    <a:ln w="9525">
                      <a:noFill/>
                      <a:miter lim="800000"/>
                      <a:headEnd/>
                      <a:tailEnd/>
                    </a:ln>
                  </pic:spPr>
                </pic:pic>
              </a:graphicData>
            </a:graphic>
          </wp:inline>
        </w:drawing>
      </w:r>
    </w:p>
    <w:p w:rsidR="00BB49E2" w:rsidRPr="00954F44" w:rsidRDefault="00BB49E2" w:rsidP="00BB49E2">
      <w:pPr>
        <w:spacing w:after="0" w:line="360" w:lineRule="auto"/>
        <w:jc w:val="both"/>
        <w:rPr>
          <w:rFonts w:ascii="Perpetua" w:eastAsia="Times New Roman" w:hAnsi="Perpetua" w:cs="Times New Roman"/>
          <w:b/>
          <w:sz w:val="24"/>
          <w:szCs w:val="24"/>
          <w:shd w:val="clear" w:color="auto" w:fill="FFFFFF"/>
          <w:lang w:eastAsia="en-GB"/>
        </w:rPr>
      </w:pPr>
    </w:p>
    <w:p w:rsidR="001A482E" w:rsidRDefault="0050393D" w:rsidP="0050393D">
      <w:pPr>
        <w:pStyle w:val="Caption"/>
      </w:pPr>
      <w:bookmarkStart w:id="164" w:name="_Toc263509002"/>
      <w:bookmarkStart w:id="165" w:name="_Toc263510789"/>
      <w:bookmarkStart w:id="166" w:name="_Toc244168220"/>
      <w:bookmarkStart w:id="167" w:name="_Toc244437510"/>
      <w:bookmarkStart w:id="168" w:name="_Toc244508205"/>
      <w:bookmarkStart w:id="169" w:name="_Toc244577267"/>
      <w:bookmarkStart w:id="170" w:name="_Toc263495736"/>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5</w:t>
      </w:r>
      <w:r w:rsidR="00DF2DF8" w:rsidRPr="0050393D">
        <w:rPr>
          <w:rFonts w:ascii="Perpetua" w:hAnsi="Perpetua"/>
          <w:b w:val="0"/>
          <w:color w:val="auto"/>
          <w:sz w:val="20"/>
        </w:rPr>
        <w:fldChar w:fldCharType="end"/>
      </w:r>
      <w:r w:rsidRPr="0050393D">
        <w:rPr>
          <w:rFonts w:ascii="Perpetua" w:hAnsi="Perpetua"/>
          <w:b w:val="0"/>
          <w:color w:val="auto"/>
          <w:sz w:val="20"/>
        </w:rPr>
        <w:t>: Screen Capture of Antonie Fountain.</w:t>
      </w:r>
      <w:bookmarkEnd w:id="164"/>
      <w:bookmarkEnd w:id="165"/>
      <w:r>
        <w:t xml:space="preserve"> </w:t>
      </w:r>
    </w:p>
    <w:p w:rsidR="00BB49E2" w:rsidRPr="001A482E" w:rsidRDefault="00BB49E2" w:rsidP="001A482E">
      <w:pPr>
        <w:rPr>
          <w:rFonts w:ascii="Perpetua" w:hAnsi="Perpetua"/>
          <w:sz w:val="20"/>
        </w:rPr>
      </w:pPr>
      <w:r w:rsidRPr="001A482E">
        <w:rPr>
          <w:rFonts w:ascii="Perpetua" w:hAnsi="Perpetua"/>
          <w:sz w:val="20"/>
        </w:rPr>
        <w:t xml:space="preserve">Fountain </w:t>
      </w:r>
      <w:r w:rsidR="0050393D" w:rsidRPr="001A482E">
        <w:rPr>
          <w:rFonts w:ascii="Perpetua" w:hAnsi="Perpetua"/>
          <w:sz w:val="20"/>
        </w:rPr>
        <w:t xml:space="preserve">is </w:t>
      </w:r>
      <w:r w:rsidRPr="001A482E">
        <w:rPr>
          <w:rFonts w:ascii="Perpetua" w:hAnsi="Perpetua"/>
          <w:sz w:val="20"/>
        </w:rPr>
        <w:t>presenting a talk on new global cultures of responsibility in September 2013 for TEDx. Available at: http://www.youtube.com /watch?v=kKQUu4f6YG0 (Accessed: 14 October 2013)</w:t>
      </w:r>
      <w:bookmarkEnd w:id="166"/>
      <w:r w:rsidRPr="001A482E">
        <w:rPr>
          <w:rFonts w:ascii="Perpetua" w:hAnsi="Perpetua"/>
          <w:sz w:val="20"/>
        </w:rPr>
        <w:t>.</w:t>
      </w:r>
      <w:bookmarkEnd w:id="167"/>
      <w:bookmarkEnd w:id="168"/>
      <w:bookmarkEnd w:id="169"/>
      <w:bookmarkEnd w:id="170"/>
    </w:p>
    <w:p w:rsidR="00417E04" w:rsidRDefault="00417E04" w:rsidP="00666B91">
      <w:pPr>
        <w:spacing w:after="0" w:line="360" w:lineRule="auto"/>
        <w:jc w:val="both"/>
        <w:rPr>
          <w:rFonts w:ascii="Garamond" w:eastAsia="Times New Roman" w:hAnsi="Garamond" w:cs="Times New Roman"/>
          <w:b/>
          <w:i/>
          <w:color w:val="000000"/>
          <w:szCs w:val="24"/>
          <w:shd w:val="clear" w:color="auto" w:fill="FFFFFF"/>
          <w:lang w:eastAsia="en-GB"/>
        </w:rPr>
      </w:pPr>
    </w:p>
    <w:p w:rsidR="00417E04" w:rsidRDefault="00417E04" w:rsidP="00666B91">
      <w:pPr>
        <w:spacing w:after="0" w:line="360" w:lineRule="auto"/>
        <w:jc w:val="both"/>
        <w:rPr>
          <w:rFonts w:ascii="Garamond" w:eastAsia="Times New Roman" w:hAnsi="Garamond" w:cs="Times New Roman"/>
          <w:b/>
          <w:i/>
          <w:color w:val="000000"/>
          <w:szCs w:val="24"/>
          <w:shd w:val="clear" w:color="auto" w:fill="FFFFFF"/>
          <w:lang w:eastAsia="en-GB"/>
        </w:rPr>
      </w:pPr>
    </w:p>
    <w:p w:rsidR="00666B91" w:rsidRPr="00B22355" w:rsidRDefault="00666B91" w:rsidP="00666B91">
      <w:pPr>
        <w:spacing w:after="0" w:line="360" w:lineRule="auto"/>
        <w:jc w:val="both"/>
        <w:rPr>
          <w:rFonts w:ascii="Garamond" w:eastAsia="Times New Roman" w:hAnsi="Garamond" w:cs="Times New Roman"/>
          <w:b/>
          <w:i/>
          <w:color w:val="000000"/>
          <w:szCs w:val="24"/>
          <w:shd w:val="clear" w:color="auto" w:fill="FFFFFF"/>
          <w:lang w:eastAsia="en-GB"/>
        </w:rPr>
      </w:pPr>
      <w:r w:rsidRPr="00B22355">
        <w:rPr>
          <w:rFonts w:ascii="Garamond" w:eastAsia="Times New Roman" w:hAnsi="Garamond" w:cs="Times New Roman"/>
          <w:b/>
          <w:i/>
          <w:color w:val="000000"/>
          <w:szCs w:val="24"/>
          <w:shd w:val="clear" w:color="auto" w:fill="FFFFFF"/>
          <w:lang w:eastAsia="en-GB"/>
        </w:rPr>
        <w:lastRenderedPageBreak/>
        <w:t>Combining methods</w:t>
      </w:r>
    </w:p>
    <w:p w:rsidR="00666B91" w:rsidRDefault="00666B91" w:rsidP="00666B91">
      <w:pPr>
        <w:spacing w:after="0" w:line="360" w:lineRule="auto"/>
        <w:jc w:val="both"/>
        <w:rPr>
          <w:rFonts w:ascii="Garamond" w:eastAsia="Times New Roman" w:hAnsi="Garamond" w:cs="Times New Roman"/>
          <w:i/>
          <w:color w:val="000000"/>
          <w:sz w:val="24"/>
          <w:szCs w:val="24"/>
          <w:shd w:val="clear" w:color="auto" w:fill="FFFFFF"/>
          <w:lang w:eastAsia="en-GB"/>
        </w:rPr>
      </w:pPr>
    </w:p>
    <w:p w:rsidR="00666B91" w:rsidRDefault="00666B91" w:rsidP="00BB49E2">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 xml:space="preserve">Researching STT has meant combining data from interviews with and visual and textual analyses of campaign material available on the internet: anti-trafficking documentaries, blogs, YouTube clips, downloadable stories, leaflets and images of associated celebrities. Of particular concern to the study has been the merging of fair trade with anti-trafficking campaigns over chocolate consumption and lobbying.  </w:t>
      </w:r>
    </w:p>
    <w:p w:rsidR="00666B91" w:rsidRDefault="00666B91"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 xml:space="preserve">Researching STT through ethnographic practice posed immediately different challenges to the BOA. STT are understaffed and initial questions to key activists did not elicit responses. Following De Verteuil (2004), I made notes of the barriers that impeded research access, and identified that they were embedded in the functional politics of the organization and the perceived different agendas between academic research and anti-trafficking activism. As an NGO with a distinctive image to foster, STT could not risk providing open access to a researcher whose goals they could not predict. In recent years academic research on anti-trafficking has produced stinging critiques of the social constructions used in anti-trafficking practice (Manzo, 2005; van Liempt, 2011; Lawrance, 2011a). I did not want to attempt to bridge these differences by appearing as an insider, but needed to show that I was sympathetic to the motives of STT so as to achieve informed consent during interviews (Cloke et al., 2004). I decided to appear honest and forthright about our different agendas while making my work seem as relevant as possible to the organization (this is not to say that I haven't had to perform surface emotional labour, or present what Crang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Cook describe as 'different versions of yourself' to people</w:t>
      </w:r>
      <w:r w:rsidR="00D819BA">
        <w:rPr>
          <w:rFonts w:ascii="Garamond" w:eastAsia="Times New Roman" w:hAnsi="Garamond" w:cs="Times New Roman"/>
          <w:color w:val="000000"/>
          <w:sz w:val="24"/>
          <w:szCs w:val="24"/>
          <w:shd w:val="clear" w:color="auto" w:fill="FFFFFF"/>
          <w:lang w:eastAsia="en-GB"/>
        </w:rPr>
        <w:t xml:space="preserve"> (2008)</w:t>
      </w:r>
      <w:r>
        <w:rPr>
          <w:rFonts w:ascii="Garamond" w:eastAsia="Times New Roman" w:hAnsi="Garamond" w:cs="Times New Roman"/>
          <w:color w:val="000000"/>
          <w:sz w:val="24"/>
          <w:szCs w:val="24"/>
          <w:shd w:val="clear" w:color="auto" w:fill="FFFFFF"/>
          <w:lang w:eastAsia="en-GB"/>
        </w:rPr>
        <w:t xml:space="preserve">). </w:t>
      </w:r>
    </w:p>
    <w:p w:rsidR="00BB49E2"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My approach was to build an initial rapport with interns working at STT's offices in Lambeth through email communications. I made friendly enquiries, encouraged questions about myself and my work (see McDowell, 2001) and offered to contribute to internet blogs with historical research on abolitionism. I am hopeful that suggestions for alternative means of historicizing antislavery as a less white and British affair (see Chapter Four) will be incorporated into pedagogic materials for anti-trafficking.</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BB5625">
        <w:rPr>
          <w:rFonts w:ascii="Garamond" w:eastAsia="Times New Roman" w:hAnsi="Garamond" w:cs="Times New Roman"/>
          <w:color w:val="000000"/>
          <w:sz w:val="24"/>
          <w:szCs w:val="24"/>
          <w:shd w:val="clear" w:color="auto" w:fill="FFFFFF"/>
          <w:lang w:eastAsia="en-GB"/>
        </w:rPr>
        <w:t>After a suc</w:t>
      </w:r>
      <w:r w:rsidR="00AF727C">
        <w:rPr>
          <w:rFonts w:ascii="Garamond" w:eastAsia="Times New Roman" w:hAnsi="Garamond" w:cs="Times New Roman"/>
          <w:color w:val="000000"/>
          <w:sz w:val="24"/>
          <w:szCs w:val="24"/>
          <w:shd w:val="clear" w:color="auto" w:fill="FFFFFF"/>
          <w:lang w:eastAsia="en-GB"/>
        </w:rPr>
        <w:t>cessful initial meeting with Eve</w:t>
      </w:r>
      <w:r w:rsidRPr="00BB5625">
        <w:rPr>
          <w:rFonts w:ascii="Garamond" w:eastAsia="Times New Roman" w:hAnsi="Garamond" w:cs="Times New Roman"/>
          <w:color w:val="000000"/>
          <w:sz w:val="24"/>
          <w:szCs w:val="24"/>
          <w:shd w:val="clear" w:color="auto" w:fill="FFFFFF"/>
          <w:lang w:eastAsia="en-GB"/>
        </w:rPr>
        <w:t xml:space="preserve"> and </w:t>
      </w:r>
      <w:r w:rsidR="00AF727C">
        <w:rPr>
          <w:rFonts w:ascii="Garamond" w:eastAsia="Times New Roman" w:hAnsi="Garamond" w:cs="Times New Roman"/>
          <w:color w:val="000000"/>
          <w:sz w:val="24"/>
          <w:szCs w:val="24"/>
          <w:shd w:val="clear" w:color="auto" w:fill="FFFFFF"/>
          <w:lang w:eastAsia="en-GB"/>
        </w:rPr>
        <w:t>Rachel</w:t>
      </w:r>
      <w:r w:rsidRPr="00BB5625">
        <w:rPr>
          <w:rFonts w:ascii="Garamond" w:eastAsia="Times New Roman" w:hAnsi="Garamond" w:cs="Times New Roman"/>
          <w:color w:val="000000"/>
          <w:sz w:val="24"/>
          <w:szCs w:val="24"/>
          <w:shd w:val="clear" w:color="auto" w:fill="FFFFFF"/>
          <w:lang w:eastAsia="en-GB"/>
        </w:rPr>
        <w:t xml:space="preserve"> at STT's offices in Lambeth (where I shared information on boycott tactics used by the BOA to unmake appetites for citrus), I arranged to meet </w:t>
      </w:r>
      <w:r w:rsidR="00AF727C">
        <w:rPr>
          <w:rFonts w:ascii="Garamond" w:eastAsia="Times New Roman" w:hAnsi="Garamond" w:cs="Times New Roman"/>
          <w:color w:val="000000"/>
          <w:sz w:val="24"/>
          <w:szCs w:val="24"/>
          <w:shd w:val="clear" w:color="auto" w:fill="FFFFFF"/>
          <w:lang w:eastAsia="en-GB"/>
        </w:rPr>
        <w:t>Rachel</w:t>
      </w:r>
      <w:r w:rsidRPr="00BB5625">
        <w:rPr>
          <w:rFonts w:ascii="Garamond" w:eastAsia="Times New Roman" w:hAnsi="Garamond" w:cs="Times New Roman"/>
          <w:color w:val="000000"/>
          <w:sz w:val="24"/>
          <w:szCs w:val="24"/>
          <w:shd w:val="clear" w:color="auto" w:fill="FFFFFF"/>
          <w:lang w:eastAsia="en-GB"/>
        </w:rPr>
        <w:t xml:space="preserve"> for a more informal interview. With a first degree in </w:t>
      </w:r>
      <w:r w:rsidRPr="00BB5625">
        <w:rPr>
          <w:rFonts w:ascii="Garamond" w:eastAsia="Times New Roman" w:hAnsi="Garamond" w:cs="Times New Roman"/>
          <w:color w:val="000000"/>
          <w:sz w:val="24"/>
          <w:szCs w:val="24"/>
          <w:shd w:val="clear" w:color="auto" w:fill="FFFFFF"/>
          <w:lang w:eastAsia="en-GB"/>
        </w:rPr>
        <w:lastRenderedPageBreak/>
        <w:t xml:space="preserve">cybernetics and internet surveillance, </w:t>
      </w:r>
      <w:r w:rsidR="00AF727C">
        <w:rPr>
          <w:rFonts w:ascii="Garamond" w:eastAsia="Times New Roman" w:hAnsi="Garamond" w:cs="Times New Roman"/>
          <w:color w:val="000000"/>
          <w:sz w:val="24"/>
          <w:szCs w:val="24"/>
          <w:shd w:val="clear" w:color="auto" w:fill="FFFFFF"/>
          <w:lang w:eastAsia="en-GB"/>
        </w:rPr>
        <w:t>Rachel</w:t>
      </w:r>
      <w:r>
        <w:rPr>
          <w:rFonts w:ascii="Garamond" w:eastAsia="Times New Roman" w:hAnsi="Garamond" w:cs="Times New Roman"/>
          <w:color w:val="000000"/>
          <w:sz w:val="24"/>
          <w:szCs w:val="24"/>
          <w:shd w:val="clear" w:color="auto" w:fill="FFFFFF"/>
          <w:lang w:eastAsia="en-GB"/>
        </w:rPr>
        <w:t xml:space="preserve"> worked extensively on STT's internet activism, and</w:t>
      </w:r>
      <w:r w:rsidRPr="00BB5625">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was able to communicate the importance of the internet and crowd-sharing to STT's chocolate campaigns. </w:t>
      </w:r>
      <w:r w:rsidRPr="00BB5625">
        <w:rPr>
          <w:rFonts w:ascii="Garamond" w:eastAsia="Times New Roman" w:hAnsi="Garamond" w:cs="Times New Roman"/>
          <w:color w:val="000000"/>
          <w:sz w:val="24"/>
          <w:szCs w:val="24"/>
          <w:shd w:val="clear" w:color="auto" w:fill="FFFFFF"/>
          <w:lang w:eastAsia="en-GB"/>
        </w:rPr>
        <w:t>At this point</w:t>
      </w:r>
      <w:r>
        <w:rPr>
          <w:rFonts w:ascii="Garamond" w:eastAsia="Times New Roman" w:hAnsi="Garamond" w:cs="Times New Roman"/>
          <w:color w:val="000000"/>
          <w:sz w:val="24"/>
          <w:szCs w:val="24"/>
          <w:shd w:val="clear" w:color="auto" w:fill="FFFFFF"/>
          <w:lang w:eastAsia="en-GB"/>
        </w:rPr>
        <w:t>,</w:t>
      </w:r>
      <w:r w:rsidRPr="00BB5625">
        <w:rPr>
          <w:rFonts w:ascii="Garamond" w:eastAsia="Times New Roman" w:hAnsi="Garamond" w:cs="Times New Roman"/>
          <w:color w:val="000000"/>
          <w:sz w:val="24"/>
          <w:szCs w:val="24"/>
          <w:shd w:val="clear" w:color="auto" w:fill="FFFFFF"/>
          <w:lang w:eastAsia="en-GB"/>
        </w:rPr>
        <w:t xml:space="preserve"> I was introduced to the chocolate activism </w:t>
      </w:r>
      <w:r>
        <w:rPr>
          <w:rFonts w:ascii="Garamond" w:eastAsia="Times New Roman" w:hAnsi="Garamond" w:cs="Times New Roman"/>
          <w:color w:val="000000"/>
          <w:sz w:val="24"/>
          <w:szCs w:val="24"/>
          <w:shd w:val="clear" w:color="auto" w:fill="FFFFFF"/>
          <w:lang w:eastAsia="en-GB"/>
        </w:rPr>
        <w:t xml:space="preserve">conducted </w:t>
      </w:r>
      <w:r w:rsidRPr="00BB5625">
        <w:rPr>
          <w:rFonts w:ascii="Garamond" w:eastAsia="Times New Roman" w:hAnsi="Garamond" w:cs="Times New Roman"/>
          <w:color w:val="000000"/>
          <w:sz w:val="24"/>
          <w:szCs w:val="24"/>
          <w:shd w:val="clear" w:color="auto" w:fill="FFFFFF"/>
          <w:lang w:eastAsia="en-GB"/>
        </w:rPr>
        <w:t>in Holland by the 'Two Tony's' (Antonie Fountain, and Tony Chocaloney). I made separate arrangement</w:t>
      </w:r>
      <w:r w:rsidR="00AF727C">
        <w:rPr>
          <w:rFonts w:ascii="Garamond" w:eastAsia="Times New Roman" w:hAnsi="Garamond" w:cs="Times New Roman"/>
          <w:color w:val="000000"/>
          <w:sz w:val="24"/>
          <w:szCs w:val="24"/>
          <w:shd w:val="clear" w:color="auto" w:fill="FFFFFF"/>
          <w:lang w:eastAsia="en-GB"/>
        </w:rPr>
        <w:t>s to interview Sophie</w:t>
      </w:r>
      <w:r w:rsidRPr="00BB5625">
        <w:rPr>
          <w:rFonts w:ascii="Garamond" w:eastAsia="Times New Roman" w:hAnsi="Garamond" w:cs="Times New Roman"/>
          <w:color w:val="000000"/>
          <w:sz w:val="24"/>
          <w:szCs w:val="24"/>
          <w:shd w:val="clear" w:color="auto" w:fill="FFFFFF"/>
          <w:lang w:eastAsia="en-GB"/>
        </w:rPr>
        <w:t>, a volunteer working for the STT London ACT (Action Against Trafficking Group).</w:t>
      </w:r>
      <w:r w:rsidRPr="00BB5625">
        <w:rPr>
          <w:rStyle w:val="FootnoteReference"/>
          <w:rFonts w:ascii="Garamond" w:eastAsia="Times New Roman" w:hAnsi="Garamond" w:cs="Times New Roman"/>
          <w:color w:val="000000"/>
          <w:sz w:val="24"/>
          <w:szCs w:val="24"/>
          <w:shd w:val="clear" w:color="auto" w:fill="FFFFFF"/>
          <w:lang w:eastAsia="en-GB"/>
        </w:rPr>
        <w:footnoteReference w:id="33"/>
      </w:r>
      <w:r w:rsidRPr="00BB5625">
        <w:rPr>
          <w:rFonts w:ascii="Garamond" w:eastAsia="Times New Roman" w:hAnsi="Garamond" w:cs="Times New Roman"/>
          <w:color w:val="000000"/>
          <w:sz w:val="24"/>
          <w:szCs w:val="24"/>
          <w:shd w:val="clear" w:color="auto" w:fill="FFFFFF"/>
          <w:lang w:eastAsia="en-GB"/>
        </w:rPr>
        <w:t xml:space="preserve"> This interview provided a strong impression of the commitment and discretion required to volunteer for the ACT groups. There were off-limit topics on surveillance and sex traffi</w:t>
      </w:r>
      <w:r>
        <w:rPr>
          <w:rFonts w:ascii="Garamond" w:eastAsia="Times New Roman" w:hAnsi="Garamond" w:cs="Times New Roman"/>
          <w:color w:val="000000"/>
          <w:sz w:val="24"/>
          <w:szCs w:val="24"/>
          <w:shd w:val="clear" w:color="auto" w:fill="FFFFFF"/>
          <w:lang w:eastAsia="en-GB"/>
        </w:rPr>
        <w:t>cking that she was prepared for.</w:t>
      </w:r>
      <w:r w:rsidRPr="00BB5625">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However, </w:t>
      </w:r>
      <w:r w:rsidRPr="00BB5625">
        <w:rPr>
          <w:rFonts w:ascii="Garamond" w:eastAsia="Times New Roman" w:hAnsi="Garamond" w:cs="Times New Roman"/>
          <w:color w:val="000000"/>
          <w:sz w:val="24"/>
          <w:szCs w:val="24"/>
          <w:shd w:val="clear" w:color="auto" w:fill="FFFFFF"/>
          <w:lang w:eastAsia="en-GB"/>
        </w:rPr>
        <w:t>I learnt that STT were playing a role in lobb</w:t>
      </w:r>
      <w:r>
        <w:rPr>
          <w:rFonts w:ascii="Garamond" w:eastAsia="Times New Roman" w:hAnsi="Garamond" w:cs="Times New Roman"/>
          <w:color w:val="000000"/>
          <w:sz w:val="24"/>
          <w:szCs w:val="24"/>
          <w:shd w:val="clear" w:color="auto" w:fill="FFFFFF"/>
          <w:lang w:eastAsia="en-GB"/>
        </w:rPr>
        <w:t>ying the police to expand anti-</w:t>
      </w:r>
      <w:r w:rsidRPr="00BB5625">
        <w:rPr>
          <w:rFonts w:ascii="Garamond" w:eastAsia="Times New Roman" w:hAnsi="Garamond" w:cs="Times New Roman"/>
          <w:color w:val="000000"/>
          <w:sz w:val="24"/>
          <w:szCs w:val="24"/>
          <w:shd w:val="clear" w:color="auto" w:fill="FFFFFF"/>
          <w:lang w:eastAsia="en-GB"/>
        </w:rPr>
        <w:t xml:space="preserve">trafficking operations in preparation for the 2012 Olympics, and she shared information on the role of chocolate stories in narrating anti-trafficking to children.   </w:t>
      </w:r>
    </w:p>
    <w:p w:rsidR="00BB49E2" w:rsidRPr="00BB5625"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r w:rsidRPr="00BB5625">
        <w:rPr>
          <w:rFonts w:ascii="Garamond" w:eastAsia="Times New Roman" w:hAnsi="Garamond" w:cs="Times New Roman"/>
          <w:color w:val="000000"/>
          <w:sz w:val="24"/>
          <w:szCs w:val="24"/>
          <w:shd w:val="clear" w:color="auto" w:fill="FFFFFF"/>
          <w:lang w:eastAsia="en-GB"/>
        </w:rPr>
        <w:t>Contact with Mandy Flashman Wells from the Tunbridge Wells Fairtrade Town steerin</w:t>
      </w:r>
      <w:r>
        <w:rPr>
          <w:rFonts w:ascii="Garamond" w:eastAsia="Times New Roman" w:hAnsi="Garamond" w:cs="Times New Roman"/>
          <w:color w:val="000000"/>
          <w:sz w:val="24"/>
          <w:szCs w:val="24"/>
          <w:shd w:val="clear" w:color="auto" w:fill="FFFFFF"/>
          <w:lang w:eastAsia="en-GB"/>
        </w:rPr>
        <w:t>g group also proved</w:t>
      </w:r>
      <w:r w:rsidRPr="00BB5625">
        <w:rPr>
          <w:rFonts w:ascii="Garamond" w:eastAsia="Times New Roman" w:hAnsi="Garamond" w:cs="Times New Roman"/>
          <w:color w:val="000000"/>
          <w:sz w:val="24"/>
          <w:szCs w:val="24"/>
          <w:shd w:val="clear" w:color="auto" w:fill="FFFFFF"/>
          <w:lang w:eastAsia="en-GB"/>
        </w:rPr>
        <w:t xml:space="preserve"> valuable to understanding how anti-trafficking and fair trade activisms combined with a focus on the child consumer-activist. An extensive interview with Mandy and Jane </w:t>
      </w:r>
      <w:r>
        <w:rPr>
          <w:rFonts w:ascii="Garamond" w:eastAsia="Times New Roman" w:hAnsi="Garamond" w:cs="Times New Roman"/>
          <w:color w:val="000000"/>
          <w:sz w:val="24"/>
          <w:szCs w:val="24"/>
          <w:shd w:val="clear" w:color="auto" w:fill="FFFFFF"/>
          <w:lang w:eastAsia="en-GB"/>
        </w:rPr>
        <w:t xml:space="preserve">Clarke (an activist on the steering committee) </w:t>
      </w:r>
      <w:r w:rsidRPr="00BB5625">
        <w:rPr>
          <w:rFonts w:ascii="Garamond" w:eastAsia="Times New Roman" w:hAnsi="Garamond" w:cs="Times New Roman"/>
          <w:color w:val="000000"/>
          <w:sz w:val="24"/>
          <w:szCs w:val="24"/>
          <w:shd w:val="clear" w:color="auto" w:fill="FFFFFF"/>
          <w:lang w:eastAsia="en-GB"/>
        </w:rPr>
        <w:t xml:space="preserve">was recorded in Tunbridge Wells, and I interviewed Julian Rowe, a local artist who co-ordinated the STT art installation.  </w:t>
      </w:r>
    </w:p>
    <w:p w:rsidR="00BB49E2" w:rsidRPr="00BB5625"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666B91" w:rsidRPr="00666B91" w:rsidRDefault="00BB49E2" w:rsidP="00666B91">
      <w:pPr>
        <w:spacing w:after="0" w:line="360" w:lineRule="auto"/>
        <w:jc w:val="both"/>
        <w:rPr>
          <w:rFonts w:ascii="Garamond" w:eastAsia="Times New Roman" w:hAnsi="Garamond" w:cs="Times New Roman"/>
          <w:color w:val="000000"/>
          <w:sz w:val="24"/>
          <w:szCs w:val="24"/>
          <w:shd w:val="clear" w:color="auto" w:fill="FFFFFF"/>
          <w:lang w:eastAsia="en-GB"/>
        </w:rPr>
      </w:pPr>
      <w:r w:rsidRPr="00BB5625">
        <w:rPr>
          <w:rFonts w:ascii="Garamond" w:eastAsia="Times New Roman" w:hAnsi="Garamond" w:cs="Times New Roman"/>
          <w:color w:val="000000"/>
          <w:sz w:val="24"/>
          <w:szCs w:val="24"/>
          <w:shd w:val="clear" w:color="auto" w:fill="FFFFFF"/>
          <w:lang w:eastAsia="en-GB"/>
        </w:rPr>
        <w:t>A series of four interviews with Antonie Fountain were recorded on Skype. These offered fresh insight</w:t>
      </w:r>
      <w:r>
        <w:rPr>
          <w:rFonts w:ascii="Garamond" w:eastAsia="Times New Roman" w:hAnsi="Garamond" w:cs="Times New Roman"/>
          <w:color w:val="000000"/>
          <w:sz w:val="24"/>
          <w:szCs w:val="24"/>
          <w:shd w:val="clear" w:color="auto" w:fill="FFFFFF"/>
          <w:lang w:eastAsia="en-GB"/>
        </w:rPr>
        <w:t>s</w:t>
      </w:r>
      <w:r w:rsidRPr="00BB5625">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in</w:t>
      </w:r>
      <w:r w:rsidRPr="00BB5625">
        <w:rPr>
          <w:rFonts w:ascii="Garamond" w:eastAsia="Times New Roman" w:hAnsi="Garamond" w:cs="Times New Roman"/>
          <w:color w:val="000000"/>
          <w:sz w:val="24"/>
          <w:szCs w:val="24"/>
          <w:shd w:val="clear" w:color="auto" w:fill="FFFFFF"/>
          <w:lang w:eastAsia="en-GB"/>
        </w:rPr>
        <w:t>to how STT's chocolate advocacy worked at various strategic levels, and they required intensive preparation.</w:t>
      </w:r>
      <w:r>
        <w:rPr>
          <w:rFonts w:ascii="Garamond" w:eastAsia="Times New Roman" w:hAnsi="Garamond" w:cs="Times New Roman"/>
          <w:color w:val="000000"/>
          <w:sz w:val="24"/>
          <w:szCs w:val="24"/>
          <w:shd w:val="clear" w:color="auto" w:fill="FFFFFF"/>
          <w:lang w:eastAsia="en-GB"/>
        </w:rPr>
        <w:t xml:space="preserve"> For the first time during the process I </w:t>
      </w:r>
      <w:r w:rsidRPr="00BB5625">
        <w:rPr>
          <w:rFonts w:ascii="Garamond" w:eastAsia="Times New Roman" w:hAnsi="Garamond" w:cs="Times New Roman"/>
          <w:color w:val="000000"/>
          <w:sz w:val="24"/>
          <w:szCs w:val="24"/>
          <w:shd w:val="clear" w:color="auto" w:fill="FFFFFF"/>
          <w:lang w:eastAsia="en-GB"/>
        </w:rPr>
        <w:t xml:space="preserve">felt </w:t>
      </w:r>
      <w:r>
        <w:rPr>
          <w:rFonts w:ascii="Garamond" w:eastAsia="Times New Roman" w:hAnsi="Garamond" w:cs="Times New Roman"/>
          <w:color w:val="000000"/>
          <w:sz w:val="24"/>
          <w:szCs w:val="24"/>
          <w:shd w:val="clear" w:color="auto" w:fill="FFFFFF"/>
          <w:lang w:eastAsia="en-GB"/>
        </w:rPr>
        <w:t xml:space="preserve">completely </w:t>
      </w:r>
      <w:r w:rsidRPr="00BB5625">
        <w:rPr>
          <w:rFonts w:ascii="Garamond" w:eastAsia="Times New Roman" w:hAnsi="Garamond" w:cs="Times New Roman"/>
          <w:color w:val="000000"/>
          <w:sz w:val="24"/>
          <w:szCs w:val="24"/>
          <w:shd w:val="clear" w:color="auto" w:fill="FFFFFF"/>
          <w:lang w:eastAsia="en-GB"/>
        </w:rPr>
        <w:t>out of</w:t>
      </w:r>
      <w:r>
        <w:rPr>
          <w:rFonts w:ascii="Garamond" w:eastAsia="Times New Roman" w:hAnsi="Garamond" w:cs="Times New Roman"/>
          <w:color w:val="000000"/>
          <w:sz w:val="24"/>
          <w:szCs w:val="24"/>
          <w:shd w:val="clear" w:color="auto" w:fill="FFFFFF"/>
          <w:lang w:eastAsia="en-GB"/>
        </w:rPr>
        <w:t xml:space="preserve"> my</w:t>
      </w:r>
      <w:r w:rsidRPr="00BB5625">
        <w:rPr>
          <w:rFonts w:ascii="Garamond" w:eastAsia="Times New Roman" w:hAnsi="Garamond" w:cs="Times New Roman"/>
          <w:color w:val="000000"/>
          <w:sz w:val="24"/>
          <w:szCs w:val="24"/>
          <w:shd w:val="clear" w:color="auto" w:fill="FFFFFF"/>
          <w:lang w:eastAsia="en-GB"/>
        </w:rPr>
        <w:t xml:space="preserve"> depth; </w:t>
      </w:r>
      <w:r>
        <w:rPr>
          <w:rFonts w:ascii="Garamond" w:eastAsia="Times New Roman" w:hAnsi="Garamond" w:cs="Times New Roman"/>
          <w:color w:val="000000"/>
          <w:sz w:val="24"/>
          <w:szCs w:val="24"/>
          <w:shd w:val="clear" w:color="auto" w:fill="FFFFFF"/>
          <w:lang w:eastAsia="en-GB"/>
        </w:rPr>
        <w:t>working with</w:t>
      </w:r>
      <w:r w:rsidRPr="00BB5625">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boycotts and </w:t>
      </w:r>
      <w:r w:rsidRPr="00BB5625">
        <w:rPr>
          <w:rFonts w:ascii="Garamond" w:eastAsia="Times New Roman" w:hAnsi="Garamond" w:cs="Times New Roman"/>
          <w:color w:val="000000"/>
          <w:sz w:val="24"/>
          <w:szCs w:val="24"/>
          <w:shd w:val="clear" w:color="auto" w:fill="FFFFFF"/>
          <w:lang w:eastAsia="en-GB"/>
        </w:rPr>
        <w:t xml:space="preserve">consumption practice constituted only a facet of the work undertaken by STT Amsterdam.  During the first and second interviews I realized that I </w:t>
      </w:r>
      <w:r>
        <w:rPr>
          <w:rFonts w:ascii="Garamond" w:eastAsia="Times New Roman" w:hAnsi="Garamond" w:cs="Times New Roman"/>
          <w:color w:val="000000"/>
          <w:sz w:val="24"/>
          <w:szCs w:val="24"/>
          <w:shd w:val="clear" w:color="auto" w:fill="FFFFFF"/>
          <w:lang w:eastAsia="en-GB"/>
        </w:rPr>
        <w:t xml:space="preserve">needed deeper knowledge on the global chocolate industry and </w:t>
      </w:r>
      <w:r w:rsidRPr="00BB5625">
        <w:rPr>
          <w:rFonts w:ascii="Garamond" w:eastAsia="Times New Roman" w:hAnsi="Garamond" w:cs="Times New Roman"/>
          <w:color w:val="000000"/>
          <w:sz w:val="24"/>
          <w:szCs w:val="24"/>
          <w:shd w:val="clear" w:color="auto" w:fill="FFFFFF"/>
          <w:lang w:eastAsia="en-GB"/>
        </w:rPr>
        <w:t xml:space="preserve">cocoa farming organization in </w:t>
      </w:r>
      <w:r w:rsidRPr="00BB5625">
        <w:rPr>
          <w:rFonts w:ascii="Garamond" w:eastAsia="Times New Roman" w:hAnsi="Garamond" w:cs="Times New Roman"/>
          <w:sz w:val="24"/>
          <w:szCs w:val="24"/>
          <w:shd w:val="clear" w:color="auto" w:fill="FFFFFF"/>
          <w:lang w:eastAsia="en-GB"/>
        </w:rPr>
        <w:t xml:space="preserve">the </w:t>
      </w:r>
      <w:r w:rsidRPr="00BB5625">
        <w:rPr>
          <w:rFonts w:ascii="Garamond" w:hAnsi="Garamond" w:cs="Arial"/>
          <w:sz w:val="24"/>
          <w:szCs w:val="24"/>
          <w:shd w:val="clear" w:color="auto" w:fill="FFFFFF"/>
        </w:rPr>
        <w:t>Côte</w:t>
      </w:r>
      <w:r w:rsidRPr="00BB5625">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D’Ivoire in order </w:t>
      </w:r>
      <w:r w:rsidRPr="00BB5625">
        <w:rPr>
          <w:rFonts w:ascii="Garamond" w:eastAsia="Times New Roman" w:hAnsi="Garamond" w:cs="Times New Roman"/>
          <w:color w:val="000000"/>
          <w:sz w:val="24"/>
          <w:szCs w:val="24"/>
          <w:shd w:val="clear" w:color="auto" w:fill="FFFFFF"/>
          <w:lang w:eastAsia="en-GB"/>
        </w:rPr>
        <w:t xml:space="preserve">to </w:t>
      </w:r>
      <w:r>
        <w:rPr>
          <w:rFonts w:ascii="Garamond" w:eastAsia="Times New Roman" w:hAnsi="Garamond" w:cs="Times New Roman"/>
          <w:color w:val="000000"/>
          <w:sz w:val="24"/>
          <w:szCs w:val="24"/>
          <w:shd w:val="clear" w:color="auto" w:fill="FFFFFF"/>
          <w:lang w:eastAsia="en-GB"/>
        </w:rPr>
        <w:t xml:space="preserve">enable me to </w:t>
      </w:r>
      <w:r w:rsidRPr="00BB5625">
        <w:rPr>
          <w:rFonts w:ascii="Garamond" w:eastAsia="Times New Roman" w:hAnsi="Garamond" w:cs="Times New Roman"/>
          <w:color w:val="000000"/>
          <w:sz w:val="24"/>
          <w:szCs w:val="24"/>
          <w:shd w:val="clear" w:color="auto" w:fill="FFFFFF"/>
          <w:lang w:eastAsia="en-GB"/>
        </w:rPr>
        <w:t>ask the right questions</w:t>
      </w:r>
      <w:r>
        <w:rPr>
          <w:rFonts w:ascii="Garamond" w:eastAsia="Times New Roman" w:hAnsi="Garamond" w:cs="Times New Roman"/>
          <w:color w:val="000000"/>
          <w:sz w:val="24"/>
          <w:szCs w:val="24"/>
          <w:shd w:val="clear" w:color="auto" w:fill="FFFFFF"/>
          <w:lang w:eastAsia="en-GB"/>
        </w:rPr>
        <w:t xml:space="preserve">. </w:t>
      </w:r>
      <w:r w:rsidRPr="00BB5625">
        <w:rPr>
          <w:rFonts w:ascii="Garamond" w:eastAsia="Times New Roman" w:hAnsi="Garamond" w:cs="Times New Roman"/>
          <w:color w:val="000000"/>
          <w:sz w:val="24"/>
          <w:szCs w:val="24"/>
          <w:shd w:val="clear" w:color="auto" w:fill="FFFFFF"/>
          <w:lang w:eastAsia="en-GB"/>
        </w:rPr>
        <w:t xml:space="preserve">I took a week </w:t>
      </w:r>
      <w:r>
        <w:rPr>
          <w:rFonts w:ascii="Garamond" w:eastAsia="Times New Roman" w:hAnsi="Garamond" w:cs="Times New Roman"/>
          <w:color w:val="000000"/>
          <w:sz w:val="24"/>
          <w:szCs w:val="24"/>
          <w:shd w:val="clear" w:color="auto" w:fill="FFFFFF"/>
          <w:lang w:eastAsia="en-GB"/>
        </w:rPr>
        <w:t xml:space="preserve">out, and read secondary sources on cocoa production and certification in West Africa before conducting two further, and more intensive interviews with Antonie. In July and August 2011, I received responses from a structured set of interview questions I had prepared for Steve Chalke and Ruth Dearnley. The questions were designed to get a sense of how STT's founding activists situated the NGO within wider networks of anti-trafficking lobbying and thirdspace interactions </w:t>
      </w:r>
      <w:r>
        <w:rPr>
          <w:rFonts w:ascii="Garamond" w:eastAsia="Times New Roman" w:hAnsi="Garamond" w:cs="Times New Roman"/>
          <w:color w:val="000000"/>
          <w:sz w:val="24"/>
          <w:szCs w:val="24"/>
          <w:shd w:val="clear" w:color="auto" w:fill="FFFFFF"/>
          <w:lang w:eastAsia="en-GB"/>
        </w:rPr>
        <w:lastRenderedPageBreak/>
        <w:t>(Rose, 1999). They presented an opportunity for the organization to respond to particular cri</w:t>
      </w:r>
      <w:r w:rsidR="00666B91">
        <w:rPr>
          <w:rFonts w:ascii="Garamond" w:eastAsia="Times New Roman" w:hAnsi="Garamond" w:cs="Times New Roman"/>
          <w:color w:val="000000"/>
          <w:sz w:val="24"/>
          <w:szCs w:val="24"/>
          <w:shd w:val="clear" w:color="auto" w:fill="FFFFFF"/>
          <w:lang w:eastAsia="en-GB"/>
        </w:rPr>
        <w:t>tiques on anti-trafficking work.</w:t>
      </w:r>
    </w:p>
    <w:p w:rsidR="00BB49E2" w:rsidRDefault="00BB49E2" w:rsidP="00BB49E2">
      <w:pPr>
        <w:spacing w:after="0" w:line="360" w:lineRule="auto"/>
        <w:rPr>
          <w:rFonts w:ascii="Garamond" w:hAnsi="Garamond" w:cs="Tahoma"/>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396"/>
      </w:tblGrid>
      <w:tr w:rsidR="00BB49E2">
        <w:trPr>
          <w:trHeight w:val="9621"/>
        </w:trPr>
        <w:tc>
          <w:tcPr>
            <w:tcW w:w="8396" w:type="dxa"/>
          </w:tcPr>
          <w:p w:rsidR="00417E04" w:rsidRDefault="00417E04" w:rsidP="00666B91">
            <w:pPr>
              <w:pStyle w:val="ListParagraph"/>
              <w:spacing w:after="0" w:line="360" w:lineRule="auto"/>
              <w:ind w:left="1080"/>
              <w:jc w:val="center"/>
              <w:rPr>
                <w:rFonts w:ascii="Perpetua" w:hAnsi="Perpetua" w:cs="Tahoma"/>
                <w:shd w:val="clear" w:color="auto" w:fill="FFFFFF"/>
              </w:rPr>
            </w:pPr>
          </w:p>
          <w:p w:rsidR="00BB49E2" w:rsidRPr="00B848A8" w:rsidRDefault="00BB49E2" w:rsidP="00666B91">
            <w:pPr>
              <w:pStyle w:val="ListParagraph"/>
              <w:spacing w:after="0" w:line="360" w:lineRule="auto"/>
              <w:ind w:left="1080"/>
              <w:jc w:val="center"/>
              <w:rPr>
                <w:rFonts w:ascii="Calibri" w:hAnsi="Calibri" w:cs="Tahoma"/>
                <w:b/>
                <w:shd w:val="clear" w:color="auto" w:fill="FFFFFF"/>
              </w:rPr>
            </w:pPr>
            <w:r w:rsidRPr="00B848A8">
              <w:rPr>
                <w:rFonts w:ascii="Calibri" w:hAnsi="Calibri" w:cs="Tahoma"/>
                <w:b/>
                <w:shd w:val="clear" w:color="auto" w:fill="FFFFFF"/>
              </w:rPr>
              <w:t>Interview Questions for Steve Chalke and Ruth Dearnley</w:t>
            </w:r>
          </w:p>
          <w:p w:rsidR="00BB49E2" w:rsidRPr="005A74B4" w:rsidRDefault="00BB49E2" w:rsidP="00666B91">
            <w:pPr>
              <w:pStyle w:val="ListParagraph"/>
              <w:spacing w:after="0" w:line="360" w:lineRule="auto"/>
              <w:ind w:left="1080"/>
              <w:jc w:val="both"/>
              <w:rPr>
                <w:rFonts w:ascii="Calibri" w:hAnsi="Calibri" w:cs="Tahoma"/>
                <w:shd w:val="clear" w:color="auto" w:fill="FFFFFF"/>
              </w:rPr>
            </w:pPr>
          </w:p>
          <w:p w:rsidR="00BB49E2" w:rsidRPr="005A74B4" w:rsidRDefault="00BB49E2" w:rsidP="002049D4">
            <w:pPr>
              <w:pStyle w:val="ListParagraph"/>
              <w:numPr>
                <w:ilvl w:val="0"/>
                <w:numId w:val="9"/>
              </w:numPr>
              <w:spacing w:line="360" w:lineRule="auto"/>
              <w:ind w:left="714" w:right="380" w:hanging="357"/>
              <w:jc w:val="both"/>
              <w:rPr>
                <w:rFonts w:ascii="Calibri" w:hAnsi="Calibri" w:cs="Tahoma"/>
                <w:shd w:val="clear" w:color="auto" w:fill="FFFFFF"/>
              </w:rPr>
            </w:pPr>
            <w:r w:rsidRPr="005A74B4">
              <w:rPr>
                <w:rFonts w:ascii="Calibri" w:hAnsi="Calibri" w:cs="Tahoma"/>
                <w:shd w:val="clear" w:color="auto" w:fill="FFFFFF"/>
              </w:rPr>
              <w:t>What were your motivations for founding STT?</w:t>
            </w:r>
          </w:p>
          <w:p w:rsidR="00BB49E2" w:rsidRPr="005A74B4" w:rsidRDefault="00BB49E2" w:rsidP="002049D4">
            <w:pPr>
              <w:pStyle w:val="ListParagraph"/>
              <w:numPr>
                <w:ilvl w:val="0"/>
                <w:numId w:val="9"/>
              </w:numPr>
              <w:spacing w:after="0" w:line="360" w:lineRule="auto"/>
              <w:ind w:left="714" w:right="380" w:hanging="357"/>
              <w:jc w:val="both"/>
              <w:rPr>
                <w:rFonts w:ascii="Calibri" w:hAnsi="Calibri" w:cs="Tahoma"/>
                <w:shd w:val="clear" w:color="auto" w:fill="FFFFFF"/>
              </w:rPr>
            </w:pPr>
            <w:r w:rsidRPr="005A74B4">
              <w:rPr>
                <w:rFonts w:ascii="Calibri" w:hAnsi="Calibri" w:cs="Tahoma"/>
                <w:shd w:val="clear" w:color="auto" w:fill="FFFFFF"/>
              </w:rPr>
              <w:t>How are you influenced by previous antislavery movements (i.e. the abolitionist movement)? How do you translate their message for consumers and communities in the twenty first century?  </w:t>
            </w:r>
          </w:p>
          <w:p w:rsidR="00BB49E2" w:rsidRPr="005A74B4" w:rsidRDefault="00BB49E2" w:rsidP="002049D4">
            <w:pPr>
              <w:pStyle w:val="ListParagraph"/>
              <w:numPr>
                <w:ilvl w:val="0"/>
                <w:numId w:val="9"/>
              </w:numPr>
              <w:spacing w:after="0" w:line="360" w:lineRule="auto"/>
              <w:ind w:left="714" w:right="380" w:hanging="357"/>
              <w:jc w:val="both"/>
              <w:rPr>
                <w:rFonts w:ascii="Calibri" w:hAnsi="Calibri" w:cs="Tahoma"/>
                <w:shd w:val="clear" w:color="auto" w:fill="FFFFFF"/>
              </w:rPr>
            </w:pPr>
            <w:r w:rsidRPr="005A74B4">
              <w:rPr>
                <w:rFonts w:ascii="Calibri" w:hAnsi="Calibri" w:cs="Tahoma"/>
                <w:shd w:val="clear" w:color="auto" w:fill="FFFFFF"/>
              </w:rPr>
              <w:t>Your campaigns are community driven; I've read some of Kevin Bale's work on trafficking and he proposes community led solutions to trafficking. But, the victims of trafficking are often invisible to communities, how does STT propose we make the lives of trafficked victims more visible?</w:t>
            </w:r>
          </w:p>
          <w:p w:rsidR="00BB49E2" w:rsidRPr="005A74B4" w:rsidRDefault="00BB49E2" w:rsidP="002049D4">
            <w:pPr>
              <w:pStyle w:val="ListParagraph"/>
              <w:numPr>
                <w:ilvl w:val="0"/>
                <w:numId w:val="9"/>
              </w:numPr>
              <w:spacing w:line="360" w:lineRule="auto"/>
              <w:ind w:left="714" w:right="380" w:hanging="357"/>
              <w:jc w:val="both"/>
              <w:rPr>
                <w:rFonts w:ascii="Calibri" w:hAnsi="Calibri" w:cs="Tahoma"/>
                <w:shd w:val="clear" w:color="auto" w:fill="FFFFFF"/>
              </w:rPr>
            </w:pPr>
            <w:r w:rsidRPr="005A74B4">
              <w:rPr>
                <w:rFonts w:ascii="Calibri" w:hAnsi="Calibri" w:cs="Tahoma"/>
                <w:shd w:val="clear" w:color="auto" w:fill="FFFFFF"/>
              </w:rPr>
              <w:t>Trafficking occurs across many industries, trades and commodity/service networks; how closely do you work with local, regional and national forms of governance/policing to combat this?</w:t>
            </w:r>
          </w:p>
          <w:p w:rsidR="00BB49E2" w:rsidRPr="005A74B4" w:rsidRDefault="00BB49E2" w:rsidP="002049D4">
            <w:pPr>
              <w:pStyle w:val="ListParagraph"/>
              <w:numPr>
                <w:ilvl w:val="0"/>
                <w:numId w:val="9"/>
              </w:numPr>
              <w:spacing w:line="360" w:lineRule="auto"/>
              <w:ind w:left="714" w:right="380" w:hanging="357"/>
              <w:jc w:val="both"/>
              <w:rPr>
                <w:rFonts w:ascii="Calibri" w:hAnsi="Calibri" w:cs="Tahoma"/>
                <w:shd w:val="clear" w:color="auto" w:fill="FFFFFF"/>
              </w:rPr>
            </w:pPr>
            <w:r w:rsidRPr="005A74B4">
              <w:rPr>
                <w:rFonts w:ascii="Calibri" w:hAnsi="Calibri" w:cs="Tahoma"/>
                <w:shd w:val="clear" w:color="auto" w:fill="FFFFFF"/>
              </w:rPr>
              <w:t>Trafficked prostitution in the UK and the use of trafficked child labour in cocoa plantations in West Africa are two very different evils. How do both campaigns relate to each other, and have you any witnesses or people working in the places where the initial trafficking deception is occurring?</w:t>
            </w:r>
          </w:p>
          <w:p w:rsidR="00BB49E2" w:rsidRPr="00F07857" w:rsidRDefault="00BB49E2" w:rsidP="00BB49E2">
            <w:pPr>
              <w:pStyle w:val="ListParagraph"/>
              <w:numPr>
                <w:ilvl w:val="0"/>
                <w:numId w:val="9"/>
              </w:numPr>
              <w:spacing w:line="360" w:lineRule="auto"/>
              <w:ind w:left="714" w:right="380" w:hanging="357"/>
              <w:jc w:val="both"/>
              <w:rPr>
                <w:rFonts w:ascii="Perpetua" w:hAnsi="Perpetua" w:cs="Tahoma"/>
                <w:shd w:val="clear" w:color="auto" w:fill="FFFFFF"/>
              </w:rPr>
            </w:pPr>
            <w:r w:rsidRPr="005A74B4">
              <w:rPr>
                <w:rFonts w:ascii="Calibri" w:hAnsi="Calibri" w:cs="Tahoma"/>
                <w:shd w:val="clear" w:color="auto" w:fill="FFFFFF"/>
              </w:rPr>
              <w:t>Trafficking and smuggling are two very closely related issues, and sometimes discerning between vict</w:t>
            </w:r>
            <w:r w:rsidR="00417E04">
              <w:rPr>
                <w:rFonts w:ascii="Calibri" w:hAnsi="Calibri" w:cs="Tahoma"/>
                <w:shd w:val="clear" w:color="auto" w:fill="FFFFFF"/>
              </w:rPr>
              <w:t>im and willing participant is difficult. A</w:t>
            </w:r>
            <w:r w:rsidRPr="005A74B4">
              <w:rPr>
                <w:rFonts w:ascii="Calibri" w:hAnsi="Calibri" w:cs="Tahoma"/>
                <w:shd w:val="clear" w:color="auto" w:fill="FFFFFF"/>
              </w:rPr>
              <w:t xml:space="preserve">ccording to Lawrance </w:t>
            </w:r>
            <w:r w:rsidR="00417E04">
              <w:rPr>
                <w:rFonts w:ascii="Calibri" w:hAnsi="Calibri" w:cs="Tahoma"/>
                <w:shd w:val="clear" w:color="auto" w:fill="FFFFFF"/>
              </w:rPr>
              <w:t>(</w:t>
            </w:r>
            <w:r w:rsidRPr="005A74B4">
              <w:rPr>
                <w:rFonts w:ascii="Calibri" w:hAnsi="Calibri" w:cs="Tahoma"/>
                <w:shd w:val="clear" w:color="auto" w:fill="FFFFFF"/>
              </w:rPr>
              <w:t>2010b</w:t>
            </w:r>
            <w:r w:rsidR="00417E04">
              <w:rPr>
                <w:rFonts w:ascii="Calibri" w:hAnsi="Calibri" w:cs="Tahoma"/>
                <w:shd w:val="clear" w:color="auto" w:fill="FFFFFF"/>
              </w:rPr>
              <w:t>)</w:t>
            </w:r>
            <w:r w:rsidRPr="005A74B4">
              <w:rPr>
                <w:rFonts w:ascii="Calibri" w:hAnsi="Calibri" w:cs="Tahoma"/>
                <w:shd w:val="clear" w:color="auto" w:fill="FFFFFF"/>
              </w:rPr>
              <w:t xml:space="preserve"> and Liempt </w:t>
            </w:r>
            <w:r w:rsidR="00417E04">
              <w:rPr>
                <w:rFonts w:ascii="Calibri" w:hAnsi="Calibri" w:cs="Tahoma"/>
                <w:shd w:val="clear" w:color="auto" w:fill="FFFFFF"/>
              </w:rPr>
              <w:t>(</w:t>
            </w:r>
            <w:r w:rsidRPr="005A74B4">
              <w:rPr>
                <w:rFonts w:ascii="Calibri" w:hAnsi="Calibri" w:cs="Tahoma"/>
                <w:shd w:val="clear" w:color="auto" w:fill="FFFFFF"/>
              </w:rPr>
              <w:t>2010), not all assisted migration is trafficking. If a person is not deceived into their movement or employment but they work in expected but bad conditions, does this still constitute trafficking</w:t>
            </w:r>
            <w:r w:rsidR="00417E04">
              <w:rPr>
                <w:rFonts w:ascii="Calibri" w:hAnsi="Calibri" w:cs="Tahoma"/>
                <w:shd w:val="clear" w:color="auto" w:fill="FFFFFF"/>
              </w:rPr>
              <w:t>?</w:t>
            </w:r>
          </w:p>
        </w:tc>
      </w:tr>
    </w:tbl>
    <w:p w:rsidR="00BB49E2" w:rsidRDefault="00BB49E2" w:rsidP="00BB49E2">
      <w:pPr>
        <w:spacing w:after="0" w:line="360" w:lineRule="auto"/>
        <w:rPr>
          <w:rFonts w:ascii="Perpetua" w:hAnsi="Perpetua" w:cs="Tahoma"/>
          <w:shd w:val="clear" w:color="auto" w:fill="FFFFFF"/>
        </w:rPr>
      </w:pPr>
    </w:p>
    <w:p w:rsidR="00BB49E2" w:rsidRPr="00E8319A" w:rsidRDefault="00BB49E2" w:rsidP="00814F86">
      <w:pPr>
        <w:pStyle w:val="Caption"/>
        <w:jc w:val="both"/>
        <w:rPr>
          <w:rFonts w:ascii="Perpetua" w:eastAsia="Times New Roman" w:hAnsi="Perpetua" w:cs="Times New Roman"/>
          <w:color w:val="auto"/>
          <w:sz w:val="20"/>
          <w:szCs w:val="24"/>
          <w:shd w:val="clear" w:color="auto" w:fill="FFFFFF"/>
          <w:lang w:eastAsia="en-GB"/>
        </w:rPr>
      </w:pPr>
      <w:bookmarkStart w:id="171" w:name="_Toc244168196"/>
      <w:bookmarkStart w:id="172" w:name="_Toc244578425"/>
      <w:r w:rsidRPr="00E8319A">
        <w:rPr>
          <w:rFonts w:ascii="Perpetua" w:hAnsi="Perpetua"/>
          <w:color w:val="auto"/>
          <w:sz w:val="20"/>
        </w:rPr>
        <w:t xml:space="preserve">Table </w:t>
      </w:r>
      <w:r w:rsidR="00DF2DF8" w:rsidRPr="00E8319A">
        <w:rPr>
          <w:rFonts w:ascii="Perpetua" w:hAnsi="Perpetua"/>
          <w:color w:val="auto"/>
          <w:sz w:val="20"/>
        </w:rPr>
        <w:fldChar w:fldCharType="begin"/>
      </w:r>
      <w:r w:rsidRPr="00E8319A">
        <w:rPr>
          <w:rFonts w:ascii="Perpetua" w:hAnsi="Perpetua"/>
          <w:color w:val="auto"/>
          <w:sz w:val="20"/>
        </w:rPr>
        <w:instrText xml:space="preserve"> SEQ Table \* ARABIC </w:instrText>
      </w:r>
      <w:r w:rsidR="00DF2DF8" w:rsidRPr="00E8319A">
        <w:rPr>
          <w:rFonts w:ascii="Perpetua" w:hAnsi="Perpetua"/>
          <w:color w:val="auto"/>
          <w:sz w:val="20"/>
        </w:rPr>
        <w:fldChar w:fldCharType="separate"/>
      </w:r>
      <w:r w:rsidR="002B3E92">
        <w:rPr>
          <w:rFonts w:ascii="Perpetua" w:hAnsi="Perpetua"/>
          <w:noProof/>
          <w:color w:val="auto"/>
          <w:sz w:val="20"/>
        </w:rPr>
        <w:t>4</w:t>
      </w:r>
      <w:r w:rsidR="00DF2DF8" w:rsidRPr="00E8319A">
        <w:rPr>
          <w:rFonts w:ascii="Perpetua" w:hAnsi="Perpetua"/>
          <w:color w:val="auto"/>
          <w:sz w:val="20"/>
        </w:rPr>
        <w:fldChar w:fldCharType="end"/>
      </w:r>
      <w:r w:rsidRPr="00E8319A">
        <w:rPr>
          <w:rFonts w:ascii="Perpetua" w:hAnsi="Perpetua"/>
          <w:color w:val="auto"/>
          <w:sz w:val="20"/>
        </w:rPr>
        <w:t xml:space="preserve">: </w:t>
      </w:r>
      <w:r w:rsidRPr="00E8319A">
        <w:rPr>
          <w:rFonts w:ascii="Perpetua" w:hAnsi="Perpetua" w:cs="Tahoma"/>
          <w:b w:val="0"/>
          <w:color w:val="auto"/>
          <w:sz w:val="20"/>
          <w:shd w:val="clear" w:color="auto" w:fill="FFFFFF"/>
        </w:rPr>
        <w:t xml:space="preserve">Structured interview questions for Ruth Dearnley and Steve Chalke (July, 2011). The aim of these questions was to get a sense of how the leaders of STT positioned the organization </w:t>
      </w:r>
      <w:r w:rsidRPr="00E8319A">
        <w:rPr>
          <w:rFonts w:ascii="Perpetua" w:eastAsia="Times New Roman" w:hAnsi="Perpetua" w:cs="Times New Roman"/>
          <w:b w:val="0"/>
          <w:color w:val="auto"/>
          <w:sz w:val="20"/>
          <w:shd w:val="clear" w:color="auto" w:fill="FFFFFF"/>
          <w:lang w:eastAsia="en-GB"/>
        </w:rPr>
        <w:t>"within larger sets of socio-spatial relations and institutions" (Del Casino Jr. et al., 2000: 522).</w:t>
      </w:r>
      <w:bookmarkEnd w:id="171"/>
      <w:bookmarkEnd w:id="172"/>
    </w:p>
    <w:p w:rsidR="00BB49E2" w:rsidRDefault="00BB49E2" w:rsidP="00BB49E2">
      <w:pPr>
        <w:spacing w:after="0" w:line="360" w:lineRule="auto"/>
        <w:rPr>
          <w:rFonts w:ascii="Perpetua" w:hAnsi="Perpetua" w:cs="Tahoma"/>
          <w:shd w:val="clear" w:color="auto" w:fill="FFFFFF"/>
        </w:rPr>
      </w:pPr>
    </w:p>
    <w:p w:rsidR="00BB49E2" w:rsidRDefault="00BB49E2" w:rsidP="00BB49E2">
      <w:pPr>
        <w:spacing w:after="0" w:line="360" w:lineRule="auto"/>
        <w:rPr>
          <w:rFonts w:ascii="Perpetua" w:hAnsi="Perpetua" w:cs="Tahoma"/>
          <w:shd w:val="clear" w:color="auto" w:fill="FFFFFF"/>
        </w:rPr>
      </w:pPr>
    </w:p>
    <w:tbl>
      <w:tblPr>
        <w:tblpPr w:leftFromText="180" w:rightFromText="180" w:vertAnchor="text" w:horzAnchor="page" w:tblpX="1909" w:tblpY="-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6"/>
        <w:gridCol w:w="2135"/>
        <w:gridCol w:w="2120"/>
        <w:gridCol w:w="2145"/>
      </w:tblGrid>
      <w:tr w:rsidR="00666B91" w:rsidRPr="002049D4">
        <w:tc>
          <w:tcPr>
            <w:tcW w:w="2116" w:type="dxa"/>
          </w:tcPr>
          <w:p w:rsidR="00666B91" w:rsidRPr="00814F86" w:rsidRDefault="00666B91" w:rsidP="002968B4">
            <w:pPr>
              <w:spacing w:after="0" w:line="240" w:lineRule="auto"/>
              <w:jc w:val="center"/>
              <w:rPr>
                <w:b/>
              </w:rPr>
            </w:pPr>
            <w:r w:rsidRPr="00814F86">
              <w:rPr>
                <w:b/>
                <w:shd w:val="clear" w:color="auto" w:fill="FFFFFF"/>
              </w:rPr>
              <w:lastRenderedPageBreak/>
              <w:t>Name</w:t>
            </w:r>
          </w:p>
          <w:p w:rsidR="00666B91" w:rsidRPr="00814F86" w:rsidRDefault="00666B91" w:rsidP="002968B4">
            <w:pPr>
              <w:spacing w:after="0" w:line="240" w:lineRule="auto"/>
              <w:jc w:val="center"/>
              <w:rPr>
                <w:b/>
              </w:rPr>
            </w:pPr>
          </w:p>
        </w:tc>
        <w:tc>
          <w:tcPr>
            <w:tcW w:w="2135" w:type="dxa"/>
          </w:tcPr>
          <w:p w:rsidR="00666B91" w:rsidRPr="00814F86" w:rsidRDefault="00666B91" w:rsidP="002968B4">
            <w:pPr>
              <w:spacing w:after="0" w:line="240" w:lineRule="auto"/>
              <w:jc w:val="center"/>
              <w:rPr>
                <w:b/>
              </w:rPr>
            </w:pPr>
            <w:r w:rsidRPr="00814F86">
              <w:rPr>
                <w:b/>
              </w:rPr>
              <w:t>Position</w:t>
            </w:r>
          </w:p>
        </w:tc>
        <w:tc>
          <w:tcPr>
            <w:tcW w:w="2120" w:type="dxa"/>
          </w:tcPr>
          <w:p w:rsidR="00666B91" w:rsidRPr="00814F86" w:rsidRDefault="00666B91" w:rsidP="002968B4">
            <w:pPr>
              <w:spacing w:after="0" w:line="240" w:lineRule="auto"/>
              <w:jc w:val="center"/>
              <w:rPr>
                <w:b/>
              </w:rPr>
            </w:pPr>
            <w:r w:rsidRPr="00814F86">
              <w:rPr>
                <w:b/>
              </w:rPr>
              <w:t>Place</w:t>
            </w:r>
          </w:p>
        </w:tc>
        <w:tc>
          <w:tcPr>
            <w:tcW w:w="2145" w:type="dxa"/>
          </w:tcPr>
          <w:p w:rsidR="00666B91" w:rsidRPr="00814F86" w:rsidRDefault="00666B91" w:rsidP="002968B4">
            <w:pPr>
              <w:spacing w:after="0" w:line="240" w:lineRule="auto"/>
              <w:jc w:val="center"/>
              <w:rPr>
                <w:b/>
              </w:rPr>
            </w:pPr>
            <w:r w:rsidRPr="00814F86">
              <w:rPr>
                <w:b/>
              </w:rPr>
              <w:t>Date</w:t>
            </w:r>
          </w:p>
        </w:tc>
      </w:tr>
      <w:tr w:rsidR="00666B91" w:rsidRPr="002049D4">
        <w:tc>
          <w:tcPr>
            <w:tcW w:w="2116" w:type="dxa"/>
          </w:tcPr>
          <w:p w:rsidR="00666B91" w:rsidRPr="002049D4" w:rsidRDefault="0096303B" w:rsidP="002968B4">
            <w:pPr>
              <w:spacing w:after="0" w:line="240" w:lineRule="auto"/>
            </w:pPr>
            <w:r>
              <w:t>Anna</w:t>
            </w:r>
          </w:p>
        </w:tc>
        <w:tc>
          <w:tcPr>
            <w:tcW w:w="2135" w:type="dxa"/>
          </w:tcPr>
          <w:p w:rsidR="00666B91" w:rsidRPr="002049D4" w:rsidRDefault="00666B91" w:rsidP="002968B4">
            <w:pPr>
              <w:spacing w:after="0" w:line="240" w:lineRule="auto"/>
            </w:pPr>
            <w:r w:rsidRPr="002049D4">
              <w:t>STT intern</w:t>
            </w:r>
          </w:p>
        </w:tc>
        <w:tc>
          <w:tcPr>
            <w:tcW w:w="2120" w:type="dxa"/>
          </w:tcPr>
          <w:p w:rsidR="00666B91" w:rsidRPr="002049D4" w:rsidRDefault="00666B91" w:rsidP="002968B4">
            <w:pPr>
              <w:spacing w:after="0" w:line="240" w:lineRule="auto"/>
            </w:pPr>
            <w:r w:rsidRPr="002049D4">
              <w:t>Internet</w:t>
            </w:r>
          </w:p>
        </w:tc>
        <w:tc>
          <w:tcPr>
            <w:tcW w:w="2145" w:type="dxa"/>
          </w:tcPr>
          <w:p w:rsidR="00666B91" w:rsidRPr="002049D4" w:rsidRDefault="00666B91" w:rsidP="002968B4">
            <w:pPr>
              <w:spacing w:after="0" w:line="240" w:lineRule="auto"/>
            </w:pPr>
            <w:r w:rsidRPr="002049D4">
              <w:t>20/9/2011</w:t>
            </w:r>
          </w:p>
          <w:p w:rsidR="00666B91" w:rsidRPr="002049D4" w:rsidRDefault="00666B91" w:rsidP="002968B4">
            <w:pPr>
              <w:spacing w:after="0" w:line="240" w:lineRule="auto"/>
            </w:pPr>
            <w:r w:rsidRPr="002049D4">
              <w:t>13/10/2011</w:t>
            </w:r>
          </w:p>
        </w:tc>
      </w:tr>
      <w:tr w:rsidR="00666B91" w:rsidRPr="002049D4">
        <w:tc>
          <w:tcPr>
            <w:tcW w:w="2116" w:type="dxa"/>
          </w:tcPr>
          <w:p w:rsidR="00666B91" w:rsidRPr="002049D4" w:rsidRDefault="00AF727C" w:rsidP="002968B4">
            <w:pPr>
              <w:spacing w:after="0" w:line="240" w:lineRule="auto"/>
            </w:pPr>
            <w:r>
              <w:t>Rachel</w:t>
            </w:r>
          </w:p>
        </w:tc>
        <w:tc>
          <w:tcPr>
            <w:tcW w:w="2135" w:type="dxa"/>
          </w:tcPr>
          <w:p w:rsidR="00666B91" w:rsidRPr="002049D4" w:rsidRDefault="00666B91" w:rsidP="002968B4">
            <w:pPr>
              <w:spacing w:after="0" w:line="240" w:lineRule="auto"/>
            </w:pPr>
            <w:r w:rsidRPr="002049D4">
              <w:t>STT intern</w:t>
            </w:r>
          </w:p>
        </w:tc>
        <w:tc>
          <w:tcPr>
            <w:tcW w:w="2120" w:type="dxa"/>
          </w:tcPr>
          <w:p w:rsidR="00666B91" w:rsidRPr="002049D4" w:rsidRDefault="00666B91" w:rsidP="002968B4">
            <w:pPr>
              <w:spacing w:after="0" w:line="240" w:lineRule="auto"/>
            </w:pPr>
            <w:r w:rsidRPr="002049D4">
              <w:t>Internet</w:t>
            </w:r>
          </w:p>
          <w:p w:rsidR="00666B91" w:rsidRPr="002049D4" w:rsidRDefault="00666B91" w:rsidP="002968B4">
            <w:pPr>
              <w:spacing w:after="0" w:line="240" w:lineRule="auto"/>
            </w:pPr>
            <w:r w:rsidRPr="002049D4">
              <w:t>STT offices Lambeth</w:t>
            </w:r>
          </w:p>
          <w:p w:rsidR="00666B91" w:rsidRPr="002049D4" w:rsidRDefault="00666B91" w:rsidP="002968B4">
            <w:pPr>
              <w:spacing w:after="0" w:line="240" w:lineRule="auto"/>
            </w:pPr>
            <w:r w:rsidRPr="002049D4">
              <w:t>Oasis cafe Lambeth</w:t>
            </w:r>
          </w:p>
        </w:tc>
        <w:tc>
          <w:tcPr>
            <w:tcW w:w="2145" w:type="dxa"/>
          </w:tcPr>
          <w:p w:rsidR="00666B91" w:rsidRPr="002049D4" w:rsidRDefault="00666B91" w:rsidP="002968B4">
            <w:pPr>
              <w:spacing w:after="0" w:line="240" w:lineRule="auto"/>
            </w:pPr>
            <w:r w:rsidRPr="002049D4">
              <w:t>20/3/2011</w:t>
            </w:r>
          </w:p>
          <w:p w:rsidR="00666B91" w:rsidRPr="002049D4" w:rsidRDefault="00666B91" w:rsidP="002968B4">
            <w:pPr>
              <w:spacing w:after="0" w:line="240" w:lineRule="auto"/>
            </w:pPr>
            <w:r w:rsidRPr="002049D4">
              <w:t>10/4/2011</w:t>
            </w:r>
          </w:p>
          <w:p w:rsidR="00666B91" w:rsidRPr="002049D4" w:rsidRDefault="00666B91" w:rsidP="002968B4">
            <w:pPr>
              <w:spacing w:after="0" w:line="240" w:lineRule="auto"/>
            </w:pPr>
            <w:r w:rsidRPr="002049D4">
              <w:t>25/5/2011</w:t>
            </w:r>
          </w:p>
        </w:tc>
      </w:tr>
      <w:tr w:rsidR="00666B91" w:rsidRPr="002049D4">
        <w:tc>
          <w:tcPr>
            <w:tcW w:w="2116" w:type="dxa"/>
          </w:tcPr>
          <w:p w:rsidR="002968B4" w:rsidRPr="002049D4" w:rsidRDefault="00AF727C" w:rsidP="002968B4">
            <w:pPr>
              <w:spacing w:after="0" w:line="240" w:lineRule="auto"/>
            </w:pPr>
            <w:r>
              <w:t>Eve</w:t>
            </w:r>
          </w:p>
          <w:p w:rsidR="00666B91" w:rsidRPr="002049D4" w:rsidRDefault="00666B91" w:rsidP="002968B4">
            <w:pPr>
              <w:spacing w:after="0" w:line="240" w:lineRule="auto"/>
            </w:pPr>
          </w:p>
        </w:tc>
        <w:tc>
          <w:tcPr>
            <w:tcW w:w="2135" w:type="dxa"/>
          </w:tcPr>
          <w:p w:rsidR="00666B91" w:rsidRPr="002049D4" w:rsidRDefault="00666B91" w:rsidP="002968B4">
            <w:pPr>
              <w:spacing w:after="0" w:line="240" w:lineRule="auto"/>
            </w:pPr>
            <w:r w:rsidRPr="002049D4">
              <w:t>STT UK co-ordinator</w:t>
            </w:r>
          </w:p>
        </w:tc>
        <w:tc>
          <w:tcPr>
            <w:tcW w:w="2120" w:type="dxa"/>
          </w:tcPr>
          <w:p w:rsidR="00666B91" w:rsidRPr="002049D4" w:rsidRDefault="00666B91" w:rsidP="002968B4">
            <w:pPr>
              <w:spacing w:after="0" w:line="240" w:lineRule="auto"/>
            </w:pPr>
            <w:r w:rsidRPr="002049D4">
              <w:t>STT offices Lambeth</w:t>
            </w:r>
          </w:p>
        </w:tc>
        <w:tc>
          <w:tcPr>
            <w:tcW w:w="2145" w:type="dxa"/>
          </w:tcPr>
          <w:p w:rsidR="00666B91" w:rsidRPr="002049D4" w:rsidRDefault="00666B91" w:rsidP="002968B4">
            <w:pPr>
              <w:spacing w:after="0" w:line="240" w:lineRule="auto"/>
            </w:pPr>
            <w:r w:rsidRPr="002049D4">
              <w:t>10/4/2011</w:t>
            </w:r>
          </w:p>
        </w:tc>
      </w:tr>
      <w:tr w:rsidR="00666B91" w:rsidRPr="002049D4">
        <w:tc>
          <w:tcPr>
            <w:tcW w:w="2116" w:type="dxa"/>
          </w:tcPr>
          <w:p w:rsidR="00666B91" w:rsidRPr="002049D4" w:rsidRDefault="00AF727C" w:rsidP="002968B4">
            <w:pPr>
              <w:spacing w:after="0" w:line="240" w:lineRule="auto"/>
            </w:pPr>
            <w:r>
              <w:t>Sophie</w:t>
            </w:r>
          </w:p>
        </w:tc>
        <w:tc>
          <w:tcPr>
            <w:tcW w:w="2135" w:type="dxa"/>
          </w:tcPr>
          <w:p w:rsidR="00666B91" w:rsidRPr="002049D4" w:rsidRDefault="00666B91" w:rsidP="002968B4">
            <w:pPr>
              <w:spacing w:after="0" w:line="240" w:lineRule="auto"/>
            </w:pPr>
            <w:r w:rsidRPr="002049D4">
              <w:t>ACT London group co-ordinator</w:t>
            </w:r>
          </w:p>
        </w:tc>
        <w:tc>
          <w:tcPr>
            <w:tcW w:w="2120" w:type="dxa"/>
          </w:tcPr>
          <w:p w:rsidR="00666B91" w:rsidRPr="002049D4" w:rsidRDefault="00666B91" w:rsidP="002968B4">
            <w:pPr>
              <w:spacing w:after="0" w:line="240" w:lineRule="auto"/>
            </w:pPr>
            <w:r w:rsidRPr="002049D4">
              <w:t>Costa Lambeth</w:t>
            </w:r>
          </w:p>
        </w:tc>
        <w:tc>
          <w:tcPr>
            <w:tcW w:w="2145" w:type="dxa"/>
          </w:tcPr>
          <w:p w:rsidR="00666B91" w:rsidRPr="002049D4" w:rsidRDefault="00666B91" w:rsidP="002968B4">
            <w:pPr>
              <w:spacing w:after="0" w:line="240" w:lineRule="auto"/>
            </w:pPr>
            <w:r w:rsidRPr="002049D4">
              <w:t>19/6/2011</w:t>
            </w:r>
          </w:p>
        </w:tc>
      </w:tr>
      <w:tr w:rsidR="00666B91" w:rsidRPr="002049D4">
        <w:tc>
          <w:tcPr>
            <w:tcW w:w="2116" w:type="dxa"/>
          </w:tcPr>
          <w:p w:rsidR="00666B91" w:rsidRPr="002049D4" w:rsidRDefault="00666B91" w:rsidP="002968B4">
            <w:pPr>
              <w:spacing w:after="0" w:line="240" w:lineRule="auto"/>
            </w:pPr>
            <w:r w:rsidRPr="002049D4">
              <w:t>Mandy Flashman-Wells</w:t>
            </w:r>
          </w:p>
        </w:tc>
        <w:tc>
          <w:tcPr>
            <w:tcW w:w="2135" w:type="dxa"/>
          </w:tcPr>
          <w:p w:rsidR="00666B91" w:rsidRPr="002049D4" w:rsidRDefault="00666B91" w:rsidP="002968B4">
            <w:pPr>
              <w:spacing w:after="0" w:line="240" w:lineRule="auto"/>
            </w:pPr>
            <w:r w:rsidRPr="002049D4">
              <w:t>Chairman of Tunbridge Wells Fairtrade Town steering committee</w:t>
            </w:r>
          </w:p>
        </w:tc>
        <w:tc>
          <w:tcPr>
            <w:tcW w:w="2120" w:type="dxa"/>
          </w:tcPr>
          <w:p w:rsidR="00666B91" w:rsidRPr="002049D4" w:rsidRDefault="00666B91" w:rsidP="002968B4">
            <w:pPr>
              <w:spacing w:after="0" w:line="240" w:lineRule="auto"/>
            </w:pPr>
            <w:r w:rsidRPr="002049D4">
              <w:t>Telephone</w:t>
            </w:r>
          </w:p>
          <w:p w:rsidR="00666B91" w:rsidRPr="002049D4" w:rsidRDefault="00666B91" w:rsidP="002968B4">
            <w:pPr>
              <w:spacing w:after="0" w:line="240" w:lineRule="auto"/>
            </w:pPr>
            <w:r w:rsidRPr="002049D4">
              <w:t>Tunbridge Wells home</w:t>
            </w:r>
          </w:p>
        </w:tc>
        <w:tc>
          <w:tcPr>
            <w:tcW w:w="2145" w:type="dxa"/>
          </w:tcPr>
          <w:p w:rsidR="00666B91" w:rsidRPr="002049D4" w:rsidRDefault="00666B91" w:rsidP="002968B4">
            <w:pPr>
              <w:spacing w:after="0" w:line="240" w:lineRule="auto"/>
            </w:pPr>
            <w:r w:rsidRPr="002049D4">
              <w:t>17/6/2011</w:t>
            </w:r>
          </w:p>
          <w:p w:rsidR="00666B91" w:rsidRPr="002049D4" w:rsidRDefault="00666B91" w:rsidP="002968B4">
            <w:pPr>
              <w:spacing w:after="0" w:line="240" w:lineRule="auto"/>
            </w:pPr>
            <w:r w:rsidRPr="002049D4">
              <w:t>19/6/2011</w:t>
            </w:r>
          </w:p>
        </w:tc>
      </w:tr>
      <w:tr w:rsidR="00666B91" w:rsidRPr="002049D4">
        <w:tc>
          <w:tcPr>
            <w:tcW w:w="2116" w:type="dxa"/>
          </w:tcPr>
          <w:p w:rsidR="00666B91" w:rsidRPr="002049D4" w:rsidRDefault="00666B91" w:rsidP="002968B4">
            <w:pPr>
              <w:spacing w:after="0" w:line="240" w:lineRule="auto"/>
            </w:pPr>
            <w:r w:rsidRPr="002049D4">
              <w:t>Jane Clarke</w:t>
            </w:r>
          </w:p>
        </w:tc>
        <w:tc>
          <w:tcPr>
            <w:tcW w:w="2135" w:type="dxa"/>
          </w:tcPr>
          <w:p w:rsidR="00666B91" w:rsidRPr="002049D4" w:rsidRDefault="00666B91" w:rsidP="002968B4">
            <w:pPr>
              <w:spacing w:after="0" w:line="240" w:lineRule="auto"/>
            </w:pPr>
            <w:r w:rsidRPr="002049D4">
              <w:t>Activist for Tunbridge Wells Fairtrade Town steering committee</w:t>
            </w:r>
          </w:p>
        </w:tc>
        <w:tc>
          <w:tcPr>
            <w:tcW w:w="2120" w:type="dxa"/>
          </w:tcPr>
          <w:p w:rsidR="00666B91" w:rsidRPr="002049D4" w:rsidRDefault="00666B91" w:rsidP="002968B4">
            <w:pPr>
              <w:spacing w:after="0" w:line="240" w:lineRule="auto"/>
            </w:pPr>
            <w:r w:rsidRPr="002049D4">
              <w:t>Tunbridge Wells</w:t>
            </w:r>
          </w:p>
        </w:tc>
        <w:tc>
          <w:tcPr>
            <w:tcW w:w="2145" w:type="dxa"/>
          </w:tcPr>
          <w:p w:rsidR="00666B91" w:rsidRPr="002049D4" w:rsidRDefault="00666B91" w:rsidP="002968B4">
            <w:pPr>
              <w:spacing w:after="0" w:line="240" w:lineRule="auto"/>
            </w:pPr>
            <w:r w:rsidRPr="002049D4">
              <w:t>19/6/2011</w:t>
            </w:r>
          </w:p>
        </w:tc>
      </w:tr>
      <w:tr w:rsidR="00666B91" w:rsidRPr="002049D4">
        <w:tc>
          <w:tcPr>
            <w:tcW w:w="2116" w:type="dxa"/>
          </w:tcPr>
          <w:p w:rsidR="00666B91" w:rsidRPr="002049D4" w:rsidRDefault="00666B91" w:rsidP="002968B4">
            <w:pPr>
              <w:spacing w:after="0" w:line="240" w:lineRule="auto"/>
            </w:pPr>
            <w:r w:rsidRPr="002049D4">
              <w:t>Julian Rowe</w:t>
            </w:r>
          </w:p>
        </w:tc>
        <w:tc>
          <w:tcPr>
            <w:tcW w:w="2135" w:type="dxa"/>
          </w:tcPr>
          <w:p w:rsidR="00666B91" w:rsidRPr="002049D4" w:rsidRDefault="00666B91" w:rsidP="002968B4">
            <w:pPr>
              <w:spacing w:after="0" w:line="240" w:lineRule="auto"/>
            </w:pPr>
            <w:r w:rsidRPr="002049D4">
              <w:t>Member of Tunbridge Wells Fairtrade Town Steering Committee and artist</w:t>
            </w:r>
          </w:p>
        </w:tc>
        <w:tc>
          <w:tcPr>
            <w:tcW w:w="2120" w:type="dxa"/>
          </w:tcPr>
          <w:p w:rsidR="00666B91" w:rsidRPr="002049D4" w:rsidRDefault="00666B91" w:rsidP="002968B4">
            <w:pPr>
              <w:spacing w:after="0" w:line="240" w:lineRule="auto"/>
            </w:pPr>
            <w:r w:rsidRPr="002049D4">
              <w:t>Telephone</w:t>
            </w:r>
          </w:p>
        </w:tc>
        <w:tc>
          <w:tcPr>
            <w:tcW w:w="2145" w:type="dxa"/>
          </w:tcPr>
          <w:p w:rsidR="00666B91" w:rsidRPr="002049D4" w:rsidRDefault="00666B91" w:rsidP="002968B4">
            <w:pPr>
              <w:spacing w:after="0" w:line="240" w:lineRule="auto"/>
            </w:pPr>
            <w:r w:rsidRPr="002049D4">
              <w:t>6/7/2011</w:t>
            </w:r>
          </w:p>
        </w:tc>
      </w:tr>
      <w:tr w:rsidR="00666B91" w:rsidRPr="002049D4">
        <w:tc>
          <w:tcPr>
            <w:tcW w:w="2116" w:type="dxa"/>
          </w:tcPr>
          <w:p w:rsidR="00666B91" w:rsidRPr="002049D4" w:rsidRDefault="00666B91" w:rsidP="002968B4">
            <w:pPr>
              <w:spacing w:after="0" w:line="240" w:lineRule="auto"/>
            </w:pPr>
            <w:r w:rsidRPr="002049D4">
              <w:t>Ruth Dearnley</w:t>
            </w:r>
          </w:p>
        </w:tc>
        <w:tc>
          <w:tcPr>
            <w:tcW w:w="2135" w:type="dxa"/>
          </w:tcPr>
          <w:p w:rsidR="00666B91" w:rsidRPr="002049D4" w:rsidRDefault="00666B91" w:rsidP="002968B4">
            <w:pPr>
              <w:spacing w:after="0" w:line="240" w:lineRule="auto"/>
            </w:pPr>
            <w:r w:rsidRPr="002049D4">
              <w:t>STT C.E.O</w:t>
            </w:r>
          </w:p>
        </w:tc>
        <w:tc>
          <w:tcPr>
            <w:tcW w:w="2120" w:type="dxa"/>
          </w:tcPr>
          <w:p w:rsidR="00666B91" w:rsidRPr="002049D4" w:rsidRDefault="00666B91" w:rsidP="002968B4">
            <w:pPr>
              <w:spacing w:after="0" w:line="240" w:lineRule="auto"/>
            </w:pPr>
            <w:r w:rsidRPr="002049D4">
              <w:t>Internet  structured interview</w:t>
            </w:r>
          </w:p>
        </w:tc>
        <w:tc>
          <w:tcPr>
            <w:tcW w:w="2145" w:type="dxa"/>
          </w:tcPr>
          <w:p w:rsidR="00666B91" w:rsidRPr="002049D4" w:rsidRDefault="00666B91" w:rsidP="002968B4">
            <w:pPr>
              <w:spacing w:after="0" w:line="240" w:lineRule="auto"/>
            </w:pPr>
            <w:r w:rsidRPr="002049D4">
              <w:t>27/7/2011</w:t>
            </w:r>
          </w:p>
        </w:tc>
      </w:tr>
      <w:tr w:rsidR="00666B91" w:rsidRPr="002049D4">
        <w:tc>
          <w:tcPr>
            <w:tcW w:w="2116" w:type="dxa"/>
          </w:tcPr>
          <w:p w:rsidR="00666B91" w:rsidRPr="002049D4" w:rsidRDefault="00666B91" w:rsidP="002968B4">
            <w:pPr>
              <w:spacing w:after="0" w:line="240" w:lineRule="auto"/>
            </w:pPr>
            <w:r w:rsidRPr="002049D4">
              <w:t>Steve Chalke</w:t>
            </w:r>
          </w:p>
        </w:tc>
        <w:tc>
          <w:tcPr>
            <w:tcW w:w="2135" w:type="dxa"/>
          </w:tcPr>
          <w:p w:rsidR="00666B91" w:rsidRPr="002049D4" w:rsidRDefault="00666B91" w:rsidP="002968B4">
            <w:pPr>
              <w:spacing w:after="0" w:line="240" w:lineRule="auto"/>
            </w:pPr>
            <w:r w:rsidRPr="002049D4">
              <w:t>STT Founder</w:t>
            </w:r>
          </w:p>
        </w:tc>
        <w:tc>
          <w:tcPr>
            <w:tcW w:w="2120" w:type="dxa"/>
          </w:tcPr>
          <w:p w:rsidR="00666B91" w:rsidRPr="002049D4" w:rsidRDefault="00666B91" w:rsidP="002968B4">
            <w:pPr>
              <w:spacing w:after="0" w:line="240" w:lineRule="auto"/>
            </w:pPr>
            <w:r w:rsidRPr="002049D4">
              <w:t>Internet structured interview</w:t>
            </w:r>
          </w:p>
        </w:tc>
        <w:tc>
          <w:tcPr>
            <w:tcW w:w="2145" w:type="dxa"/>
          </w:tcPr>
          <w:p w:rsidR="00666B91" w:rsidRPr="002049D4" w:rsidRDefault="00666B91" w:rsidP="002968B4">
            <w:pPr>
              <w:spacing w:after="0" w:line="240" w:lineRule="auto"/>
            </w:pPr>
            <w:r w:rsidRPr="002049D4">
              <w:t>29/7/2011</w:t>
            </w:r>
          </w:p>
        </w:tc>
      </w:tr>
      <w:tr w:rsidR="00666B91" w:rsidRPr="002049D4">
        <w:tc>
          <w:tcPr>
            <w:tcW w:w="2116" w:type="dxa"/>
          </w:tcPr>
          <w:p w:rsidR="00666B91" w:rsidRPr="002049D4" w:rsidRDefault="00666B91" w:rsidP="002968B4">
            <w:pPr>
              <w:spacing w:after="0" w:line="240" w:lineRule="auto"/>
            </w:pPr>
            <w:r w:rsidRPr="002049D4">
              <w:t>Antonie Fountain</w:t>
            </w:r>
          </w:p>
        </w:tc>
        <w:tc>
          <w:tcPr>
            <w:tcW w:w="2135" w:type="dxa"/>
          </w:tcPr>
          <w:p w:rsidR="00666B91" w:rsidRPr="002049D4" w:rsidRDefault="00666B91" w:rsidP="002968B4">
            <w:pPr>
              <w:spacing w:after="0" w:line="240" w:lineRule="auto"/>
            </w:pPr>
            <w:r w:rsidRPr="002049D4">
              <w:t>STT Amsterdam and leader of STT's global chocolate campaigns</w:t>
            </w:r>
          </w:p>
        </w:tc>
        <w:tc>
          <w:tcPr>
            <w:tcW w:w="2120" w:type="dxa"/>
          </w:tcPr>
          <w:p w:rsidR="00666B91" w:rsidRPr="002049D4" w:rsidRDefault="00666B91" w:rsidP="002968B4">
            <w:pPr>
              <w:spacing w:after="0" w:line="240" w:lineRule="auto"/>
            </w:pPr>
            <w:r w:rsidRPr="002049D4">
              <w:t>Skype interviews</w:t>
            </w:r>
          </w:p>
        </w:tc>
        <w:tc>
          <w:tcPr>
            <w:tcW w:w="2145" w:type="dxa"/>
          </w:tcPr>
          <w:p w:rsidR="00666B91" w:rsidRPr="002049D4" w:rsidRDefault="00666B91" w:rsidP="002968B4">
            <w:pPr>
              <w:spacing w:after="0" w:line="240" w:lineRule="auto"/>
            </w:pPr>
            <w:r w:rsidRPr="002049D4">
              <w:t>28/7/2011</w:t>
            </w:r>
          </w:p>
          <w:p w:rsidR="00666B91" w:rsidRPr="002049D4" w:rsidRDefault="00666B91" w:rsidP="002968B4">
            <w:pPr>
              <w:spacing w:after="0" w:line="240" w:lineRule="auto"/>
            </w:pPr>
            <w:r w:rsidRPr="002049D4">
              <w:t>30/7/2011</w:t>
            </w:r>
          </w:p>
          <w:p w:rsidR="00666B91" w:rsidRPr="002049D4" w:rsidRDefault="00666B91" w:rsidP="002968B4">
            <w:pPr>
              <w:spacing w:after="0" w:line="240" w:lineRule="auto"/>
            </w:pPr>
            <w:r w:rsidRPr="002049D4">
              <w:t>3/8/2011</w:t>
            </w:r>
          </w:p>
          <w:p w:rsidR="00666B91" w:rsidRPr="002049D4" w:rsidRDefault="00666B91" w:rsidP="002968B4">
            <w:pPr>
              <w:spacing w:after="0" w:line="240" w:lineRule="auto"/>
            </w:pPr>
            <w:r w:rsidRPr="002049D4">
              <w:t>4/8/2011</w:t>
            </w:r>
          </w:p>
        </w:tc>
      </w:tr>
    </w:tbl>
    <w:p w:rsidR="00BB49E2" w:rsidRPr="00954F44" w:rsidRDefault="00BB49E2" w:rsidP="00BB49E2">
      <w:pPr>
        <w:spacing w:after="0" w:line="360" w:lineRule="auto"/>
        <w:jc w:val="both"/>
        <w:rPr>
          <w:rFonts w:ascii="Perpetua" w:eastAsia="Times New Roman" w:hAnsi="Perpetua" w:cs="Times New Roman"/>
          <w:sz w:val="18"/>
          <w:szCs w:val="24"/>
          <w:shd w:val="clear" w:color="auto" w:fill="FFFFFF"/>
          <w:lang w:eastAsia="en-GB"/>
        </w:rPr>
      </w:pPr>
    </w:p>
    <w:p w:rsidR="00BB49E2" w:rsidRPr="00E8319A" w:rsidRDefault="00BB49E2" w:rsidP="00BB49E2">
      <w:pPr>
        <w:pStyle w:val="Caption"/>
        <w:jc w:val="center"/>
        <w:rPr>
          <w:rFonts w:ascii="Perpetua" w:hAnsi="Perpetua" w:cs="Times New Roman"/>
          <w:color w:val="auto"/>
          <w:sz w:val="20"/>
          <w:szCs w:val="24"/>
        </w:rPr>
      </w:pPr>
      <w:bookmarkStart w:id="173" w:name="_Toc244168197"/>
      <w:bookmarkStart w:id="174" w:name="_Toc244578426"/>
      <w:r w:rsidRPr="00E8319A">
        <w:rPr>
          <w:rFonts w:ascii="Perpetua" w:hAnsi="Perpetua"/>
          <w:color w:val="auto"/>
          <w:sz w:val="20"/>
        </w:rPr>
        <w:t xml:space="preserve">Table </w:t>
      </w:r>
      <w:r w:rsidR="00DF2DF8" w:rsidRPr="00E8319A">
        <w:rPr>
          <w:rFonts w:ascii="Perpetua" w:hAnsi="Perpetua"/>
          <w:color w:val="auto"/>
          <w:sz w:val="20"/>
        </w:rPr>
        <w:fldChar w:fldCharType="begin"/>
      </w:r>
      <w:r w:rsidRPr="00E8319A">
        <w:rPr>
          <w:rFonts w:ascii="Perpetua" w:hAnsi="Perpetua"/>
          <w:color w:val="auto"/>
          <w:sz w:val="20"/>
        </w:rPr>
        <w:instrText xml:space="preserve"> SEQ Table \* ARABIC </w:instrText>
      </w:r>
      <w:r w:rsidR="00DF2DF8" w:rsidRPr="00E8319A">
        <w:rPr>
          <w:rFonts w:ascii="Perpetua" w:hAnsi="Perpetua"/>
          <w:color w:val="auto"/>
          <w:sz w:val="20"/>
        </w:rPr>
        <w:fldChar w:fldCharType="separate"/>
      </w:r>
      <w:r w:rsidR="002B3E92">
        <w:rPr>
          <w:rFonts w:ascii="Perpetua" w:hAnsi="Perpetua"/>
          <w:noProof/>
          <w:color w:val="auto"/>
          <w:sz w:val="20"/>
        </w:rPr>
        <w:t>5</w:t>
      </w:r>
      <w:r w:rsidR="00DF2DF8" w:rsidRPr="00E8319A">
        <w:rPr>
          <w:rFonts w:ascii="Perpetua" w:hAnsi="Perpetua"/>
          <w:color w:val="auto"/>
          <w:sz w:val="20"/>
        </w:rPr>
        <w:fldChar w:fldCharType="end"/>
      </w:r>
      <w:r w:rsidRPr="00E8319A">
        <w:rPr>
          <w:rFonts w:ascii="Perpetua" w:hAnsi="Perpetua" w:cs="Times New Roman"/>
          <w:color w:val="auto"/>
          <w:sz w:val="20"/>
          <w:szCs w:val="24"/>
        </w:rPr>
        <w:t xml:space="preserve">: </w:t>
      </w:r>
      <w:r w:rsidRPr="00E8319A">
        <w:rPr>
          <w:rFonts w:ascii="Perpetua" w:hAnsi="Perpetua" w:cs="Times New Roman"/>
          <w:b w:val="0"/>
          <w:color w:val="auto"/>
          <w:sz w:val="20"/>
          <w:szCs w:val="24"/>
        </w:rPr>
        <w:t>Chronology of interview process with STT. September 2010 – August 2011.</w:t>
      </w:r>
      <w:bookmarkEnd w:id="173"/>
      <w:r w:rsidR="002C0568">
        <w:rPr>
          <w:rStyle w:val="FootnoteReference"/>
          <w:rFonts w:ascii="Perpetua" w:hAnsi="Perpetua" w:cs="Times New Roman"/>
          <w:b w:val="0"/>
          <w:color w:val="auto"/>
          <w:sz w:val="20"/>
          <w:szCs w:val="24"/>
        </w:rPr>
        <w:footnoteReference w:id="34"/>
      </w:r>
      <w:bookmarkEnd w:id="174"/>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666B91" w:rsidRDefault="00666B91" w:rsidP="00666B91">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 xml:space="preserve">Researching STT has meant bringing together perspectives on fair trade, anti-trafficking and the cocoa industry with understanding how advocacy is deployed across STT’s various campaigns. STT offer frameworks for activisms across a range of places. I developed a series of relationships with activists that were only loosely connected to each other, and the demands of the organization have meant that I have not been able to reach the same levels of depth and cross-reference that was possible in researching the BOA. Insider/outsider roles are always in flux during ethnographic research  (Herbert, 2000; Valentine, 2002) but, compared to my relationship with the BOA, I have invested less of myself in contributing to the political aims of the organization. At different times this has been constricting and enabling. Instead of developing complex and deep </w:t>
      </w:r>
      <w:r>
        <w:rPr>
          <w:rFonts w:ascii="Garamond" w:eastAsia="Times New Roman" w:hAnsi="Garamond" w:cs="Times New Roman"/>
          <w:color w:val="000000"/>
          <w:sz w:val="24"/>
          <w:szCs w:val="24"/>
          <w:shd w:val="clear" w:color="auto" w:fill="FFFFFF"/>
          <w:lang w:eastAsia="en-GB"/>
        </w:rPr>
        <w:lastRenderedPageBreak/>
        <w:t xml:space="preserve">relationships with key activists over shared concerns with whiteness and racism, research with STT activists has required more partial forms of identification through discussing antislavery histories and boycotts (Gibson-Graham, 1994). As the organization is also a workplace, I have had to work with limited access to unofficial narratives and opinions and with sensitivity to representing STT activists in a way that does not compromise their lives. </w:t>
      </w:r>
    </w:p>
    <w:p w:rsidR="00814F86" w:rsidRDefault="00814F86"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7F618F" w:rsidRPr="00F744AB" w:rsidRDefault="007F618F" w:rsidP="00F744AB">
      <w:pPr>
        <w:pStyle w:val="Heading2"/>
        <w:rPr>
          <w:szCs w:val="24"/>
        </w:rPr>
      </w:pPr>
      <w:bookmarkStart w:id="175" w:name="_Toc263452002"/>
      <w:bookmarkStart w:id="176" w:name="_Toc263510920"/>
      <w:r w:rsidRPr="00F744AB">
        <w:rPr>
          <w:szCs w:val="24"/>
        </w:rPr>
        <w:t>Notes on data, method and theoretical diversity</w:t>
      </w:r>
      <w:bookmarkEnd w:id="175"/>
      <w:bookmarkEnd w:id="176"/>
    </w:p>
    <w:p w:rsidR="007F618F" w:rsidRPr="00B41AF5" w:rsidRDefault="007F618F" w:rsidP="007F618F">
      <w:pPr>
        <w:autoSpaceDE w:val="0"/>
        <w:autoSpaceDN w:val="0"/>
        <w:adjustRightInd w:val="0"/>
        <w:spacing w:after="0" w:line="360" w:lineRule="auto"/>
        <w:jc w:val="both"/>
        <w:rPr>
          <w:rFonts w:ascii="Garamond" w:hAnsi="Garamond" w:cs="Times New Roman"/>
          <w:sz w:val="24"/>
          <w:szCs w:val="24"/>
        </w:rPr>
      </w:pPr>
    </w:p>
    <w:p w:rsidR="007F618F" w:rsidRDefault="007F618F" w:rsidP="007F618F">
      <w:pPr>
        <w:autoSpaceDE w:val="0"/>
        <w:autoSpaceDN w:val="0"/>
        <w:adjustRightInd w:val="0"/>
        <w:spacing w:after="0" w:line="360" w:lineRule="auto"/>
        <w:ind w:left="284" w:right="237"/>
        <w:jc w:val="both"/>
        <w:rPr>
          <w:rFonts w:ascii="Garamond" w:hAnsi="Garamond" w:cs="Times New Roman"/>
        </w:rPr>
      </w:pPr>
      <w:r w:rsidRPr="00740D06">
        <w:rPr>
          <w:rFonts w:ascii="Garamond" w:hAnsi="Garamond" w:cs="Times New Roman"/>
        </w:rPr>
        <w:t>While we have struggled to populate our work with real subjects rather than research objects, there have been fewer attempts to talk about materialities in practice if not in topic. There have been even fewer animalities. While we have talked around emotion, there has been less work through emotions – at least not that is acknowledged. The body has recently become an important topic of work, but not yet something through which research is often done. I do not think this entails a rejection of work that has been, is being and will be done; nor a turn from engaged and practical work. But I think it does raise issues about the investment in specific notions of what ‘research’ is, what evidence is and how the two relate to each other</w:t>
      </w:r>
      <w:r>
        <w:rPr>
          <w:rFonts w:ascii="Garamond" w:hAnsi="Garamond" w:cs="Times New Roman"/>
        </w:rPr>
        <w:t>. (Crang, 2005: 232)</w:t>
      </w:r>
    </w:p>
    <w:p w:rsidR="007F618F" w:rsidRDefault="007F618F" w:rsidP="007F618F">
      <w:pPr>
        <w:autoSpaceDE w:val="0"/>
        <w:autoSpaceDN w:val="0"/>
        <w:adjustRightInd w:val="0"/>
        <w:spacing w:after="0" w:line="360" w:lineRule="auto"/>
        <w:ind w:left="284" w:right="237"/>
        <w:jc w:val="both"/>
        <w:rPr>
          <w:rFonts w:ascii="Garamond" w:hAnsi="Garamond" w:cs="Times New Roman"/>
        </w:rPr>
      </w:pPr>
    </w:p>
    <w:p w:rsidR="007F618F" w:rsidRDefault="007F618F" w:rsidP="007F618F">
      <w:pPr>
        <w:autoSpaceDE w:val="0"/>
        <w:autoSpaceDN w:val="0"/>
        <w:adjustRightInd w:val="0"/>
        <w:spacing w:after="0" w:line="360" w:lineRule="auto"/>
        <w:jc w:val="both"/>
        <w:rPr>
          <w:rFonts w:ascii="Garamond" w:hAnsi="Garamond" w:cs="AdvP6EC0"/>
          <w:sz w:val="24"/>
          <w:szCs w:val="24"/>
        </w:rPr>
      </w:pPr>
      <w:r>
        <w:rPr>
          <w:rFonts w:ascii="Garamond" w:hAnsi="Garamond" w:cs="AdvP6EC0"/>
          <w:sz w:val="24"/>
          <w:szCs w:val="24"/>
        </w:rPr>
        <w:t>In the context of this project, the passage above by Mike Crang raises two questions. What does it mean to populate research with ‘real’ subjects? What does the concept of activist bodywork have to say about populating research with 'real' subjects, and conducting research through bodies and emotions? To answer the first question (the second question is considered in Chapter Two) in line with my final thesis aim (</w:t>
      </w:r>
      <w:r>
        <w:rPr>
          <w:rFonts w:ascii="Garamond" w:hAnsi="Garamond"/>
          <w:sz w:val="24"/>
          <w:szCs w:val="24"/>
        </w:rPr>
        <w:t>t</w:t>
      </w:r>
      <w:r w:rsidRPr="008C43D0">
        <w:rPr>
          <w:rFonts w:ascii="Garamond" w:hAnsi="Garamond"/>
          <w:sz w:val="24"/>
          <w:szCs w:val="24"/>
        </w:rPr>
        <w:t>o research and write about the BOA and STT through the application of contextualizing methodologies and a commitment to critical geography</w:t>
      </w:r>
      <w:r>
        <w:rPr>
          <w:rFonts w:ascii="Garamond" w:hAnsi="Garamond" w:cs="AdvP6EC0"/>
          <w:sz w:val="24"/>
          <w:szCs w:val="24"/>
        </w:rPr>
        <w:t>), I seek to contextualize activist practices and representations in the</w:t>
      </w:r>
      <w:r w:rsidRPr="00DB105E">
        <w:rPr>
          <w:rFonts w:ascii="Garamond" w:hAnsi="Garamond" w:cs="AdvP6EC0"/>
          <w:sz w:val="24"/>
          <w:szCs w:val="24"/>
        </w:rPr>
        <w:t xml:space="preserve"> 'knowledge events' (Stengers, 1997) from which they emerge.</w:t>
      </w:r>
      <w:r>
        <w:rPr>
          <w:rFonts w:ascii="Garamond" w:hAnsi="Garamond" w:cs="AdvP6EC0"/>
          <w:sz w:val="24"/>
          <w:szCs w:val="24"/>
        </w:rPr>
        <w:t xml:space="preserve"> This has meant thinking how data is constructed through dialogue</w:t>
      </w:r>
      <w:r w:rsidRPr="00DB105E">
        <w:rPr>
          <w:rFonts w:ascii="Garamond" w:hAnsi="Garamond" w:cs="AdvP6EC0"/>
          <w:sz w:val="24"/>
          <w:szCs w:val="24"/>
        </w:rPr>
        <w:t xml:space="preserve"> with consequences and effects beyond the confines of paper.</w:t>
      </w:r>
      <w:r>
        <w:rPr>
          <w:rFonts w:ascii="Garamond" w:hAnsi="Garamond" w:cs="AdvP6EC0"/>
          <w:sz w:val="24"/>
          <w:szCs w:val="24"/>
        </w:rPr>
        <w:t xml:space="preserve"> It has meant engaging contradictions, finding common ground in uncomfortable territory (Chatterton, 2006), </w:t>
      </w:r>
      <w:r w:rsidRPr="00DB105E">
        <w:rPr>
          <w:rFonts w:ascii="Garamond" w:hAnsi="Garamond" w:cs="AdvP6EC0"/>
          <w:sz w:val="24"/>
          <w:szCs w:val="24"/>
        </w:rPr>
        <w:t xml:space="preserve">ceding </w:t>
      </w:r>
      <w:r>
        <w:rPr>
          <w:rFonts w:ascii="Garamond" w:hAnsi="Garamond" w:cs="AdvP6EC0"/>
          <w:sz w:val="24"/>
          <w:szCs w:val="24"/>
        </w:rPr>
        <w:t>levels of authorial control while</w:t>
      </w:r>
      <w:r w:rsidRPr="00DB105E">
        <w:rPr>
          <w:rFonts w:ascii="Garamond" w:hAnsi="Garamond" w:cs="AdvP6EC0"/>
          <w:sz w:val="24"/>
          <w:szCs w:val="24"/>
        </w:rPr>
        <w:t xml:space="preserve"> </w:t>
      </w:r>
      <w:r>
        <w:rPr>
          <w:rFonts w:ascii="Garamond" w:hAnsi="Garamond" w:cs="AdvP6EC0"/>
          <w:sz w:val="24"/>
          <w:szCs w:val="24"/>
        </w:rPr>
        <w:t xml:space="preserve">also </w:t>
      </w:r>
      <w:r w:rsidRPr="00DB105E">
        <w:rPr>
          <w:rFonts w:ascii="Garamond" w:hAnsi="Garamond" w:cs="AdvP6EC0"/>
          <w:sz w:val="24"/>
          <w:szCs w:val="24"/>
        </w:rPr>
        <w:t>disciplining data with</w:t>
      </w:r>
      <w:r>
        <w:rPr>
          <w:rFonts w:ascii="Garamond" w:hAnsi="Garamond" w:cs="AdvP6EC0"/>
          <w:sz w:val="24"/>
          <w:szCs w:val="24"/>
        </w:rPr>
        <w:t xml:space="preserve"> analytical</w:t>
      </w:r>
      <w:r w:rsidRPr="00DB105E">
        <w:rPr>
          <w:rFonts w:ascii="Garamond" w:hAnsi="Garamond" w:cs="AdvP6EC0"/>
          <w:sz w:val="24"/>
          <w:szCs w:val="24"/>
        </w:rPr>
        <w:t xml:space="preserve"> frames</w:t>
      </w:r>
      <w:r>
        <w:rPr>
          <w:rFonts w:ascii="Garamond" w:hAnsi="Garamond" w:cs="AdvP6EC0"/>
          <w:sz w:val="24"/>
          <w:szCs w:val="24"/>
        </w:rPr>
        <w:t xml:space="preserve"> removed from 'original' encounters</w:t>
      </w:r>
      <w:r w:rsidRPr="00DB105E">
        <w:rPr>
          <w:rFonts w:ascii="Garamond" w:hAnsi="Garamond" w:cs="AdvP6EC0"/>
          <w:sz w:val="24"/>
          <w:szCs w:val="24"/>
        </w:rPr>
        <w:t>.</w:t>
      </w:r>
      <w:r>
        <w:rPr>
          <w:rFonts w:ascii="Garamond" w:hAnsi="Garamond" w:cs="AdvP6EC0"/>
          <w:sz w:val="24"/>
          <w:szCs w:val="24"/>
        </w:rPr>
        <w:t xml:space="preserve"> </w:t>
      </w:r>
      <w:r w:rsidRPr="003B7496">
        <w:rPr>
          <w:rFonts w:ascii="Garamond" w:hAnsi="Garamond"/>
          <w:sz w:val="24"/>
          <w:szCs w:val="24"/>
        </w:rPr>
        <w:t xml:space="preserve">Moving back and forth between </w:t>
      </w:r>
      <w:r>
        <w:rPr>
          <w:rFonts w:ascii="Garamond" w:hAnsi="Garamond"/>
          <w:sz w:val="24"/>
          <w:szCs w:val="24"/>
        </w:rPr>
        <w:t>testimony and counter-arguments involves an i</w:t>
      </w:r>
      <w:r w:rsidRPr="003B7496">
        <w:rPr>
          <w:rFonts w:ascii="Garamond" w:hAnsi="Garamond"/>
          <w:sz w:val="24"/>
          <w:szCs w:val="24"/>
        </w:rPr>
        <w:t xml:space="preserve">nductive approach of being led by the </w:t>
      </w:r>
      <w:r>
        <w:rPr>
          <w:rFonts w:ascii="Garamond" w:hAnsi="Garamond"/>
          <w:sz w:val="24"/>
          <w:szCs w:val="24"/>
        </w:rPr>
        <w:t xml:space="preserve">rich visual and narrative data, and encourages a process of almost 'wearing' testimony to see how </w:t>
      </w:r>
      <w:r w:rsidRPr="003B7496">
        <w:rPr>
          <w:rFonts w:ascii="Garamond" w:hAnsi="Garamond"/>
          <w:sz w:val="24"/>
          <w:szCs w:val="24"/>
        </w:rPr>
        <w:t>it sits with broader histories and critiques</w:t>
      </w:r>
      <w:r>
        <w:rPr>
          <w:rFonts w:ascii="Garamond" w:hAnsi="Garamond"/>
          <w:sz w:val="24"/>
          <w:szCs w:val="24"/>
        </w:rPr>
        <w:t>.</w:t>
      </w:r>
    </w:p>
    <w:p w:rsidR="007F618F" w:rsidRDefault="007F618F" w:rsidP="007F618F">
      <w:pPr>
        <w:autoSpaceDE w:val="0"/>
        <w:autoSpaceDN w:val="0"/>
        <w:adjustRightInd w:val="0"/>
        <w:spacing w:after="0" w:line="360" w:lineRule="auto"/>
        <w:jc w:val="both"/>
        <w:rPr>
          <w:rFonts w:ascii="Garamond" w:hAnsi="Garamond" w:cs="AdvP6EC0"/>
          <w:sz w:val="24"/>
          <w:szCs w:val="24"/>
        </w:rPr>
      </w:pPr>
    </w:p>
    <w:p w:rsidR="007F618F" w:rsidRDefault="007F618F" w:rsidP="007F618F">
      <w:pPr>
        <w:autoSpaceDE w:val="0"/>
        <w:autoSpaceDN w:val="0"/>
        <w:adjustRightInd w:val="0"/>
        <w:spacing w:after="0" w:line="360" w:lineRule="auto"/>
        <w:jc w:val="both"/>
        <w:rPr>
          <w:rFonts w:ascii="Garamond" w:hAnsi="Garamond" w:cs="AdvP6EC0"/>
          <w:sz w:val="24"/>
          <w:szCs w:val="24"/>
        </w:rPr>
      </w:pPr>
      <w:r>
        <w:rPr>
          <w:rFonts w:ascii="Garamond" w:hAnsi="Garamond" w:cs="AdvP6EC0"/>
          <w:sz w:val="24"/>
          <w:szCs w:val="24"/>
        </w:rPr>
        <w:lastRenderedPageBreak/>
        <w:t xml:space="preserve"> In other words, creating data is a reiterative process of dialogue and interruption.</w:t>
      </w:r>
      <w:r w:rsidRPr="00DB105E">
        <w:rPr>
          <w:rFonts w:ascii="Garamond" w:hAnsi="Garamond" w:cs="AdvP6EC0"/>
          <w:sz w:val="24"/>
          <w:szCs w:val="24"/>
        </w:rPr>
        <w:t xml:space="preserve"> Throughout its pages and across the many material and geographically dispersed parts of the project, I h</w:t>
      </w:r>
      <w:r>
        <w:rPr>
          <w:rFonts w:ascii="Garamond" w:hAnsi="Garamond" w:cs="AdvP6EC0"/>
          <w:sz w:val="24"/>
          <w:szCs w:val="24"/>
        </w:rPr>
        <w:t>ave struggled</w:t>
      </w:r>
      <w:r w:rsidRPr="00DB105E">
        <w:rPr>
          <w:rFonts w:ascii="Garamond" w:hAnsi="Garamond" w:cs="AdvP6EC0"/>
          <w:sz w:val="24"/>
          <w:szCs w:val="24"/>
        </w:rPr>
        <w:t xml:space="preserve"> to populate this work with real subjects </w:t>
      </w:r>
      <w:r>
        <w:rPr>
          <w:rFonts w:ascii="Garamond" w:hAnsi="Garamond" w:cs="AdvP6EC0"/>
          <w:sz w:val="24"/>
          <w:szCs w:val="24"/>
        </w:rPr>
        <w:t>rather than research objects. In theory "critically engaged activist research" (Speed, 2008: 215) permits research subjects to shape research outcomes. In</w:t>
      </w:r>
      <w:r w:rsidRPr="00DB105E">
        <w:rPr>
          <w:rFonts w:ascii="Garamond" w:hAnsi="Garamond" w:cs="AdvP6EC0"/>
          <w:sz w:val="24"/>
          <w:szCs w:val="24"/>
        </w:rPr>
        <w:t xml:space="preserve"> practice this has entailed co-generating data with activists (from partial identifications with STT interns through to an intense three year dialogic ethnography </w:t>
      </w:r>
      <w:r>
        <w:rPr>
          <w:rFonts w:ascii="Garamond" w:hAnsi="Garamond" w:cs="AdvP6EC0"/>
          <w:sz w:val="24"/>
          <w:szCs w:val="24"/>
        </w:rPr>
        <w:t>with the BOA's Esau du Plessis) and</w:t>
      </w:r>
      <w:r w:rsidRPr="00DB105E">
        <w:rPr>
          <w:rFonts w:ascii="Garamond" w:hAnsi="Garamond" w:cs="AdvP6EC0"/>
          <w:sz w:val="24"/>
          <w:szCs w:val="24"/>
        </w:rPr>
        <w:t xml:space="preserve"> at every stage it has meant recontextualising the data and questioning how it speaks to forms of power.</w:t>
      </w:r>
      <w:r>
        <w:rPr>
          <w:rFonts w:ascii="Garamond" w:hAnsi="Garamond" w:cs="AdvP6EC0"/>
          <w:sz w:val="24"/>
          <w:szCs w:val="24"/>
        </w:rPr>
        <w:t xml:space="preserve"> However, I don't wish to overplay the role of co-generated knowledge with activists; writing critically about activist bodywork also demands using types of data not co-generated with activists, and whenever 'real' activist subjects are represented, recontextualized and put to paper they are necessarily objectified in some way. </w:t>
      </w:r>
      <w:r w:rsidRPr="00DB105E">
        <w:rPr>
          <w:rFonts w:ascii="Garamond" w:hAnsi="Garamond" w:cs="AdvP6EC0"/>
          <w:sz w:val="24"/>
          <w:szCs w:val="24"/>
        </w:rPr>
        <w:t>As Latour and more latter</w:t>
      </w:r>
      <w:r>
        <w:rPr>
          <w:rFonts w:ascii="Garamond" w:hAnsi="Garamond" w:cs="AdvP6EC0"/>
          <w:sz w:val="24"/>
          <w:szCs w:val="24"/>
        </w:rPr>
        <w:t>ly Massey (2003) and Crang (2004</w:t>
      </w:r>
      <w:r w:rsidRPr="00DB105E">
        <w:rPr>
          <w:rFonts w:ascii="Garamond" w:hAnsi="Garamond" w:cs="AdvP6EC0"/>
          <w:sz w:val="24"/>
          <w:szCs w:val="24"/>
        </w:rPr>
        <w:t>) argue, at each remove or interruption data undergoes transformation (e.g. from live dialogue to sound recording to transcription to coding to paper to dialogue and back and forth)</w:t>
      </w:r>
      <w:r>
        <w:rPr>
          <w:rFonts w:ascii="Garamond" w:hAnsi="Garamond" w:cs="AdvP6EC0"/>
          <w:sz w:val="24"/>
          <w:szCs w:val="24"/>
        </w:rPr>
        <w:t xml:space="preserve">. As discussed earlier, the sorts of data used and produced has been partly influenced by the different intensities of my self-identification with the activist politics of the BOA and STT. </w:t>
      </w:r>
      <w:r w:rsidRPr="00DB105E">
        <w:rPr>
          <w:rFonts w:ascii="Garamond" w:hAnsi="Garamond" w:cs="AdvP6EC0"/>
          <w:sz w:val="24"/>
          <w:szCs w:val="24"/>
        </w:rPr>
        <w:t xml:space="preserve">In communicating and forming </w:t>
      </w:r>
      <w:r>
        <w:rPr>
          <w:rFonts w:ascii="Garamond" w:hAnsi="Garamond" w:cs="AdvP6EC0"/>
          <w:sz w:val="24"/>
          <w:szCs w:val="24"/>
        </w:rPr>
        <w:t>relationships with people, NGOs</w:t>
      </w:r>
      <w:r w:rsidRPr="00DB105E">
        <w:rPr>
          <w:rFonts w:ascii="Garamond" w:hAnsi="Garamond" w:cs="AdvP6EC0"/>
          <w:sz w:val="24"/>
          <w:szCs w:val="24"/>
        </w:rPr>
        <w:t>, archives,</w:t>
      </w:r>
      <w:r>
        <w:rPr>
          <w:rFonts w:ascii="Garamond" w:hAnsi="Garamond" w:cs="AdvP6EC0"/>
          <w:sz w:val="24"/>
          <w:szCs w:val="24"/>
        </w:rPr>
        <w:t xml:space="preserve"> commodities,</w:t>
      </w:r>
      <w:r w:rsidRPr="00DB105E">
        <w:rPr>
          <w:rFonts w:ascii="Garamond" w:hAnsi="Garamond" w:cs="AdvP6EC0"/>
          <w:sz w:val="24"/>
          <w:szCs w:val="24"/>
        </w:rPr>
        <w:t xml:space="preserve"> activist texts, images, videos, sound recordings and academic scholarship, at various stages of the research process I deploy what Massey (2003) and Whatmore (2003) describe as 'craft':  a form of judgement on appropriate research methods and politics.</w:t>
      </w:r>
    </w:p>
    <w:p w:rsidR="007F618F" w:rsidRDefault="007F618F" w:rsidP="007F618F">
      <w:pPr>
        <w:autoSpaceDE w:val="0"/>
        <w:autoSpaceDN w:val="0"/>
        <w:adjustRightInd w:val="0"/>
        <w:spacing w:after="0" w:line="360" w:lineRule="auto"/>
        <w:jc w:val="both"/>
        <w:rPr>
          <w:rFonts w:ascii="Garamond" w:hAnsi="Garamond" w:cs="AdvP6EC0"/>
          <w:sz w:val="24"/>
          <w:szCs w:val="24"/>
        </w:rPr>
      </w:pPr>
    </w:p>
    <w:p w:rsidR="007F618F" w:rsidRDefault="007F618F" w:rsidP="007F618F">
      <w:pPr>
        <w:autoSpaceDE w:val="0"/>
        <w:autoSpaceDN w:val="0"/>
        <w:adjustRightInd w:val="0"/>
        <w:spacing w:after="0" w:line="360" w:lineRule="auto"/>
        <w:jc w:val="both"/>
        <w:rPr>
          <w:rFonts w:ascii="Garamond" w:hAnsi="Garamond"/>
          <w:sz w:val="24"/>
          <w:szCs w:val="24"/>
        </w:rPr>
      </w:pPr>
      <w:r>
        <w:rPr>
          <w:rFonts w:ascii="Garamond" w:hAnsi="Garamond" w:cs="Times New Roman"/>
          <w:sz w:val="24"/>
          <w:szCs w:val="24"/>
        </w:rPr>
        <w:t>With the exception of Chapter Five, each chapter examines aspects of material culture, and follows things and their cultures in motion (citrus, chocolate, vectors of transnational apartheid capitalism, transnational migrants, transnational labour unionism, urban anti-apartheid campaigns, the globalized anti-trafficking campaign materials). Following these things in motion as they are taken up by activists requires materialist approaches (material culture, vibrant materialisms, historico-geographical materialism, materialist critique of post-colonialism) and different theories on interpreting, feeling, thinking and using bodies (social constructivist, phenomenological, psychoanalytical and material approaches). It has encouraged inductively led accounts of the BOA and STT's campaigns and learning their</w:t>
      </w:r>
      <w:r w:rsidRPr="00DB105E">
        <w:rPr>
          <w:rFonts w:ascii="Garamond" w:hAnsi="Garamond" w:cs="Times New Roman"/>
          <w:sz w:val="24"/>
          <w:szCs w:val="24"/>
        </w:rPr>
        <w:t xml:space="preserve"> array of epistemological specialisms and proficiencies. It has meant trying on different perspectival constructs, and coming to grips w</w:t>
      </w:r>
      <w:r>
        <w:rPr>
          <w:rFonts w:ascii="Garamond" w:hAnsi="Garamond" w:cs="Times New Roman"/>
          <w:sz w:val="24"/>
          <w:szCs w:val="24"/>
        </w:rPr>
        <w:t>ith activist</w:t>
      </w:r>
      <w:r w:rsidRPr="00DB105E">
        <w:rPr>
          <w:rFonts w:ascii="Garamond" w:hAnsi="Garamond" w:cs="Times New Roman"/>
          <w:sz w:val="24"/>
          <w:szCs w:val="24"/>
        </w:rPr>
        <w:t xml:space="preserve"> expertise in producing and handling emotions</w:t>
      </w:r>
      <w:r>
        <w:rPr>
          <w:rFonts w:ascii="Garamond" w:hAnsi="Garamond" w:cs="Times New Roman"/>
          <w:sz w:val="24"/>
          <w:szCs w:val="24"/>
        </w:rPr>
        <w:t xml:space="preserve"> for social change (in Chapter Eight</w:t>
      </w:r>
      <w:r w:rsidRPr="00DB105E">
        <w:rPr>
          <w:rFonts w:ascii="Garamond" w:hAnsi="Garamond" w:cs="Times New Roman"/>
          <w:sz w:val="24"/>
          <w:szCs w:val="24"/>
        </w:rPr>
        <w:t xml:space="preserve"> I reflect on the</w:t>
      </w:r>
      <w:r>
        <w:rPr>
          <w:rFonts w:ascii="Garamond" w:hAnsi="Garamond" w:cs="Times New Roman"/>
          <w:sz w:val="24"/>
          <w:szCs w:val="24"/>
        </w:rPr>
        <w:t xml:space="preserve"> process of understanding </w:t>
      </w:r>
      <w:r w:rsidRPr="00DB105E">
        <w:rPr>
          <w:rFonts w:ascii="Garamond" w:hAnsi="Garamond" w:cs="Times New Roman"/>
          <w:sz w:val="24"/>
          <w:szCs w:val="24"/>
        </w:rPr>
        <w:t xml:space="preserve">epistemological expertise and ontological </w:t>
      </w:r>
      <w:r w:rsidRPr="00DB105E">
        <w:rPr>
          <w:rFonts w:ascii="Garamond" w:hAnsi="Garamond" w:cs="Times New Roman"/>
          <w:sz w:val="24"/>
          <w:szCs w:val="24"/>
        </w:rPr>
        <w:lastRenderedPageBreak/>
        <w:t>interventions)</w:t>
      </w:r>
      <w:r>
        <w:rPr>
          <w:rFonts w:ascii="Garamond" w:hAnsi="Garamond" w:cs="Times New Roman"/>
          <w:sz w:val="24"/>
          <w:szCs w:val="24"/>
        </w:rPr>
        <w:t>. It has meant engaging with social movement politics, consumer</w:t>
      </w:r>
      <w:r w:rsidRPr="00DB105E">
        <w:rPr>
          <w:rFonts w:ascii="Garamond" w:hAnsi="Garamond" w:cs="Times New Roman"/>
          <w:sz w:val="24"/>
          <w:szCs w:val="24"/>
        </w:rPr>
        <w:t xml:space="preserve"> cultures and </w:t>
      </w:r>
      <w:r>
        <w:rPr>
          <w:rFonts w:ascii="Garamond" w:hAnsi="Garamond" w:cs="Times New Roman"/>
          <w:sz w:val="24"/>
          <w:szCs w:val="24"/>
        </w:rPr>
        <w:t xml:space="preserve">political </w:t>
      </w:r>
      <w:r w:rsidRPr="00DB105E">
        <w:rPr>
          <w:rFonts w:ascii="Garamond" w:hAnsi="Garamond" w:cs="Times New Roman"/>
          <w:sz w:val="24"/>
          <w:szCs w:val="24"/>
        </w:rPr>
        <w:t>econom</w:t>
      </w:r>
      <w:r>
        <w:rPr>
          <w:rFonts w:ascii="Garamond" w:hAnsi="Garamond" w:cs="Times New Roman"/>
          <w:sz w:val="24"/>
          <w:szCs w:val="24"/>
        </w:rPr>
        <w:t xml:space="preserve">ies that the organizations work with. </w:t>
      </w:r>
      <w:r>
        <w:rPr>
          <w:rFonts w:ascii="Garamond" w:hAnsi="Garamond" w:cs="AdvP6EC0"/>
          <w:sz w:val="24"/>
          <w:szCs w:val="24"/>
        </w:rPr>
        <w:t>These emotions, imaginations and materialisms are channelled into the performances and representations of activist bodywork. Activist bodywork is a study of the empirical and sensate methods deployed by campaigning organizations and proffers a material critique of different sorts of 'ethical' relations.</w:t>
      </w:r>
      <w:r>
        <w:rPr>
          <w:rFonts w:ascii="Garamond" w:hAnsi="Garamond" w:cs="Times New Roman"/>
          <w:sz w:val="24"/>
          <w:szCs w:val="24"/>
        </w:rPr>
        <w:t xml:space="preserve"> This theoretical diversity enables the thesis to produce interlinked but situated critiques of what happens to anti-apartheid and anti-trafficking knowledges, imaginations and emotions as they pass through and between commodities, objects and bodies. </w:t>
      </w:r>
      <w:r w:rsidRPr="00066916">
        <w:rPr>
          <w:rFonts w:ascii="Garamond" w:hAnsi="Garamond" w:cs="Times New Roman"/>
          <w:sz w:val="24"/>
          <w:szCs w:val="24"/>
        </w:rPr>
        <w:t xml:space="preserve">Over the next few paragraphs I describe the </w:t>
      </w:r>
      <w:r w:rsidRPr="00066916">
        <w:rPr>
          <w:rFonts w:ascii="Garamond" w:hAnsi="Garamond"/>
          <w:sz w:val="24"/>
          <w:szCs w:val="24"/>
        </w:rPr>
        <w:t>rationale for the data used and analysed in each chapter</w:t>
      </w:r>
      <w:r>
        <w:rPr>
          <w:rFonts w:ascii="Garamond" w:hAnsi="Garamond"/>
          <w:sz w:val="24"/>
          <w:szCs w:val="24"/>
        </w:rPr>
        <w:t>,</w:t>
      </w:r>
      <w:r w:rsidRPr="00066916">
        <w:rPr>
          <w:rFonts w:ascii="Garamond" w:hAnsi="Garamond"/>
          <w:sz w:val="24"/>
          <w:szCs w:val="24"/>
        </w:rPr>
        <w:t xml:space="preserve"> and how data and methods align with theoretical approaches of the chapters.</w:t>
      </w:r>
    </w:p>
    <w:p w:rsidR="007F618F" w:rsidRPr="00066916" w:rsidRDefault="007F618F" w:rsidP="007F618F">
      <w:pPr>
        <w:autoSpaceDE w:val="0"/>
        <w:autoSpaceDN w:val="0"/>
        <w:adjustRightInd w:val="0"/>
        <w:spacing w:after="0" w:line="360" w:lineRule="auto"/>
        <w:jc w:val="both"/>
        <w:rPr>
          <w:rFonts w:ascii="Garamond" w:hAnsi="Garamond" w:cs="Times New Roman"/>
          <w:sz w:val="24"/>
          <w:szCs w:val="24"/>
        </w:rPr>
      </w:pPr>
    </w:p>
    <w:p w:rsidR="007F618F" w:rsidRPr="00A21441" w:rsidRDefault="007F618F" w:rsidP="007F618F">
      <w:pPr>
        <w:autoSpaceDE w:val="0"/>
        <w:autoSpaceDN w:val="0"/>
        <w:adjustRightInd w:val="0"/>
        <w:spacing w:after="0" w:line="360" w:lineRule="auto"/>
        <w:jc w:val="both"/>
        <w:rPr>
          <w:rFonts w:ascii="Garamond" w:hAnsi="Garamond"/>
          <w:sz w:val="24"/>
          <w:szCs w:val="24"/>
        </w:rPr>
      </w:pPr>
      <w:r>
        <w:rPr>
          <w:rFonts w:ascii="Garamond" w:hAnsi="Garamond"/>
          <w:sz w:val="24"/>
          <w:szCs w:val="24"/>
        </w:rPr>
        <w:t>Across the five substantive chapters on the BOA and STT, the empirical material and methods used in this project are a reflection of the five research aims of the thesis.  Chapter Two grounds these research aims through reclassifying historical, geographical and sociological scholarship on boycotts, anti-colonialism, moral consumption, humanitarianism, fair trade, commodities, bodies and racialization into</w:t>
      </w:r>
      <w:r w:rsidRPr="0001780A">
        <w:rPr>
          <w:rFonts w:ascii="Garamond" w:hAnsi="Garamond"/>
          <w:sz w:val="24"/>
          <w:szCs w:val="24"/>
        </w:rPr>
        <w:t xml:space="preserve"> a series of </w:t>
      </w:r>
      <w:r>
        <w:rPr>
          <w:rFonts w:ascii="Garamond" w:hAnsi="Garamond"/>
          <w:sz w:val="24"/>
          <w:szCs w:val="24"/>
        </w:rPr>
        <w:t>six interlinked starting points</w:t>
      </w:r>
      <w:r w:rsidRPr="0001780A">
        <w:rPr>
          <w:rFonts w:ascii="Garamond" w:hAnsi="Garamond"/>
          <w:sz w:val="24"/>
          <w:szCs w:val="24"/>
        </w:rPr>
        <w:t xml:space="preserve"> for investigating commodity boycotts</w:t>
      </w:r>
      <w:r>
        <w:rPr>
          <w:rFonts w:ascii="Garamond" w:hAnsi="Garamond"/>
          <w:sz w:val="24"/>
          <w:szCs w:val="24"/>
        </w:rPr>
        <w:t>. The chapter outlines my practice of thinking between the claims of existing data on boycotts and fair trade and the need for introducing new types of data; it shows how the ideas and concepts of the thesis arose from non-linear thinking (Kaplan, 1990; Crang, 2005). This cross-cutting between extant data leads to questions on how boycotting can be a</w:t>
      </w:r>
      <w:r w:rsidRPr="0001780A">
        <w:rPr>
          <w:rFonts w:ascii="Garamond" w:hAnsi="Garamond"/>
          <w:sz w:val="24"/>
          <w:szCs w:val="24"/>
        </w:rPr>
        <w:t xml:space="preserve"> form of cultural production, </w:t>
      </w:r>
      <w:r>
        <w:rPr>
          <w:rFonts w:ascii="Garamond" w:hAnsi="Garamond"/>
          <w:sz w:val="24"/>
          <w:szCs w:val="24"/>
        </w:rPr>
        <w:t>on how</w:t>
      </w:r>
      <w:r w:rsidRPr="0001780A">
        <w:rPr>
          <w:rFonts w:ascii="Garamond" w:hAnsi="Garamond"/>
          <w:sz w:val="24"/>
          <w:szCs w:val="24"/>
        </w:rPr>
        <w:t xml:space="preserve"> b</w:t>
      </w:r>
      <w:r>
        <w:rPr>
          <w:rFonts w:ascii="Garamond" w:hAnsi="Garamond"/>
          <w:sz w:val="24"/>
          <w:szCs w:val="24"/>
        </w:rPr>
        <w:t>odywork plays out an affective politics</w:t>
      </w:r>
      <w:r w:rsidRPr="0001780A">
        <w:rPr>
          <w:rFonts w:ascii="Garamond" w:hAnsi="Garamond"/>
          <w:sz w:val="24"/>
          <w:szCs w:val="24"/>
        </w:rPr>
        <w:t xml:space="preserve"> of commodity boy</w:t>
      </w:r>
      <w:r>
        <w:rPr>
          <w:rFonts w:ascii="Garamond" w:hAnsi="Garamond"/>
          <w:sz w:val="24"/>
          <w:szCs w:val="24"/>
        </w:rPr>
        <w:t>cotts, and it speculates that</w:t>
      </w:r>
      <w:r w:rsidRPr="0001780A">
        <w:rPr>
          <w:rFonts w:ascii="Garamond" w:hAnsi="Garamond"/>
          <w:sz w:val="24"/>
          <w:szCs w:val="24"/>
        </w:rPr>
        <w:t xml:space="preserve"> race, racialization</w:t>
      </w:r>
      <w:r>
        <w:rPr>
          <w:rFonts w:ascii="Garamond" w:hAnsi="Garamond"/>
          <w:sz w:val="24"/>
          <w:szCs w:val="24"/>
        </w:rPr>
        <w:t xml:space="preserve">s </w:t>
      </w:r>
      <w:r w:rsidRPr="00286A68">
        <w:rPr>
          <w:rFonts w:ascii="Garamond" w:hAnsi="Garamond"/>
          <w:sz w:val="24"/>
          <w:szCs w:val="24"/>
        </w:rPr>
        <w:t xml:space="preserve">and antiracisms are produced through commodity activisms. Throughout the chapter I map out where, across </w:t>
      </w:r>
      <w:r>
        <w:rPr>
          <w:rFonts w:ascii="Garamond" w:hAnsi="Garamond"/>
          <w:sz w:val="24"/>
          <w:szCs w:val="24"/>
        </w:rPr>
        <w:t>the work</w:t>
      </w:r>
      <w:r w:rsidRPr="00286A68">
        <w:rPr>
          <w:rFonts w:ascii="Garamond" w:hAnsi="Garamond"/>
          <w:sz w:val="24"/>
          <w:szCs w:val="24"/>
        </w:rPr>
        <w:t xml:space="preserve"> on the BOA and STT, these questions are addressed.</w:t>
      </w:r>
      <w:r w:rsidRPr="00286A68">
        <w:rPr>
          <w:rFonts w:ascii="Garamond" w:hAnsi="Garamond" w:cs="AdvP5958"/>
          <w:sz w:val="24"/>
          <w:szCs w:val="24"/>
        </w:rPr>
        <w:t xml:space="preserve"> The chapter use</w:t>
      </w:r>
      <w:r>
        <w:rPr>
          <w:rFonts w:ascii="Garamond" w:hAnsi="Garamond" w:cs="AdvP5958"/>
          <w:sz w:val="24"/>
          <w:szCs w:val="24"/>
        </w:rPr>
        <w:t>s</w:t>
      </w:r>
      <w:r w:rsidRPr="00286A68">
        <w:rPr>
          <w:rFonts w:ascii="Garamond" w:hAnsi="Garamond" w:cs="AdvP5958"/>
          <w:sz w:val="24"/>
          <w:szCs w:val="24"/>
        </w:rPr>
        <w:t xml:space="preserve"> </w:t>
      </w:r>
      <w:r w:rsidRPr="00286A68">
        <w:rPr>
          <w:rFonts w:ascii="Garamond" w:hAnsi="Garamond"/>
          <w:sz w:val="24"/>
          <w:szCs w:val="24"/>
        </w:rPr>
        <w:t xml:space="preserve">visual data as a means to re-contextualize the material cultures of boycotts in the different light of two distinct boycotting genealogies. The images </w:t>
      </w:r>
      <w:r>
        <w:rPr>
          <w:rFonts w:ascii="Garamond" w:hAnsi="Garamond"/>
          <w:sz w:val="24"/>
          <w:szCs w:val="24"/>
        </w:rPr>
        <w:t>perform a</w:t>
      </w:r>
      <w:r w:rsidRPr="00286A68">
        <w:rPr>
          <w:rFonts w:ascii="Garamond" w:hAnsi="Garamond"/>
          <w:sz w:val="24"/>
          <w:szCs w:val="24"/>
        </w:rPr>
        <w:t xml:space="preserve"> sense of the sorts of </w:t>
      </w:r>
      <w:r>
        <w:rPr>
          <w:rFonts w:ascii="Garamond" w:hAnsi="Garamond"/>
          <w:sz w:val="24"/>
          <w:szCs w:val="24"/>
        </w:rPr>
        <w:t xml:space="preserve">publics and situated politics boycotters engaged with (these visual sources include scans of Swadeshi stamps and shares from my personal stamp collection, portraits of key Irish and Bengali activists, images of memorials, and campaign ephemera and caricatures from the anti-saccharite movement). The data is repositioned in the narrative arc of the six approaches so as to indicate the scope, and what is at stake, in rethinking boycott and fair trade activisms through bodies, bodywork and the production of race.   </w:t>
      </w:r>
    </w:p>
    <w:p w:rsidR="007F618F" w:rsidRPr="006F624A"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Pr>
          <w:rFonts w:ascii="Garamond" w:hAnsi="Garamond"/>
          <w:sz w:val="24"/>
          <w:szCs w:val="24"/>
        </w:rPr>
        <w:lastRenderedPageBreak/>
        <w:t>Chapter Three's core</w:t>
      </w:r>
      <w:r w:rsidRPr="006F624A">
        <w:rPr>
          <w:rFonts w:ascii="Garamond" w:hAnsi="Garamond"/>
          <w:sz w:val="24"/>
          <w:szCs w:val="24"/>
        </w:rPr>
        <w:t xml:space="preserve"> argument is that the BOA hija</w:t>
      </w:r>
      <w:r>
        <w:rPr>
          <w:rFonts w:ascii="Garamond" w:hAnsi="Garamond"/>
          <w:sz w:val="24"/>
          <w:szCs w:val="24"/>
        </w:rPr>
        <w:t>cked the symbolic and material e</w:t>
      </w:r>
      <w:r w:rsidRPr="006F624A">
        <w:rPr>
          <w:rFonts w:ascii="Garamond" w:hAnsi="Garamond"/>
          <w:sz w:val="24"/>
          <w:szCs w:val="24"/>
        </w:rPr>
        <w:t>ffects, places and histories of Outspan citrus capitalism to unmake appetites for apartheid</w:t>
      </w:r>
      <w:r>
        <w:rPr>
          <w:rFonts w:ascii="Garamond" w:hAnsi="Garamond"/>
          <w:sz w:val="24"/>
          <w:szCs w:val="24"/>
        </w:rPr>
        <w:t>,</w:t>
      </w:r>
      <w:r w:rsidRPr="006F624A">
        <w:rPr>
          <w:rFonts w:ascii="Garamond" w:hAnsi="Garamond"/>
          <w:sz w:val="24"/>
          <w:szCs w:val="24"/>
        </w:rPr>
        <w:t xml:space="preserve"> and counter proximate forms of racism. </w:t>
      </w:r>
      <w:r>
        <w:rPr>
          <w:rFonts w:ascii="Garamond" w:hAnsi="Garamond"/>
          <w:sz w:val="24"/>
          <w:szCs w:val="24"/>
        </w:rPr>
        <w:t>I show how the BOA unharnessed the mobility, materiality and taste of the South African orange to rework spatial connections and knowledges between South Africa and Holland. The narration is stitched</w:t>
      </w:r>
      <w:r w:rsidRPr="006F624A">
        <w:rPr>
          <w:rFonts w:ascii="Garamond" w:hAnsi="Garamond"/>
          <w:sz w:val="24"/>
          <w:szCs w:val="24"/>
        </w:rPr>
        <w:t xml:space="preserve"> through a combination of interview data from members of the BOA, the Inspan Girls and the Dutch Third World Shops</w:t>
      </w:r>
      <w:r>
        <w:rPr>
          <w:rFonts w:ascii="Garamond" w:hAnsi="Garamond"/>
          <w:sz w:val="24"/>
          <w:szCs w:val="24"/>
        </w:rPr>
        <w:t>,</w:t>
      </w:r>
      <w:r w:rsidRPr="006F624A">
        <w:rPr>
          <w:rFonts w:ascii="Garamond" w:hAnsi="Garamond"/>
          <w:sz w:val="24"/>
          <w:szCs w:val="24"/>
        </w:rPr>
        <w:t xml:space="preserve"> and textual and visual data from archives, official Outspan histories and adverts</w:t>
      </w:r>
      <w:r>
        <w:rPr>
          <w:rFonts w:ascii="Garamond" w:hAnsi="Garamond"/>
          <w:sz w:val="24"/>
          <w:szCs w:val="24"/>
        </w:rPr>
        <w:t>,</w:t>
      </w:r>
      <w:r w:rsidRPr="006F624A">
        <w:rPr>
          <w:rFonts w:ascii="Garamond" w:hAnsi="Garamond"/>
          <w:sz w:val="24"/>
          <w:szCs w:val="24"/>
        </w:rPr>
        <w:t xml:space="preserve"> and Dutch </w:t>
      </w:r>
      <w:r>
        <w:rPr>
          <w:rFonts w:ascii="Garamond" w:hAnsi="Garamond"/>
          <w:sz w:val="24"/>
          <w:szCs w:val="24"/>
        </w:rPr>
        <w:t>newspaper articles</w:t>
      </w:r>
      <w:r w:rsidRPr="006F624A">
        <w:rPr>
          <w:rFonts w:ascii="Garamond" w:hAnsi="Garamond"/>
          <w:sz w:val="24"/>
          <w:szCs w:val="24"/>
        </w:rPr>
        <w:t>. Much of the historical data is rec</w:t>
      </w:r>
      <w:r>
        <w:rPr>
          <w:rFonts w:ascii="Garamond" w:hAnsi="Garamond"/>
          <w:sz w:val="24"/>
          <w:szCs w:val="24"/>
        </w:rPr>
        <w:t>ontextualized from two archives:</w:t>
      </w:r>
      <w:r w:rsidRPr="006F624A">
        <w:rPr>
          <w:rFonts w:ascii="Garamond" w:hAnsi="Garamond"/>
          <w:sz w:val="24"/>
          <w:szCs w:val="24"/>
        </w:rPr>
        <w:t xml:space="preserve"> du Plessis' private archive in Sweden</w:t>
      </w:r>
      <w:r>
        <w:rPr>
          <w:rFonts w:ascii="Garamond" w:hAnsi="Garamond"/>
          <w:sz w:val="24"/>
          <w:szCs w:val="24"/>
        </w:rPr>
        <w:t>,</w:t>
      </w:r>
      <w:r w:rsidRPr="006F624A">
        <w:rPr>
          <w:rFonts w:ascii="Garamond" w:hAnsi="Garamond"/>
          <w:sz w:val="24"/>
          <w:szCs w:val="24"/>
        </w:rPr>
        <w:t xml:space="preserve"> and the IISH's digital archive</w:t>
      </w:r>
      <w:r>
        <w:rPr>
          <w:rFonts w:ascii="Garamond" w:hAnsi="Garamond"/>
          <w:sz w:val="24"/>
          <w:szCs w:val="24"/>
        </w:rPr>
        <w:t xml:space="preserve"> in Amsterdam</w:t>
      </w:r>
      <w:r w:rsidRPr="006F624A">
        <w:rPr>
          <w:rFonts w:ascii="Garamond" w:hAnsi="Garamond"/>
          <w:sz w:val="24"/>
          <w:szCs w:val="24"/>
        </w:rPr>
        <w:t xml:space="preserve">. </w:t>
      </w:r>
    </w:p>
    <w:p w:rsidR="007F618F"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sidRPr="006F624A">
        <w:rPr>
          <w:rFonts w:ascii="Garamond" w:hAnsi="Garamond"/>
          <w:sz w:val="24"/>
          <w:szCs w:val="24"/>
        </w:rPr>
        <w:t xml:space="preserve">The chapter also addresses </w:t>
      </w:r>
      <w:r>
        <w:rPr>
          <w:rFonts w:ascii="Garamond" w:hAnsi="Garamond"/>
          <w:sz w:val="24"/>
          <w:szCs w:val="24"/>
        </w:rPr>
        <w:t>previous geographical and historical</w:t>
      </w:r>
      <w:r w:rsidRPr="006F624A">
        <w:rPr>
          <w:rFonts w:ascii="Garamond" w:hAnsi="Garamond"/>
          <w:sz w:val="24"/>
          <w:szCs w:val="24"/>
        </w:rPr>
        <w:t xml:space="preserve"> </w:t>
      </w:r>
      <w:r>
        <w:rPr>
          <w:rFonts w:ascii="Garamond" w:hAnsi="Garamond"/>
          <w:sz w:val="24"/>
          <w:szCs w:val="24"/>
        </w:rPr>
        <w:t xml:space="preserve">scholarship </w:t>
      </w:r>
      <w:r w:rsidRPr="006F624A">
        <w:rPr>
          <w:rFonts w:ascii="Garamond" w:hAnsi="Garamond"/>
          <w:sz w:val="24"/>
          <w:szCs w:val="24"/>
        </w:rPr>
        <w:t>on the BOA and Dutch anti-apartheid respectively, and fills an empirical vacuum on studies of the BOA and the enactment of the boycott, and on the relationship between frontier colonialism and citrus capitalism. Data from interviews with BOA activists and the former leader of the Dutch</w:t>
      </w:r>
      <w:r>
        <w:rPr>
          <w:rFonts w:ascii="Garamond" w:hAnsi="Garamond"/>
          <w:sz w:val="24"/>
          <w:szCs w:val="24"/>
        </w:rPr>
        <w:t xml:space="preserve"> Third World Shops movement, and </w:t>
      </w:r>
      <w:r w:rsidRPr="006F624A">
        <w:rPr>
          <w:rFonts w:ascii="Garamond" w:hAnsi="Garamond"/>
          <w:sz w:val="24"/>
          <w:szCs w:val="24"/>
        </w:rPr>
        <w:t>dialogic ethnography</w:t>
      </w:r>
      <w:r>
        <w:rPr>
          <w:rFonts w:ascii="Garamond" w:hAnsi="Garamond"/>
          <w:sz w:val="24"/>
          <w:szCs w:val="24"/>
        </w:rPr>
        <w:t xml:space="preserve"> with du Plessis,</w:t>
      </w:r>
      <w:r w:rsidRPr="006F624A">
        <w:rPr>
          <w:rFonts w:ascii="Garamond" w:hAnsi="Garamond"/>
          <w:sz w:val="24"/>
          <w:szCs w:val="24"/>
        </w:rPr>
        <w:t xml:space="preserve"> enabled me to trace out the various social and material trajectories of the BOA's bodywork method.</w:t>
      </w:r>
      <w:r>
        <w:rPr>
          <w:rFonts w:ascii="Garamond" w:hAnsi="Garamond"/>
          <w:sz w:val="24"/>
          <w:szCs w:val="24"/>
        </w:rPr>
        <w:t xml:space="preserve"> </w:t>
      </w:r>
      <w:r w:rsidRPr="006F624A">
        <w:rPr>
          <w:rFonts w:ascii="Garamond" w:hAnsi="Garamond"/>
          <w:sz w:val="24"/>
          <w:szCs w:val="24"/>
        </w:rPr>
        <w:t xml:space="preserve">For example, contemporary reflections from interviews and dialogue with BOA activists </w:t>
      </w:r>
      <w:r>
        <w:rPr>
          <w:rFonts w:ascii="Garamond" w:hAnsi="Garamond"/>
          <w:sz w:val="24"/>
          <w:szCs w:val="24"/>
        </w:rPr>
        <w:t>are layered with bodywork</w:t>
      </w:r>
      <w:r w:rsidRPr="006F624A">
        <w:rPr>
          <w:rFonts w:ascii="Garamond" w:hAnsi="Garamond"/>
          <w:sz w:val="24"/>
          <w:szCs w:val="24"/>
        </w:rPr>
        <w:t xml:space="preserve"> embellishments made by du Plessis during the late 1960s </w:t>
      </w:r>
      <w:r>
        <w:rPr>
          <w:rFonts w:ascii="Garamond" w:hAnsi="Garamond"/>
          <w:sz w:val="24"/>
          <w:szCs w:val="24"/>
        </w:rPr>
        <w:t>in the margins of</w:t>
      </w:r>
      <w:r w:rsidRPr="006F624A">
        <w:rPr>
          <w:rFonts w:ascii="Garamond" w:hAnsi="Garamond"/>
          <w:sz w:val="24"/>
          <w:szCs w:val="24"/>
        </w:rPr>
        <w:t xml:space="preserve"> newspaper reports of the famines in the 'Bantustans'. Through the reiterative and in-depth process of dialogic ethnography, this patch-working and layering of data became a useful means of identifying how the visceral language</w:t>
      </w:r>
      <w:r>
        <w:rPr>
          <w:rFonts w:ascii="Garamond" w:hAnsi="Garamond"/>
          <w:sz w:val="24"/>
          <w:szCs w:val="24"/>
        </w:rPr>
        <w:t xml:space="preserve"> and feelings</w:t>
      </w:r>
      <w:r w:rsidRPr="006F624A">
        <w:rPr>
          <w:rFonts w:ascii="Garamond" w:hAnsi="Garamond"/>
          <w:sz w:val="24"/>
          <w:szCs w:val="24"/>
        </w:rPr>
        <w:t xml:space="preserve"> of the BOA boycott was </w:t>
      </w:r>
      <w:r>
        <w:rPr>
          <w:rFonts w:ascii="Garamond" w:hAnsi="Garamond"/>
          <w:sz w:val="24"/>
          <w:szCs w:val="24"/>
        </w:rPr>
        <w:t>identified, mapped onto and through citrus,</w:t>
      </w:r>
      <w:r w:rsidRPr="006F624A">
        <w:rPr>
          <w:rFonts w:ascii="Garamond" w:hAnsi="Garamond"/>
          <w:sz w:val="24"/>
          <w:szCs w:val="24"/>
        </w:rPr>
        <w:t xml:space="preserve"> and put into practices.</w:t>
      </w:r>
      <w:r>
        <w:rPr>
          <w:rFonts w:ascii="Garamond" w:hAnsi="Garamond"/>
          <w:sz w:val="24"/>
          <w:szCs w:val="24"/>
        </w:rPr>
        <w:t xml:space="preserve"> </w:t>
      </w:r>
    </w:p>
    <w:p w:rsidR="007F618F"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In addition, the chapter focuses on the media and legal strategies of the BOA; here interviews are used in tandem with newspaper reports to show how the Outspan boycott created an event for anti-apartheid tied up with a liberal counter-culture that valued freedom of speech. </w:t>
      </w:r>
      <w:r w:rsidRPr="006F624A">
        <w:rPr>
          <w:rFonts w:ascii="Garamond" w:hAnsi="Garamond"/>
          <w:sz w:val="24"/>
          <w:szCs w:val="24"/>
        </w:rPr>
        <w:t xml:space="preserve">Translated text and images from the BOA's inaugural anti-apartheid publication </w:t>
      </w:r>
      <w:r w:rsidRPr="006F624A">
        <w:rPr>
          <w:rFonts w:ascii="Garamond" w:hAnsi="Garamond"/>
          <w:i/>
          <w:sz w:val="24"/>
          <w:szCs w:val="24"/>
        </w:rPr>
        <w:t>Building-bricks for Apartheid</w:t>
      </w:r>
      <w:r>
        <w:rPr>
          <w:rFonts w:ascii="Garamond" w:hAnsi="Garamond"/>
          <w:sz w:val="24"/>
          <w:szCs w:val="24"/>
        </w:rPr>
        <w:t>, c</w:t>
      </w:r>
      <w:r w:rsidRPr="006F624A">
        <w:rPr>
          <w:rFonts w:ascii="Garamond" w:hAnsi="Garamond"/>
          <w:sz w:val="24"/>
          <w:szCs w:val="24"/>
        </w:rPr>
        <w:t>ongress booklets</w:t>
      </w:r>
      <w:r>
        <w:rPr>
          <w:rFonts w:ascii="Garamond" w:hAnsi="Garamond"/>
          <w:sz w:val="24"/>
          <w:szCs w:val="24"/>
        </w:rPr>
        <w:t xml:space="preserve">, and BOA co-founder Karel Roskam's (1960) PhD thesis, </w:t>
      </w:r>
      <w:r w:rsidRPr="006F624A">
        <w:rPr>
          <w:rFonts w:ascii="Garamond" w:hAnsi="Garamond"/>
          <w:i/>
          <w:sz w:val="24"/>
          <w:szCs w:val="24"/>
        </w:rPr>
        <w:t>Apartheid and Discrimination</w:t>
      </w:r>
      <w:r>
        <w:rPr>
          <w:rFonts w:ascii="Garamond" w:hAnsi="Garamond"/>
          <w:i/>
          <w:sz w:val="24"/>
          <w:szCs w:val="24"/>
        </w:rPr>
        <w:t>,</w:t>
      </w:r>
      <w:r w:rsidRPr="006F624A">
        <w:rPr>
          <w:rFonts w:ascii="Garamond" w:hAnsi="Garamond"/>
          <w:sz w:val="24"/>
          <w:szCs w:val="24"/>
        </w:rPr>
        <w:t xml:space="preserve"> </w:t>
      </w:r>
      <w:r>
        <w:rPr>
          <w:rFonts w:ascii="Garamond" w:hAnsi="Garamond"/>
          <w:sz w:val="24"/>
          <w:szCs w:val="24"/>
        </w:rPr>
        <w:t xml:space="preserve">provide </w:t>
      </w:r>
      <w:r w:rsidRPr="006F624A">
        <w:rPr>
          <w:rFonts w:ascii="Garamond" w:hAnsi="Garamond"/>
          <w:sz w:val="24"/>
          <w:szCs w:val="24"/>
        </w:rPr>
        <w:t>indications of how the BOA framed citrus capitalism as both systematic and symbolic of broader apartheid oppressions and longer colonial hi</w:t>
      </w:r>
      <w:r w:rsidRPr="00581F75">
        <w:rPr>
          <w:rFonts w:ascii="Garamond" w:hAnsi="Garamond"/>
          <w:sz w:val="24"/>
          <w:szCs w:val="24"/>
        </w:rPr>
        <w:t>stories. The chapter</w:t>
      </w:r>
      <w:r>
        <w:rPr>
          <w:rFonts w:ascii="Garamond" w:hAnsi="Garamond"/>
          <w:sz w:val="24"/>
          <w:szCs w:val="24"/>
        </w:rPr>
        <w:t xml:space="preserve"> mediates </w:t>
      </w:r>
      <w:r w:rsidRPr="00581F75">
        <w:rPr>
          <w:rFonts w:ascii="Garamond" w:hAnsi="Garamond"/>
          <w:sz w:val="24"/>
          <w:szCs w:val="24"/>
        </w:rPr>
        <w:t xml:space="preserve">past and present political </w:t>
      </w:r>
      <w:r w:rsidRPr="00581F75">
        <w:rPr>
          <w:rFonts w:ascii="Garamond" w:hAnsi="Garamond"/>
          <w:sz w:val="24"/>
          <w:szCs w:val="24"/>
        </w:rPr>
        <w:lastRenderedPageBreak/>
        <w:t>imperatives through bri</w:t>
      </w:r>
      <w:r>
        <w:rPr>
          <w:rFonts w:ascii="Garamond" w:hAnsi="Garamond"/>
          <w:sz w:val="24"/>
          <w:szCs w:val="24"/>
        </w:rPr>
        <w:t xml:space="preserve">nging BOA campaign material, </w:t>
      </w:r>
      <w:r w:rsidRPr="00581F75">
        <w:rPr>
          <w:rFonts w:ascii="Garamond" w:hAnsi="Garamond"/>
          <w:sz w:val="24"/>
          <w:szCs w:val="24"/>
        </w:rPr>
        <w:t xml:space="preserve">academic texts, </w:t>
      </w:r>
      <w:r w:rsidRPr="00581F75">
        <w:rPr>
          <w:rFonts w:ascii="Garamond" w:hAnsi="Garamond"/>
          <w:i/>
          <w:sz w:val="24"/>
          <w:szCs w:val="24"/>
        </w:rPr>
        <w:t>and</w:t>
      </w:r>
      <w:r w:rsidRPr="00581F75">
        <w:rPr>
          <w:rFonts w:ascii="Garamond" w:hAnsi="Garamond"/>
          <w:sz w:val="24"/>
          <w:szCs w:val="24"/>
        </w:rPr>
        <w:t xml:space="preserve"> Esau du Plessis</w:t>
      </w:r>
      <w:r>
        <w:rPr>
          <w:rFonts w:ascii="Garamond" w:hAnsi="Garamond"/>
          <w:sz w:val="24"/>
          <w:szCs w:val="24"/>
        </w:rPr>
        <w:t xml:space="preserve"> and the Inspan Girls</w:t>
      </w:r>
      <w:r w:rsidRPr="00581F75">
        <w:rPr>
          <w:rFonts w:ascii="Garamond" w:hAnsi="Garamond"/>
          <w:sz w:val="24"/>
          <w:szCs w:val="24"/>
        </w:rPr>
        <w:t>,</w:t>
      </w:r>
      <w:r>
        <w:rPr>
          <w:rFonts w:ascii="Garamond" w:hAnsi="Garamond"/>
          <w:sz w:val="24"/>
          <w:szCs w:val="24"/>
        </w:rPr>
        <w:t xml:space="preserve"> into a dialogue with</w:t>
      </w:r>
      <w:r w:rsidRPr="00581F75">
        <w:rPr>
          <w:rFonts w:ascii="Garamond" w:hAnsi="Garamond"/>
          <w:sz w:val="24"/>
          <w:szCs w:val="24"/>
        </w:rPr>
        <w:t xml:space="preserve"> contemporary 'white' histories of </w:t>
      </w:r>
      <w:r>
        <w:rPr>
          <w:rFonts w:ascii="Garamond" w:hAnsi="Garamond"/>
          <w:sz w:val="24"/>
          <w:szCs w:val="24"/>
        </w:rPr>
        <w:t xml:space="preserve">Dutch </w:t>
      </w:r>
      <w:r w:rsidRPr="00581F75">
        <w:rPr>
          <w:rFonts w:ascii="Garamond" w:hAnsi="Garamond"/>
          <w:sz w:val="24"/>
          <w:szCs w:val="24"/>
        </w:rPr>
        <w:t>anti-apartheid.</w:t>
      </w:r>
      <w:r>
        <w:rPr>
          <w:rFonts w:ascii="Garamond" w:hAnsi="Garamond"/>
          <w:sz w:val="24"/>
          <w:szCs w:val="24"/>
        </w:rPr>
        <w:t xml:space="preserve"> Interview data from my meeting with Hans Beerends led to me questioning the use of distinctly white terminology across Dutch anti-apartheid during the 1970s and its present historicizing (questions that led to the groundwork for Chapter Seven). The chapter also engages in a detailed compositional study of the BOA's iconic anthropophagic poster, using the image as a form of visual elicitation during interviews with the BOA graphic designer. This emphasized the uncanny process of the image's production where van der Aa described cutting and pasting a photograph of a child's joyful experience into the centrepiece of an image of excruciating pain administered by the white hand of apartheid. </w:t>
      </w: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With the focus on the contemporary merging of fair trade chocolate activism with anti-trafficking, Chapter Four juxtaposes historical sources with empirical data to show how specific traditions of British antislavery are utilised to shape contemporary fair trade chocolate activism. The chapter demonstrates that STT are part of the commodification and mainstreaming of anti-trafficking and fair trade chocolate advocacy. Through identifying two child-chocolate topoi, and explaining how, where and why these topoi are produced, the chapter argues that STT produce consumer, governmental and stakeholder legitimacy. It also shows that through merging anti-trafficking and fair trade chocolate, the organization manipulates producer subjectivities and enables troubling visceralities that are given immanence through prejudiced geographical (body) imaginaries. The chapter uses historical sources on the abolitionist movement (including Granville Sharpe's diary and scholarship on trepanning) with empirical data from interviews with STT activists from STT Lambeth and Amsterdam, the Tunbridge Wells Fairtrade Town Committee (TWFTC), Voice of Organizations in Cocoa in Europe (VOICE) and Active Communities Against Trafficking (ACT). </w:t>
      </w:r>
    </w:p>
    <w:p w:rsidR="007F618F" w:rsidRDefault="007F618F" w:rsidP="007F618F">
      <w:pPr>
        <w:spacing w:line="360" w:lineRule="auto"/>
        <w:jc w:val="both"/>
        <w:rPr>
          <w:rFonts w:ascii="Garamond" w:hAnsi="Garamond"/>
          <w:sz w:val="24"/>
          <w:szCs w:val="24"/>
        </w:rPr>
      </w:pPr>
      <w:r>
        <w:rPr>
          <w:rFonts w:ascii="Garamond" w:hAnsi="Garamond"/>
          <w:sz w:val="24"/>
          <w:szCs w:val="24"/>
        </w:rPr>
        <w:t>The first part of the chapter on topoi contextualization investigates some of the historical, social and material relationships between the three constituent parts of STT's topoi (children, chocolate, purity). Data from supranational protocols and multiple textual and visual sources including popular trafficking exp</w:t>
      </w:r>
      <w:r w:rsidRPr="00006B54">
        <w:rPr>
          <w:rFonts w:ascii="Garamond" w:hAnsi="Garamond" w:cs="Arial"/>
          <w:sz w:val="24"/>
          <w:szCs w:val="24"/>
          <w:shd w:val="clear" w:color="auto" w:fill="FFFFFF"/>
        </w:rPr>
        <w:t>osé</w:t>
      </w:r>
      <w:r>
        <w:rPr>
          <w:rFonts w:ascii="Garamond" w:hAnsi="Garamond" w:cs="Arial"/>
          <w:sz w:val="24"/>
          <w:szCs w:val="24"/>
          <w:shd w:val="clear" w:color="auto" w:fill="FFFFFF"/>
        </w:rPr>
        <w:t>s</w:t>
      </w:r>
      <w:r w:rsidRPr="00006B54">
        <w:rPr>
          <w:rFonts w:ascii="Garamond" w:hAnsi="Garamond"/>
          <w:sz w:val="24"/>
          <w:szCs w:val="24"/>
        </w:rPr>
        <w:t xml:space="preserve">, </w:t>
      </w:r>
      <w:r>
        <w:rPr>
          <w:rFonts w:ascii="Garamond" w:hAnsi="Garamond"/>
          <w:sz w:val="24"/>
          <w:szCs w:val="24"/>
        </w:rPr>
        <w:t xml:space="preserve">children’s books, abolitionist histories and films, and anti-trafficking films are used to contextualize the topoi as instruments of neoliberal governance, and demonstrate the position of the organization as a contributor to the cultural and geopolitical industry of anti-trafficking. Images of STT's ad-busting logos and fair trade chocolate pamphlets are reproduced to </w:t>
      </w:r>
      <w:r>
        <w:rPr>
          <w:rFonts w:ascii="Garamond" w:hAnsi="Garamond"/>
          <w:sz w:val="24"/>
          <w:szCs w:val="24"/>
        </w:rPr>
        <w:lastRenderedPageBreak/>
        <w:t>show how the organization use traditional boycotter tactics to levy pressure on particular chocolate firms, and persuade consumers to abstain from eating non-fair trade chocolate. Additionally, these images intimate how STT conduct advocacy through harnessing some of the material properties of chocolate. In order to demonstrate the socio-material values of children and purity (and 'pure' bodies) to chocolate production and consumption, the narrative is illustrated with images of chocolate adverts from the late nineteenth century to the present. The chapter further contextualizes STT's chocolate campaigns with recent geographical scholarship on globalizing responsibility, and selectively reproduces quantitative data from NGO and WTO reports on cocoa production in the Côte D'Ivoire. Articles from global development and economic websites (Reuters, Irin News) are brought into dialogue with data from a series of intensive interviews with STT's director of global chocolate campaigns, Antonie Fountain. Images and text from STT's inaugural handbook in tandem with empirical data from interviews show how the two topoi are deployed. Campaign material from STT's website is reprinted alongside transcriptions from YouTube videos, and photographs from the TWFTG steering committee are used with newspaper reports and empirical data to show how the child-consumer topos is deployed as a type of celebritized developmental consumption (Goodman, 2010), and situated as part of the Fairtrade Town movement in 2007.</w:t>
      </w: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Chapter Five uses relatively few interview extracts and STT campaign materials. Moving away from sensate forms of data which highlight the material and emotive work of the topoi, the first part of the chapter identifies relevant scholarship on humanitarianism, fair trade, antiracism, developmental discourse and ethico-politics, and constructs from it the argument that the topoi of the previous chapter enable forms of racial production, consumption and denial at various scales. Through making this scholarship speak to the previous chapter, I propose that race is an absent presence of STT's 'chocolate ethics'. Rather than using interview material and campaign ephemera from STT and ACT to demonstrate the contextual and situated practices of the topoi (as in Chapter Four), this data is used sparingly to add depth to my argument that anti-trafficking and antiracialist discourses work through each other to shift responsibility for racism and slavery away from the structures of the Western state and civil society and towards rogue individuals and 'failed' West African states. In line with Goodman's (2013) call to 'problematize the modes of ethical problematization' deployed by campaigning organizations, in using discourse analysis the chapter identifies how STT's topoi produce terror narratives, 'shadow' commodity/economy surveillance, defensive attitudes towards (white) spaces, and act as a technology of neoliberal governmentality. To better integrate this discourse </w:t>
      </w:r>
      <w:r>
        <w:rPr>
          <w:rFonts w:ascii="Garamond" w:hAnsi="Garamond"/>
          <w:sz w:val="24"/>
          <w:szCs w:val="24"/>
        </w:rPr>
        <w:lastRenderedPageBreak/>
        <w:t xml:space="preserve">analysis with earlier work on the commodity-body topoi, empirical data from interviews with STT activists working across different industries (hotels, sex, taxi drivers) could provide leads towards identifying further types of anti-trafficking commodity-body topoi. In order to align the methodological and theoretical approaches of this chapter, interviews with farmers and cocoa stakeholders in the Côte D'Ivore are required; this data would prioritise their embodied relationship with cocoa and enable a situated critique of the child-chocolate topoi. </w:t>
      </w: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The construction of this rather pessimistic data on STT's whitened policy is tempered somewhat by the second part of Chapter Five. The aim is to understand how STT Amsterdam's chocolate advocacy campaigns influence 'real world' outcomes in the cultural economies of the global chocolate trade. The chapter integrates scholarship from Marxist political scientists and geographers writing on historical materialism and the spatialization of accumulation by dispossession, with data on the cultural and symbolic life of chocolate production. Using reports on cocoa production from contemporary media and recent scholarship on cocoa farming, transport and production in the Côte D'Ivore, the chapter 'follows' cocoa from farms to export. Places of value generation are identified and four types of conditions that impoverish cocoa farmers are suggested (economic dependency on raw cocoa, use of land-dispossessed labour, buyer-led value chain and anti-trafficking tropes). </w:t>
      </w:r>
    </w:p>
    <w:p w:rsidR="007F618F"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Empirical data from the interviews with Fountain suggest that STT Amsterdam attempt to impose regulations that diminish the efficacy of these conditions. Geographical scholarship on the globalization of consumer responsibility provides the framing devices and language required for the chapter to investigate how STT use consumer sovereignty as a performative site for negotiation with chocolate stakeholders. I show how STT can achieve structural changes to the pronounced colour-line separating chocolate production and consumption through supporting forms of cocoa nationalization and price-protection that run contrary to neoliberal turn-key production networks. In short, the language of responsibility can be productive from a critical race studies perspective, but only if its 'grammars of interaction' are used to speak to power and undermine the hegemony of chocolate developmental discourse and humanitarianism from within. I conclude that while STT's two child-chocolate topoi work through whitened imaginaries and problematic power relations in which responsibility for 'victims' and distant producers is assumed, taken and not negotiated, STT Amsterdam attempt to harness </w:t>
      </w:r>
      <w:r>
        <w:rPr>
          <w:rFonts w:ascii="Garamond" w:hAnsi="Garamond"/>
          <w:sz w:val="24"/>
          <w:szCs w:val="24"/>
        </w:rPr>
        <w:lastRenderedPageBreak/>
        <w:t xml:space="preserve">these blunt topoi in the hope of increasing accountability, legislation and regulations that minimise the north/south trade abuses symptomatic of the cocoa industry. However, regardless of these effects these consumer-led methods of engagement do not construct solidarity networks.       </w:t>
      </w:r>
    </w:p>
    <w:p w:rsidR="007F618F"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Pr>
          <w:rFonts w:ascii="Garamond" w:hAnsi="Garamond"/>
          <w:sz w:val="24"/>
          <w:szCs w:val="24"/>
        </w:rPr>
        <w:t>Chapter Six marks the start of the project’s analysis of the BOA's explicit practices of solidarity with black South African labour and political organizations following the Outspan boycott. In the chapter I show how the BOA's anti-white migration campaigns (1972-75) unveiled transnational apartheid circuits of exchange that assembled the idea, justification and practice of white migration to South Africa.  As white migration to South Africa represents new academic terrain, the chapter opens through an analysis of materials that demonstrate the importance of white migration to both the apartheid state and anti-apartheid activism. These include academic texts from anti-apartheid activists written in the 1960s and 70s, transcripts of speeches at global anti-apartheid congresses from the South African History Online Archives, European adverts extolling white migration to South Africa, and a small number of anti-apartheid studies on the pro-apartheid publicity network.</w:t>
      </w:r>
    </w:p>
    <w:p w:rsidR="007F618F" w:rsidRDefault="007F618F" w:rsidP="007F618F">
      <w:pPr>
        <w:spacing w:line="360" w:lineRule="auto"/>
        <w:jc w:val="both"/>
        <w:rPr>
          <w:rFonts w:ascii="Garamond" w:hAnsi="Garamond"/>
          <w:sz w:val="24"/>
          <w:szCs w:val="24"/>
        </w:rPr>
      </w:pPr>
    </w:p>
    <w:p w:rsidR="007F618F" w:rsidRDefault="007F618F" w:rsidP="007F618F">
      <w:pPr>
        <w:spacing w:line="360" w:lineRule="auto"/>
        <w:jc w:val="both"/>
        <w:rPr>
          <w:rFonts w:ascii="Garamond" w:hAnsi="Garamond"/>
          <w:sz w:val="24"/>
          <w:szCs w:val="24"/>
        </w:rPr>
      </w:pPr>
      <w:r>
        <w:rPr>
          <w:rFonts w:ascii="Garamond" w:hAnsi="Garamond"/>
          <w:sz w:val="24"/>
          <w:szCs w:val="24"/>
        </w:rPr>
        <w:t>Cultural geographies on the construction of the transnational migrant are combined with histories and sociologies of apartheid racisms to evidence how white migration was produced through the racial policing and disciplining of bodies; a process integral to the apartheid state described by Goldberg (2009) as the 'sociality of skin'. The chapter examines anti-white migration images and adverts produced by the BOA, and uses newspaper reports and interview data to describe the BOA's performance of anti-white migration activism. This data is carried through into an analysis of the BOA's white migration bodywork where black revolutionary bodies were used to forward the campaign and cultivate fear among potential white migrants. Used in conjunction with research on emotions in social movements, racism and</w:t>
      </w:r>
      <w:r w:rsidRPr="004E22FF">
        <w:rPr>
          <w:rFonts w:ascii="Garamond" w:hAnsi="Garamond"/>
          <w:i/>
          <w:sz w:val="24"/>
          <w:szCs w:val="24"/>
        </w:rPr>
        <w:t xml:space="preserve"> </w:t>
      </w:r>
      <w:r>
        <w:rPr>
          <w:rFonts w:ascii="Garamond" w:hAnsi="Garamond"/>
          <w:sz w:val="24"/>
          <w:szCs w:val="24"/>
        </w:rPr>
        <w:t xml:space="preserve">apartheid politics, this visual and empirical data displays how the BOA unmade apartheid capitalist imaginaries of South Africa as a hospitable place to live and visit.  </w:t>
      </w:r>
    </w:p>
    <w:p w:rsidR="007F618F" w:rsidRDefault="007F618F" w:rsidP="007F618F">
      <w:pPr>
        <w:spacing w:line="360" w:lineRule="auto"/>
        <w:jc w:val="both"/>
        <w:rPr>
          <w:rFonts w:ascii="Garamond" w:hAnsi="Garamond"/>
          <w:sz w:val="24"/>
          <w:szCs w:val="24"/>
        </w:rPr>
      </w:pPr>
      <w:r>
        <w:rPr>
          <w:rFonts w:ascii="Garamond" w:hAnsi="Garamond"/>
          <w:sz w:val="24"/>
          <w:szCs w:val="24"/>
        </w:rPr>
        <w:t>The data from interviews and dialogic ethnography with du Plessis, in addition to the archival material on anti-white migration from CETIM, is used to understand how anti-white migration was practiced as a form of anti-apartheid solidarity. Two academic-</w:t>
      </w:r>
      <w:r>
        <w:rPr>
          <w:rFonts w:ascii="Garamond" w:hAnsi="Garamond"/>
          <w:sz w:val="24"/>
          <w:szCs w:val="24"/>
        </w:rPr>
        <w:lastRenderedPageBreak/>
        <w:t xml:space="preserve">activist books, which the BOA produced and contributed to, form the core academic historical sources for studying the national and transnational anti-apartheid campaigns. Working with CETIM’s anti-apartheid archive, the chapter draws on letters and correspondence sent between activists from European AAMs to understand how </w:t>
      </w:r>
      <w:r w:rsidRPr="00C06894">
        <w:rPr>
          <w:rFonts w:ascii="Garamond" w:hAnsi="Garamond"/>
          <w:i/>
          <w:sz w:val="24"/>
          <w:szCs w:val="24"/>
        </w:rPr>
        <w:t>White Migration to Southern Africa</w:t>
      </w:r>
      <w:r>
        <w:rPr>
          <w:rFonts w:ascii="Garamond" w:hAnsi="Garamond"/>
          <w:sz w:val="24"/>
          <w:szCs w:val="24"/>
        </w:rPr>
        <w:t xml:space="preserve"> was conceived, debated, researched, written and published. These letters provide an ongoing commentary of the process of transnational anti-apartheid as enacted through anti-white migration activism, and show how the BOA's role as an action group was held in high esteem by CETIM. The second book, </w:t>
      </w:r>
      <w:r>
        <w:rPr>
          <w:rFonts w:ascii="Garamond" w:hAnsi="Garamond"/>
          <w:i/>
          <w:sz w:val="24"/>
          <w:szCs w:val="24"/>
        </w:rPr>
        <w:t>Emigration to South Africa: is it in your best interests?,</w:t>
      </w:r>
      <w:r>
        <w:rPr>
          <w:rFonts w:ascii="Garamond" w:hAnsi="Garamond"/>
          <w:sz w:val="24"/>
          <w:szCs w:val="24"/>
        </w:rPr>
        <w:t xml:space="preserve"> is one of several translated BOA anti-white migration sources that evidence the degree of planning and co-operation with the national media required to create anti-</w:t>
      </w:r>
      <w:r w:rsidRPr="00043F2B">
        <w:rPr>
          <w:rFonts w:ascii="Garamond" w:hAnsi="Garamond"/>
          <w:sz w:val="24"/>
          <w:szCs w:val="24"/>
        </w:rPr>
        <w:t>white migration news.</w:t>
      </w:r>
    </w:p>
    <w:p w:rsidR="007F618F" w:rsidRPr="00CB2D83" w:rsidRDefault="007F618F" w:rsidP="007F618F">
      <w:pPr>
        <w:spacing w:line="360" w:lineRule="auto"/>
        <w:jc w:val="both"/>
        <w:rPr>
          <w:rFonts w:ascii="Garamond" w:hAnsi="Garamond"/>
          <w:i/>
          <w:sz w:val="24"/>
          <w:szCs w:val="24"/>
        </w:rPr>
      </w:pPr>
      <w:r w:rsidRPr="00043F2B">
        <w:rPr>
          <w:rFonts w:ascii="Garamond" w:hAnsi="Garamond"/>
          <w:sz w:val="24"/>
          <w:szCs w:val="24"/>
        </w:rPr>
        <w:t xml:space="preserve"> Data from dialogic ethnography is key to understanding how anti-emigration was performed</w:t>
      </w:r>
      <w:r>
        <w:rPr>
          <w:rFonts w:ascii="Garamond" w:hAnsi="Garamond"/>
          <w:sz w:val="24"/>
          <w:szCs w:val="24"/>
        </w:rPr>
        <w:t>;</w:t>
      </w:r>
      <w:r w:rsidRPr="00043F2B">
        <w:rPr>
          <w:rFonts w:ascii="Garamond" w:hAnsi="Garamond"/>
          <w:sz w:val="24"/>
          <w:szCs w:val="24"/>
        </w:rPr>
        <w:t xml:space="preserve"> </w:t>
      </w:r>
      <w:r>
        <w:rPr>
          <w:rFonts w:ascii="Garamond" w:hAnsi="Garamond"/>
          <w:sz w:val="24"/>
          <w:szCs w:val="24"/>
        </w:rPr>
        <w:t xml:space="preserve">through revisiting the archived newspaper reports and campaign material during discussions with du Plessis, it was possible to trace the BOA's attention to </w:t>
      </w:r>
      <w:r w:rsidRPr="00043F2B">
        <w:rPr>
          <w:rFonts w:ascii="Garamond" w:hAnsi="Garamond"/>
          <w:sz w:val="24"/>
          <w:szCs w:val="24"/>
        </w:rPr>
        <w:t>ref</w:t>
      </w:r>
      <w:r>
        <w:rPr>
          <w:rFonts w:ascii="Garamond" w:hAnsi="Garamond"/>
          <w:sz w:val="24"/>
          <w:szCs w:val="24"/>
        </w:rPr>
        <w:t>lexivity and foresight, and</w:t>
      </w:r>
      <w:r w:rsidRPr="00043F2B">
        <w:rPr>
          <w:rFonts w:ascii="Garamond" w:hAnsi="Garamond"/>
          <w:sz w:val="24"/>
          <w:szCs w:val="24"/>
        </w:rPr>
        <w:t xml:space="preserve"> attention to affect and détournement</w:t>
      </w:r>
      <w:r>
        <w:rPr>
          <w:rFonts w:ascii="Garamond" w:hAnsi="Garamond"/>
          <w:sz w:val="24"/>
          <w:szCs w:val="24"/>
        </w:rPr>
        <w:t xml:space="preserve"> during the campaign</w:t>
      </w:r>
      <w:r w:rsidRPr="00043F2B">
        <w:rPr>
          <w:rFonts w:ascii="Garamond" w:hAnsi="Garamond"/>
          <w:sz w:val="24"/>
          <w:szCs w:val="24"/>
        </w:rPr>
        <w:t>.</w:t>
      </w:r>
      <w:r>
        <w:rPr>
          <w:rFonts w:ascii="Garamond" w:hAnsi="Garamond"/>
          <w:sz w:val="24"/>
          <w:szCs w:val="24"/>
        </w:rPr>
        <w:t xml:space="preserve"> The chapter's argument that a proxy war of imagination was fought between pro and anti-apartheid organizations over the transnational migrant's (white) body, is evidenced through a narrative which weaves together newspaper articles, anti-colonial theory and materialist critiques of postcolonialism, and a psychoanalytical analysis of the BOA's image of the black revolutionary fighter which, I argue, displaced the phobogenic visceral emotions attached to the bodywork of </w:t>
      </w:r>
      <w:r w:rsidRPr="006A4DFD">
        <w:rPr>
          <w:rFonts w:ascii="Garamond" w:hAnsi="Garamond"/>
          <w:i/>
          <w:sz w:val="24"/>
          <w:szCs w:val="24"/>
        </w:rPr>
        <w:t>die swart gevaar</w:t>
      </w:r>
      <w:r>
        <w:rPr>
          <w:rFonts w:ascii="Garamond" w:hAnsi="Garamond"/>
          <w:sz w:val="24"/>
          <w:szCs w:val="24"/>
        </w:rPr>
        <w:t xml:space="preserve">  ('the black menace'), with a fear of black superiority and physical violence. I show how the</w:t>
      </w:r>
      <w:r w:rsidRPr="00A54CB6">
        <w:rPr>
          <w:rFonts w:ascii="Garamond" w:hAnsi="Garamond"/>
          <w:sz w:val="24"/>
          <w:szCs w:val="24"/>
        </w:rPr>
        <w:t xml:space="preserve"> black body-migrant fear topos</w:t>
      </w:r>
      <w:r>
        <w:rPr>
          <w:rFonts w:ascii="Garamond" w:hAnsi="Garamond"/>
          <w:sz w:val="24"/>
          <w:szCs w:val="24"/>
        </w:rPr>
        <w:t xml:space="preserve"> was played out across national newspaper articles, posters, and the BOA's national campaign book, </w:t>
      </w:r>
      <w:r>
        <w:rPr>
          <w:rFonts w:ascii="Garamond" w:hAnsi="Garamond"/>
          <w:i/>
          <w:sz w:val="24"/>
          <w:szCs w:val="24"/>
        </w:rPr>
        <w:t xml:space="preserve">Emigration to South Africa.   </w:t>
      </w:r>
    </w:p>
    <w:p w:rsidR="007F618F" w:rsidRDefault="007F618F" w:rsidP="007F618F">
      <w:pPr>
        <w:spacing w:line="360" w:lineRule="auto"/>
        <w:jc w:val="both"/>
        <w:rPr>
          <w:rFonts w:ascii="Garamond" w:hAnsi="Garamond"/>
          <w:sz w:val="24"/>
          <w:szCs w:val="24"/>
        </w:rPr>
      </w:pPr>
      <w:r>
        <w:rPr>
          <w:rFonts w:ascii="Garamond" w:hAnsi="Garamond"/>
          <w:sz w:val="24"/>
          <w:szCs w:val="24"/>
        </w:rPr>
        <w:t>Chapter Seven wages a 'Gramscian war of position' (Roddick, 2004) with nationalist histories of anti-apartheid; 'Racism here, apartheid there' forwards my</w:t>
      </w:r>
      <w:r w:rsidRPr="003B7496">
        <w:rPr>
          <w:rFonts w:ascii="Garamond" w:hAnsi="Garamond"/>
          <w:sz w:val="24"/>
          <w:szCs w:val="24"/>
        </w:rPr>
        <w:t xml:space="preserve"> shared belief </w:t>
      </w:r>
      <w:r>
        <w:rPr>
          <w:rFonts w:ascii="Garamond" w:hAnsi="Garamond"/>
          <w:sz w:val="24"/>
          <w:szCs w:val="24"/>
        </w:rPr>
        <w:t>with du Plessis that apartheid was</w:t>
      </w:r>
      <w:r w:rsidRPr="003B7496">
        <w:rPr>
          <w:rFonts w:ascii="Garamond" w:hAnsi="Garamond"/>
          <w:sz w:val="24"/>
          <w:szCs w:val="24"/>
        </w:rPr>
        <w:t xml:space="preserve"> a specific application of European cultural and economic racism</w:t>
      </w:r>
      <w:r>
        <w:rPr>
          <w:rFonts w:ascii="Garamond" w:hAnsi="Garamond"/>
          <w:sz w:val="24"/>
          <w:szCs w:val="24"/>
        </w:rPr>
        <w:t>. The chapter is the project's most apt illustration of the dialogic process with du Plessis,</w:t>
      </w:r>
      <w:r>
        <w:rPr>
          <w:rStyle w:val="FootnoteReference"/>
          <w:rFonts w:ascii="Garamond" w:hAnsi="Garamond"/>
          <w:sz w:val="24"/>
          <w:szCs w:val="24"/>
        </w:rPr>
        <w:footnoteReference w:id="35"/>
      </w:r>
      <w:r>
        <w:rPr>
          <w:rFonts w:ascii="Garamond" w:hAnsi="Garamond"/>
          <w:sz w:val="24"/>
          <w:szCs w:val="24"/>
        </w:rPr>
        <w:t xml:space="preserve"> and it is propelled by shared</w:t>
      </w:r>
      <w:r w:rsidRPr="003B7496">
        <w:rPr>
          <w:rFonts w:ascii="Garamond" w:hAnsi="Garamond"/>
          <w:sz w:val="24"/>
          <w:szCs w:val="24"/>
        </w:rPr>
        <w:t xml:space="preserve"> 'sacred ground'</w:t>
      </w:r>
      <w:r>
        <w:rPr>
          <w:rFonts w:ascii="Garamond" w:hAnsi="Garamond"/>
          <w:sz w:val="24"/>
          <w:szCs w:val="24"/>
        </w:rPr>
        <w:t xml:space="preserve"> over the requirement to contest white geographies and histories. The subject of the chapter – the practice of antiracist solidarity through anti-apartheid campaigns – was</w:t>
      </w:r>
      <w:r w:rsidRPr="003B7496">
        <w:rPr>
          <w:rFonts w:ascii="Garamond" w:hAnsi="Garamond"/>
          <w:sz w:val="24"/>
          <w:szCs w:val="24"/>
        </w:rPr>
        <w:t xml:space="preserve"> ret</w:t>
      </w:r>
      <w:r>
        <w:rPr>
          <w:rFonts w:ascii="Garamond" w:hAnsi="Garamond"/>
          <w:sz w:val="24"/>
          <w:szCs w:val="24"/>
        </w:rPr>
        <w:t>urned</w:t>
      </w:r>
      <w:r w:rsidRPr="003B7496">
        <w:rPr>
          <w:rFonts w:ascii="Garamond" w:hAnsi="Garamond"/>
          <w:sz w:val="24"/>
          <w:szCs w:val="24"/>
        </w:rPr>
        <w:t xml:space="preserve"> </w:t>
      </w:r>
      <w:r>
        <w:rPr>
          <w:rFonts w:ascii="Garamond" w:hAnsi="Garamond"/>
          <w:sz w:val="24"/>
          <w:szCs w:val="24"/>
        </w:rPr>
        <w:t xml:space="preserve">to frequently </w:t>
      </w:r>
      <w:r w:rsidRPr="003B7496">
        <w:rPr>
          <w:rFonts w:ascii="Garamond" w:hAnsi="Garamond"/>
          <w:sz w:val="24"/>
          <w:szCs w:val="24"/>
        </w:rPr>
        <w:t>and worked into new directions</w:t>
      </w:r>
      <w:r>
        <w:rPr>
          <w:rFonts w:ascii="Garamond" w:hAnsi="Garamond"/>
          <w:sz w:val="24"/>
          <w:szCs w:val="24"/>
        </w:rPr>
        <w:t xml:space="preserve">. The chapter was written partly as a counter-narrative to Muskens (2013), </w:t>
      </w:r>
      <w:r>
        <w:rPr>
          <w:rFonts w:ascii="Garamond" w:hAnsi="Garamond"/>
          <w:sz w:val="24"/>
          <w:szCs w:val="24"/>
        </w:rPr>
        <w:lastRenderedPageBreak/>
        <w:t>whose PhD thesis argues that the BOA failed in their antiracist campaigns, and positions</w:t>
      </w:r>
      <w:r w:rsidRPr="003B7496">
        <w:rPr>
          <w:rFonts w:ascii="Garamond" w:hAnsi="Garamond"/>
          <w:sz w:val="24"/>
          <w:szCs w:val="24"/>
        </w:rPr>
        <w:t xml:space="preserve"> </w:t>
      </w:r>
      <w:r>
        <w:rPr>
          <w:rFonts w:ascii="Garamond" w:hAnsi="Garamond"/>
          <w:sz w:val="24"/>
          <w:szCs w:val="24"/>
        </w:rPr>
        <w:t>apartheid as</w:t>
      </w:r>
      <w:r w:rsidRPr="003B7496">
        <w:rPr>
          <w:rFonts w:ascii="Garamond" w:hAnsi="Garamond"/>
          <w:sz w:val="24"/>
          <w:szCs w:val="24"/>
        </w:rPr>
        <w:t xml:space="preserve"> a descendent of German fascism rather than a specific application of wider colonial </w:t>
      </w:r>
      <w:r>
        <w:rPr>
          <w:rFonts w:ascii="Garamond" w:hAnsi="Garamond"/>
          <w:sz w:val="24"/>
          <w:szCs w:val="24"/>
        </w:rPr>
        <w:t xml:space="preserve">and European racisms. </w:t>
      </w:r>
    </w:p>
    <w:p w:rsidR="007F618F" w:rsidRDefault="007F618F" w:rsidP="007F618F">
      <w:pPr>
        <w:spacing w:line="360" w:lineRule="auto"/>
        <w:jc w:val="both"/>
        <w:rPr>
          <w:rFonts w:ascii="Garamond" w:hAnsi="Garamond"/>
          <w:sz w:val="24"/>
          <w:szCs w:val="24"/>
        </w:rPr>
      </w:pPr>
      <w:r>
        <w:rPr>
          <w:rFonts w:ascii="Garamond" w:hAnsi="Garamond"/>
          <w:sz w:val="24"/>
          <w:szCs w:val="24"/>
        </w:rPr>
        <w:t xml:space="preserve">The chapter adds an earlier Dutch case study to Williams' (2013) investigation on the refusal of the British AAM during the 1980s to recognise proximate forms of racism. The narrative submits interview data from BOA activists and Dutch histories of anti-apartheid to a materialist understanding of solidarity. I use empirical data to explain the differences between solidarity as a generative condition materially and socially produced, and solidarity as social capital. BOA cartoons and poetry by Kunene are used to illustrate the BOA's position of wholly racialized worlds; a position which I show enabled their antiracist and solidarity campaigns. This is contrasted with excerpts from Dutch histories of anti-apartheid that argue the fascism thesis of apartheid. Newspaper reports, campaign books and images from both the IISH and du Plessis' private archive show how the BOA pursued proximate antiracist change through urban campaigns and bus tours.         </w:t>
      </w:r>
    </w:p>
    <w:p w:rsidR="00BB49E2" w:rsidRDefault="00BB49E2" w:rsidP="00BB49E2">
      <w:pPr>
        <w:spacing w:after="0" w:line="360" w:lineRule="auto"/>
        <w:jc w:val="both"/>
        <w:rPr>
          <w:rFonts w:ascii="Garamond" w:eastAsia="Times New Roman" w:hAnsi="Garamond" w:cs="Times New Roman"/>
          <w:color w:val="000000"/>
          <w:sz w:val="24"/>
          <w:szCs w:val="24"/>
          <w:shd w:val="clear" w:color="auto" w:fill="FFFFFF"/>
          <w:lang w:eastAsia="en-GB"/>
        </w:rPr>
      </w:pPr>
    </w:p>
    <w:p w:rsidR="00BB49E2" w:rsidRPr="0002611C" w:rsidRDefault="00BB49E2" w:rsidP="00BB49E2">
      <w:pPr>
        <w:pStyle w:val="Heading2"/>
      </w:pPr>
      <w:bookmarkStart w:id="177" w:name="_Toc244424937"/>
      <w:bookmarkStart w:id="178" w:name="_Toc244453623"/>
      <w:bookmarkStart w:id="179" w:name="_Toc244454140"/>
      <w:bookmarkStart w:id="180" w:name="_Toc244469587"/>
      <w:bookmarkStart w:id="181" w:name="_Toc244508043"/>
      <w:bookmarkStart w:id="182" w:name="_Toc244535737"/>
      <w:bookmarkStart w:id="183" w:name="_Toc244578369"/>
      <w:bookmarkStart w:id="184" w:name="_Toc244578753"/>
      <w:bookmarkStart w:id="185" w:name="_Toc263452003"/>
      <w:bookmarkStart w:id="186" w:name="_Toc263510921"/>
      <w:r w:rsidRPr="0002611C">
        <w:t>Thesis Structure</w:t>
      </w:r>
      <w:bookmarkEnd w:id="177"/>
      <w:bookmarkEnd w:id="178"/>
      <w:bookmarkEnd w:id="179"/>
      <w:bookmarkEnd w:id="180"/>
      <w:bookmarkEnd w:id="181"/>
      <w:bookmarkEnd w:id="182"/>
      <w:bookmarkEnd w:id="183"/>
      <w:bookmarkEnd w:id="184"/>
      <w:bookmarkEnd w:id="185"/>
      <w:bookmarkEnd w:id="186"/>
    </w:p>
    <w:p w:rsidR="00BB49E2" w:rsidRDefault="00BB49E2" w:rsidP="00BB49E2">
      <w:pPr>
        <w:spacing w:after="0" w:line="360" w:lineRule="auto"/>
        <w:jc w:val="both"/>
        <w:rPr>
          <w:rFonts w:ascii="Garamond" w:hAnsi="Garamond"/>
          <w:b/>
          <w:sz w:val="24"/>
          <w:szCs w:val="24"/>
        </w:rPr>
      </w:pP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 xml:space="preserve">To provide assistance to the reader to navigate the thesis, I briefly describe the contents of each chapter here. </w:t>
      </w:r>
    </w:p>
    <w:p w:rsidR="00BB49E2" w:rsidRDefault="00BB49E2" w:rsidP="00BB49E2">
      <w:pPr>
        <w:spacing w:after="0" w:line="360" w:lineRule="auto"/>
        <w:jc w:val="both"/>
        <w:rPr>
          <w:rFonts w:ascii="Garamond" w:hAnsi="Garamond" w:cs="Times New Roman"/>
          <w:sz w:val="24"/>
          <w:szCs w:val="24"/>
        </w:rPr>
      </w:pP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In Chapter Two, ‘</w:t>
      </w:r>
      <w:r w:rsidRPr="004B3681">
        <w:rPr>
          <w:rFonts w:ascii="Garamond" w:hAnsi="Garamond" w:cs="Times New Roman"/>
          <w:color w:val="000000"/>
          <w:sz w:val="24"/>
          <w:szCs w:val="24"/>
        </w:rPr>
        <w:t>Approaching commodity boycotts, activist bodywork and the production of race</w:t>
      </w:r>
      <w:r>
        <w:rPr>
          <w:rFonts w:ascii="Garamond" w:hAnsi="Garamond" w:cs="Times New Roman"/>
          <w:color w:val="000000"/>
          <w:sz w:val="24"/>
          <w:szCs w:val="24"/>
        </w:rPr>
        <w:t>’,</w:t>
      </w:r>
      <w:r w:rsidRPr="00861B4B">
        <w:rPr>
          <w:rFonts w:ascii="Garamond" w:hAnsi="Garamond" w:cs="Times New Roman"/>
          <w:i/>
          <w:sz w:val="24"/>
          <w:szCs w:val="24"/>
        </w:rPr>
        <w:t xml:space="preserve"> </w:t>
      </w:r>
      <w:r w:rsidRPr="00DA28AA">
        <w:rPr>
          <w:rFonts w:ascii="Garamond" w:hAnsi="Garamond" w:cs="Times New Roman"/>
          <w:sz w:val="24"/>
          <w:szCs w:val="24"/>
        </w:rPr>
        <w:t xml:space="preserve">I </w:t>
      </w:r>
      <w:r>
        <w:rPr>
          <w:rFonts w:ascii="Garamond" w:hAnsi="Garamond" w:cs="Times New Roman"/>
          <w:sz w:val="24"/>
          <w:szCs w:val="24"/>
        </w:rPr>
        <w:t xml:space="preserve">propose a series of frameworks for investigating commodity boycotts as a form of cultural production, for interpreting bodywork as the affective work of commodity boycotts, and for understanding how race and racializations are produced. Two distinct genealogies of the commodity boycott are outlined, and their associative politics discussed. I show how discerning between ethical consumption and commodity boycotts can be a political exercise, and I introduce activist bodywork in relation to anti-saccharite campaigns. Various types of activisms incorporated by commodity boycotts are highlighted, and I forward my approach to the production of race and racialization.    </w:t>
      </w:r>
    </w:p>
    <w:p w:rsidR="00BB49E2" w:rsidRPr="00DA28AA" w:rsidRDefault="00BB49E2" w:rsidP="00BB49E2">
      <w:pPr>
        <w:spacing w:after="0" w:line="360" w:lineRule="auto"/>
        <w:jc w:val="both"/>
        <w:rPr>
          <w:rFonts w:ascii="Garamond" w:hAnsi="Garamond" w:cs="Times New Roman"/>
          <w:sz w:val="24"/>
          <w:szCs w:val="24"/>
        </w:rPr>
      </w:pP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 xml:space="preserve">Chapter Three, </w:t>
      </w:r>
      <w:r>
        <w:rPr>
          <w:rFonts w:ascii="Garamond" w:hAnsi="Garamond"/>
          <w:sz w:val="24"/>
          <w:szCs w:val="24"/>
        </w:rPr>
        <w:t>‘U</w:t>
      </w:r>
      <w:r w:rsidRPr="004B3681">
        <w:rPr>
          <w:rFonts w:ascii="Garamond" w:hAnsi="Garamond"/>
          <w:sz w:val="24"/>
          <w:szCs w:val="24"/>
        </w:rPr>
        <w:t>nmaking appetites for apartheid and creating reflexive whiteness: Boycott Outspan Action and citrus activism</w:t>
      </w:r>
      <w:r w:rsidRPr="00861B4B">
        <w:rPr>
          <w:rFonts w:ascii="Garamond" w:hAnsi="Garamond"/>
          <w:i/>
          <w:sz w:val="24"/>
          <w:szCs w:val="24"/>
        </w:rPr>
        <w:t xml:space="preserve"> </w:t>
      </w:r>
      <w:r w:rsidRPr="004B3681">
        <w:rPr>
          <w:rFonts w:ascii="Garamond" w:hAnsi="Garamond"/>
          <w:sz w:val="24"/>
          <w:szCs w:val="24"/>
        </w:rPr>
        <w:t>(1970-74)</w:t>
      </w:r>
      <w:r>
        <w:rPr>
          <w:rFonts w:ascii="Garamond" w:hAnsi="Garamond"/>
          <w:sz w:val="24"/>
          <w:szCs w:val="24"/>
        </w:rPr>
        <w:t>’</w:t>
      </w:r>
      <w:r w:rsidRPr="004B3681">
        <w:rPr>
          <w:rFonts w:ascii="Garamond" w:hAnsi="Garamond" w:cs="Times New Roman"/>
          <w:sz w:val="24"/>
          <w:szCs w:val="24"/>
        </w:rPr>
        <w:t>,</w:t>
      </w:r>
      <w:r>
        <w:rPr>
          <w:rFonts w:ascii="Garamond" w:hAnsi="Garamond" w:cs="Times New Roman"/>
          <w:sz w:val="24"/>
          <w:szCs w:val="24"/>
        </w:rPr>
        <w:t xml:space="preserve"> provides a detailed analysis of the BOA's Outspan boycott. Drawing from in-depth interviews with BOA activists, and </w:t>
      </w:r>
      <w:r>
        <w:rPr>
          <w:rFonts w:ascii="Garamond" w:hAnsi="Garamond" w:cs="Times New Roman"/>
          <w:sz w:val="24"/>
          <w:szCs w:val="24"/>
        </w:rPr>
        <w:lastRenderedPageBreak/>
        <w:t xml:space="preserve">interviews and published histories from people involved in Dutch anti-apartheid but outside the organization, I situate the BOA in a wider conflict with both geographical imaginaries of apartheid through Outspan, and whitened elements of Dutch anti-apartheid. The chapter describes how the BOA connected events in South Africa (such as the droughts in black resettlement areas reported on in the international media) with colonialism, citrus and activism. I forward the importance of oranges symbolically and materially to apartheid capitalism and geopolitics, and to the BOA boycott. I analyse the BOA's 'Inspan Girls' campaign, and argue that they constituted a micro anti-colonial movement that sought to contain and reign-in the expansion of apartheid citrus capitalism </w:t>
      </w:r>
      <w:r w:rsidRPr="000D75BC">
        <w:rPr>
          <w:rFonts w:ascii="Garamond" w:hAnsi="Garamond" w:cs="Times New Roman"/>
          <w:i/>
          <w:sz w:val="24"/>
          <w:szCs w:val="24"/>
        </w:rPr>
        <w:t>and</w:t>
      </w:r>
      <w:r>
        <w:rPr>
          <w:rFonts w:ascii="Garamond" w:hAnsi="Garamond" w:cs="Times New Roman"/>
          <w:sz w:val="24"/>
          <w:szCs w:val="24"/>
        </w:rPr>
        <w:t xml:space="preserve"> contest the normalization of patriarchal and racist knowledge about South Africa.</w:t>
      </w: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 xml:space="preserve"> </w:t>
      </w:r>
    </w:p>
    <w:p w:rsidR="00BB49E2" w:rsidRDefault="00BB49E2" w:rsidP="00BB49E2">
      <w:pPr>
        <w:spacing w:after="0" w:line="360" w:lineRule="auto"/>
        <w:jc w:val="both"/>
        <w:rPr>
          <w:rFonts w:ascii="Garamond" w:hAnsi="Garamond" w:cs="Times New Roman"/>
          <w:sz w:val="24"/>
          <w:szCs w:val="24"/>
        </w:rPr>
      </w:pPr>
      <w:r>
        <w:rPr>
          <w:rFonts w:ascii="Garamond" w:hAnsi="Garamond" w:cs="Times New Roman"/>
          <w:sz w:val="24"/>
          <w:szCs w:val="24"/>
        </w:rPr>
        <w:t>Chapter Four, ‘“</w:t>
      </w:r>
      <w:r w:rsidRPr="004B3681">
        <w:rPr>
          <w:rFonts w:ascii="Garamond" w:hAnsi="Garamond" w:cs="Times New Roman"/>
          <w:sz w:val="24"/>
          <w:szCs w:val="24"/>
        </w:rPr>
        <w:t>Do you like the taste of children being exploited?</w:t>
      </w:r>
      <w:r>
        <w:rPr>
          <w:rFonts w:ascii="Garamond" w:hAnsi="Garamond" w:cs="Times New Roman"/>
          <w:sz w:val="24"/>
          <w:szCs w:val="24"/>
        </w:rPr>
        <w:t>”</w:t>
      </w:r>
      <w:r w:rsidRPr="004B3681">
        <w:rPr>
          <w:rFonts w:ascii="Garamond" w:hAnsi="Garamond" w:cs="Times New Roman"/>
          <w:sz w:val="24"/>
          <w:szCs w:val="24"/>
        </w:rPr>
        <w:t xml:space="preserve">: </w:t>
      </w:r>
      <w:r>
        <w:rPr>
          <w:rFonts w:ascii="Garamond" w:hAnsi="Garamond"/>
          <w:sz w:val="24"/>
          <w:szCs w:val="24"/>
        </w:rPr>
        <w:t>C</w:t>
      </w:r>
      <w:r w:rsidRPr="004B3681">
        <w:rPr>
          <w:rFonts w:ascii="Garamond" w:hAnsi="Garamond"/>
          <w:sz w:val="24"/>
          <w:szCs w:val="24"/>
        </w:rPr>
        <w:t>hocolate, purity and childhood in Stop The Traffik's bodywork</w:t>
      </w:r>
      <w:r>
        <w:rPr>
          <w:rFonts w:ascii="Garamond" w:hAnsi="Garamond"/>
          <w:sz w:val="24"/>
          <w:szCs w:val="24"/>
        </w:rPr>
        <w:t>’</w:t>
      </w:r>
      <w:r w:rsidRPr="004B3681">
        <w:rPr>
          <w:rFonts w:ascii="Garamond" w:hAnsi="Garamond"/>
          <w:sz w:val="24"/>
          <w:szCs w:val="24"/>
        </w:rPr>
        <w:t>,</w:t>
      </w:r>
      <w:r>
        <w:rPr>
          <w:rFonts w:ascii="Garamond" w:hAnsi="Garamond"/>
          <w:sz w:val="24"/>
          <w:szCs w:val="24"/>
        </w:rPr>
        <w:t xml:space="preserve"> </w:t>
      </w:r>
      <w:r w:rsidRPr="00DA28AA">
        <w:rPr>
          <w:rFonts w:ascii="Garamond" w:hAnsi="Garamond" w:cs="Times New Roman"/>
          <w:sz w:val="24"/>
          <w:szCs w:val="24"/>
        </w:rPr>
        <w:t>argues that STT alternate between two distinctive childhood-chocolate topoi so as to pursue advocacy within the chocolate industry, to intervene in everyday consumption routines, and to enable the marketing of fair</w:t>
      </w:r>
      <w:r>
        <w:rPr>
          <w:rFonts w:ascii="Garamond" w:hAnsi="Garamond" w:cs="Times New Roman"/>
          <w:sz w:val="24"/>
          <w:szCs w:val="24"/>
        </w:rPr>
        <w:t xml:space="preserve"> </w:t>
      </w:r>
      <w:r w:rsidRPr="00DA28AA">
        <w:rPr>
          <w:rFonts w:ascii="Garamond" w:hAnsi="Garamond" w:cs="Times New Roman"/>
          <w:sz w:val="24"/>
          <w:szCs w:val="24"/>
        </w:rPr>
        <w:t>trade chocolate and anti-tr</w:t>
      </w:r>
      <w:r>
        <w:rPr>
          <w:rFonts w:ascii="Garamond" w:hAnsi="Garamond" w:cs="Times New Roman"/>
          <w:sz w:val="24"/>
          <w:szCs w:val="24"/>
        </w:rPr>
        <w:t>afficking to consumers and strategic actors in the provisioning of chocolate</w:t>
      </w:r>
      <w:r w:rsidRPr="00DA28AA">
        <w:rPr>
          <w:rFonts w:ascii="Garamond" w:hAnsi="Garamond" w:cs="Times New Roman"/>
          <w:sz w:val="24"/>
          <w:szCs w:val="24"/>
        </w:rPr>
        <w:t xml:space="preserve">. </w:t>
      </w:r>
      <w:r>
        <w:rPr>
          <w:rFonts w:ascii="Garamond" w:hAnsi="Garamond" w:cs="Times New Roman"/>
          <w:sz w:val="24"/>
          <w:szCs w:val="24"/>
        </w:rPr>
        <w:t>Through interview data and visual analyses of campaign materials, the chapter considers how the embodied relationships between childhood and chocolate and childhood and purity are brought together by STT. I contextualize cocoa production within anti-trafficking and fair trade, chocolate activism within a politics of globalizing responsibility, and I show the various uses of chocolate activism to STT's broader work as an anti-trafficking coalition. I critique the ways chocolate activism is historicized in the organization, and I show how anthropophagia is deployed in the child-producer topos. I demonstrate how historical tropes of white heroism, black hostile landscapes and masculinities, and trepanning are reworked to make the topos meaningful and emotional. The cult of celebrity and the use of convivial and fun activisms are examined in relation to the child-consumer topos. I show how this topos displaces the consumer through dispersed practices, and I example how it is situated in Tunbridge Wells as part of a Fairtrade Town campaign.</w:t>
      </w:r>
    </w:p>
    <w:p w:rsidR="00BB49E2" w:rsidRPr="00DA28AA" w:rsidRDefault="00BB49E2" w:rsidP="00BB49E2">
      <w:pPr>
        <w:spacing w:after="0" w:line="360" w:lineRule="auto"/>
        <w:jc w:val="both"/>
        <w:rPr>
          <w:rFonts w:ascii="Garamond" w:hAnsi="Garamond" w:cs="Times New Roman"/>
          <w:sz w:val="24"/>
          <w:szCs w:val="24"/>
        </w:rPr>
      </w:pPr>
    </w:p>
    <w:p w:rsidR="00BB49E2" w:rsidRPr="0040764F" w:rsidRDefault="00BB49E2" w:rsidP="00BB49E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Chapter Five, ‘</w:t>
      </w:r>
      <w:r w:rsidRPr="004B3681">
        <w:rPr>
          <w:rFonts w:ascii="Garamond" w:hAnsi="Garamond"/>
          <w:sz w:val="24"/>
          <w:szCs w:val="24"/>
        </w:rPr>
        <w:t>The production of race in the bodywork and campaigns of the Stop The Traffik</w:t>
      </w:r>
      <w:r>
        <w:rPr>
          <w:rFonts w:ascii="Garamond" w:hAnsi="Garamond"/>
          <w:sz w:val="24"/>
          <w:szCs w:val="24"/>
        </w:rPr>
        <w:t>’</w:t>
      </w:r>
      <w:r>
        <w:rPr>
          <w:rFonts w:ascii="Garamond" w:hAnsi="Garamond"/>
          <w:i/>
          <w:sz w:val="24"/>
          <w:szCs w:val="24"/>
        </w:rPr>
        <w:t>,</w:t>
      </w:r>
      <w:r>
        <w:rPr>
          <w:rFonts w:ascii="Garamond" w:hAnsi="Garamond" w:cs="Times New Roman"/>
          <w:sz w:val="24"/>
          <w:szCs w:val="24"/>
        </w:rPr>
        <w:t xml:space="preserve"> examines how STT intervene in the production of race across two entwined contexts (communicating responsibility to consumers and lobbying stakeholders in the chocolate food production network). Across the first context I identify different means</w:t>
      </w:r>
      <w:r w:rsidRPr="00473B8C">
        <w:rPr>
          <w:rFonts w:ascii="Garamond" w:hAnsi="Garamond"/>
          <w:sz w:val="24"/>
          <w:szCs w:val="24"/>
        </w:rPr>
        <w:t xml:space="preserve"> </w:t>
      </w:r>
      <w:r w:rsidRPr="00473B8C">
        <w:rPr>
          <w:rFonts w:ascii="Garamond" w:hAnsi="Garamond"/>
          <w:sz w:val="24"/>
          <w:szCs w:val="24"/>
        </w:rPr>
        <w:lastRenderedPageBreak/>
        <w:t xml:space="preserve">for structuring affect and engagement with a ‘chocolate ethics’, </w:t>
      </w:r>
      <w:r>
        <w:rPr>
          <w:rFonts w:ascii="Garamond" w:hAnsi="Garamond"/>
          <w:sz w:val="24"/>
          <w:szCs w:val="24"/>
        </w:rPr>
        <w:t>and I argue that STT contribute to</w:t>
      </w:r>
      <w:r w:rsidRPr="00473B8C">
        <w:rPr>
          <w:rFonts w:ascii="Garamond" w:hAnsi="Garamond"/>
          <w:sz w:val="24"/>
          <w:szCs w:val="24"/>
        </w:rPr>
        <w:t xml:space="preserve"> racial production, consumption and denial at a variety of scales</w:t>
      </w:r>
      <w:r>
        <w:rPr>
          <w:rFonts w:ascii="Garamond" w:hAnsi="Garamond"/>
          <w:sz w:val="24"/>
          <w:szCs w:val="24"/>
        </w:rPr>
        <w:t>.</w:t>
      </w:r>
      <w:r>
        <w:rPr>
          <w:rFonts w:ascii="Garamond" w:hAnsi="Garamond" w:cs="Times New Roman"/>
          <w:sz w:val="24"/>
          <w:szCs w:val="24"/>
        </w:rPr>
        <w:t xml:space="preserve"> I show that the democratization of anti-trafficking solidarity to all those who buy into fair trade comes with the challenge of including farmers into negotiations rather than representing them through racialized stereotypes. I outline the communication problems faced by STT through three types of politics (humanitarian, mainstream developmental discourse, and post-humanitarian ethico-politics). The second section of the chapter analyses how STT Amsterdam intervene in the political economy of cocoa; here I show the value of historical materialist </w:t>
      </w:r>
      <w:r w:rsidRPr="0040764F">
        <w:rPr>
          <w:rFonts w:ascii="Garamond" w:hAnsi="Garamond" w:cs="Times New Roman"/>
          <w:sz w:val="24"/>
          <w:szCs w:val="24"/>
        </w:rPr>
        <w:t>work on the dynamics of c</w:t>
      </w:r>
      <w:r>
        <w:rPr>
          <w:rFonts w:ascii="Garamond" w:hAnsi="Garamond" w:cs="Times New Roman"/>
          <w:sz w:val="24"/>
          <w:szCs w:val="24"/>
        </w:rPr>
        <w:t>apitalist accumulation in analys</w:t>
      </w:r>
      <w:r w:rsidRPr="0040764F">
        <w:rPr>
          <w:rFonts w:ascii="Garamond" w:hAnsi="Garamond" w:cs="Times New Roman"/>
          <w:sz w:val="24"/>
          <w:szCs w:val="24"/>
        </w:rPr>
        <w:t xml:space="preserve">ing the cocoa industry with </w:t>
      </w:r>
      <w:r>
        <w:rPr>
          <w:rFonts w:ascii="Garamond" w:hAnsi="Garamond" w:cs="Times New Roman"/>
          <w:sz w:val="24"/>
          <w:szCs w:val="24"/>
        </w:rPr>
        <w:t>relation to</w:t>
      </w:r>
      <w:r w:rsidRPr="0040764F">
        <w:rPr>
          <w:rFonts w:ascii="Garamond" w:hAnsi="Garamond" w:cs="Times New Roman"/>
          <w:sz w:val="24"/>
          <w:szCs w:val="24"/>
        </w:rPr>
        <w:t xml:space="preserve"> the </w:t>
      </w:r>
      <w:r w:rsidRPr="0040764F">
        <w:rPr>
          <w:rFonts w:ascii="Garamond" w:hAnsi="Garamond" w:cs="Arial"/>
          <w:sz w:val="24"/>
          <w:szCs w:val="24"/>
          <w:shd w:val="clear" w:color="auto" w:fill="FFFFFF"/>
        </w:rPr>
        <w:t>Côte</w:t>
      </w:r>
      <w:r w:rsidRPr="0040764F">
        <w:rPr>
          <w:rFonts w:ascii="Garamond" w:hAnsi="Garamond" w:cs="Times New Roman"/>
          <w:sz w:val="24"/>
          <w:szCs w:val="24"/>
        </w:rPr>
        <w:t xml:space="preserve"> d’Ivoire</w:t>
      </w:r>
      <w:r>
        <w:rPr>
          <w:rFonts w:ascii="Garamond" w:hAnsi="Garamond" w:cs="Times New Roman"/>
          <w:sz w:val="24"/>
          <w:szCs w:val="24"/>
        </w:rPr>
        <w:t xml:space="preserve"> and STT's work in lobbying cocoa stakeholders. I propose that STT Amsterdam look to problematize the wider capitalist imperialisms and associated racializations within chocolate production and consumption networks.</w:t>
      </w:r>
    </w:p>
    <w:p w:rsidR="00BB49E2" w:rsidRPr="009B45C0" w:rsidRDefault="00BB49E2" w:rsidP="00BB49E2">
      <w:pPr>
        <w:autoSpaceDE w:val="0"/>
        <w:autoSpaceDN w:val="0"/>
        <w:adjustRightInd w:val="0"/>
        <w:spacing w:after="0" w:line="360" w:lineRule="auto"/>
        <w:jc w:val="both"/>
        <w:rPr>
          <w:rFonts w:ascii="Garamond" w:hAnsi="Garamond" w:cs="Times New Roman"/>
          <w:sz w:val="24"/>
          <w:szCs w:val="24"/>
        </w:rPr>
      </w:pPr>
    </w:p>
    <w:p w:rsidR="00BB49E2" w:rsidRDefault="00BB49E2" w:rsidP="00BB49E2">
      <w:pPr>
        <w:spacing w:after="0" w:line="360" w:lineRule="auto"/>
        <w:jc w:val="both"/>
        <w:rPr>
          <w:rFonts w:ascii="Garamond" w:hAnsi="Garamond"/>
          <w:sz w:val="24"/>
          <w:szCs w:val="24"/>
        </w:rPr>
      </w:pPr>
      <w:r>
        <w:rPr>
          <w:rFonts w:ascii="Garamond" w:hAnsi="Garamond" w:cs="Times New Roman"/>
          <w:sz w:val="24"/>
          <w:szCs w:val="24"/>
        </w:rPr>
        <w:t>Chapter Six</w:t>
      </w:r>
      <w:r w:rsidRPr="009B45C0">
        <w:rPr>
          <w:rFonts w:ascii="Garamond" w:hAnsi="Garamond" w:cs="Times New Roman"/>
          <w:sz w:val="24"/>
          <w:szCs w:val="24"/>
        </w:rPr>
        <w:t xml:space="preserve">, </w:t>
      </w:r>
      <w:r w:rsidRPr="004B3681">
        <w:rPr>
          <w:rFonts w:ascii="Garamond" w:hAnsi="Garamond" w:cs="Times New Roman"/>
          <w:sz w:val="24"/>
          <w:szCs w:val="24"/>
        </w:rPr>
        <w:t>‘</w:t>
      </w:r>
      <w:r w:rsidRPr="004B3681">
        <w:rPr>
          <w:rFonts w:ascii="Garamond" w:hAnsi="Garamond"/>
          <w:sz w:val="24"/>
          <w:szCs w:val="24"/>
        </w:rPr>
        <w:t>Contesting white migrant identities: the BOA in anti-emigration and the apartheid 'war of imagination (1974-75)’</w:t>
      </w:r>
      <w:r>
        <w:rPr>
          <w:rFonts w:ascii="Garamond" w:hAnsi="Garamond"/>
          <w:sz w:val="24"/>
          <w:szCs w:val="24"/>
        </w:rPr>
        <w:t>,</w:t>
      </w:r>
      <w:r w:rsidRPr="009B45C0">
        <w:rPr>
          <w:rFonts w:ascii="Garamond" w:hAnsi="Garamond" w:cs="Times New Roman"/>
          <w:sz w:val="24"/>
          <w:szCs w:val="24"/>
        </w:rPr>
        <w:t xml:space="preserve"> studies the BOA's national and transnational campaigns against white migration to South Africa, and explores how the BOA adapted bodywork and media tactics from the Outspan boycott to emote racialized fear and subvert white capitalist imaginaries of South Africa. </w:t>
      </w:r>
      <w:r>
        <w:rPr>
          <w:rFonts w:ascii="Garamond" w:hAnsi="Garamond" w:cs="Times New Roman"/>
          <w:sz w:val="24"/>
          <w:szCs w:val="24"/>
        </w:rPr>
        <w:t>As</w:t>
      </w:r>
      <w:r w:rsidRPr="009B45C0">
        <w:rPr>
          <w:rFonts w:ascii="Garamond" w:hAnsi="Garamond" w:cs="Times New Roman"/>
          <w:sz w:val="24"/>
          <w:szCs w:val="24"/>
        </w:rPr>
        <w:t xml:space="preserve"> </w:t>
      </w:r>
      <w:r>
        <w:rPr>
          <w:rFonts w:ascii="Garamond" w:hAnsi="Garamond" w:cs="Times New Roman"/>
          <w:sz w:val="24"/>
          <w:szCs w:val="24"/>
        </w:rPr>
        <w:t xml:space="preserve">the </w:t>
      </w:r>
      <w:r w:rsidRPr="009B45C0">
        <w:rPr>
          <w:rFonts w:ascii="Garamond" w:hAnsi="Garamond" w:cs="Times New Roman"/>
          <w:sz w:val="24"/>
          <w:szCs w:val="24"/>
        </w:rPr>
        <w:t>first scholastic study of the anti-apartheid campaign against white migration</w:t>
      </w:r>
      <w:r>
        <w:rPr>
          <w:rFonts w:ascii="Garamond" w:hAnsi="Garamond" w:cs="Times New Roman"/>
          <w:sz w:val="24"/>
          <w:szCs w:val="24"/>
        </w:rPr>
        <w:t>,</w:t>
      </w:r>
      <w:r w:rsidRPr="009B45C0">
        <w:rPr>
          <w:rFonts w:ascii="Garamond" w:hAnsi="Garamond" w:cs="Times New Roman"/>
          <w:sz w:val="24"/>
          <w:szCs w:val="24"/>
        </w:rPr>
        <w:t xml:space="preserve"> I </w:t>
      </w:r>
      <w:r>
        <w:rPr>
          <w:rFonts w:ascii="Garamond" w:hAnsi="Garamond" w:cs="Times New Roman"/>
          <w:sz w:val="24"/>
          <w:szCs w:val="24"/>
        </w:rPr>
        <w:t>show why white migration mattered, and I analyse the 'war of representation' between pro- and anti-apartheid lobbies centred on the figure of the white migrant. I consider</w:t>
      </w:r>
      <w:r w:rsidRPr="009B45C0">
        <w:rPr>
          <w:rFonts w:ascii="Garamond" w:hAnsi="Garamond" w:cs="Times New Roman"/>
          <w:sz w:val="24"/>
          <w:szCs w:val="24"/>
        </w:rPr>
        <w:t xml:space="preserve"> how the </w:t>
      </w:r>
      <w:r w:rsidRPr="009B45C0">
        <w:rPr>
          <w:rFonts w:ascii="Garamond" w:hAnsi="Garamond"/>
          <w:sz w:val="24"/>
          <w:szCs w:val="24"/>
        </w:rPr>
        <w:t>BOA</w:t>
      </w:r>
      <w:r>
        <w:rPr>
          <w:rFonts w:ascii="Garamond" w:hAnsi="Garamond"/>
          <w:sz w:val="24"/>
          <w:szCs w:val="24"/>
        </w:rPr>
        <w:t xml:space="preserve"> publicized and contested the</w:t>
      </w:r>
      <w:r w:rsidRPr="009B45C0">
        <w:rPr>
          <w:rFonts w:ascii="Garamond" w:hAnsi="Garamond"/>
          <w:sz w:val="24"/>
          <w:szCs w:val="24"/>
        </w:rPr>
        <w:t xml:space="preserve"> embodied white transnationalism that brought an eclect</w:t>
      </w:r>
      <w:r>
        <w:rPr>
          <w:rFonts w:ascii="Garamond" w:hAnsi="Garamond"/>
          <w:sz w:val="24"/>
          <w:szCs w:val="24"/>
        </w:rPr>
        <w:t>ic scope of political, cultural</w:t>
      </w:r>
      <w:r w:rsidRPr="009B45C0">
        <w:rPr>
          <w:rFonts w:ascii="Garamond" w:hAnsi="Garamond"/>
          <w:sz w:val="24"/>
          <w:szCs w:val="24"/>
        </w:rPr>
        <w:t xml:space="preserve"> and capitalist actors</w:t>
      </w:r>
      <w:r w:rsidRPr="009B45C0">
        <w:rPr>
          <w:rFonts w:ascii="Garamond" w:hAnsi="Garamond" w:cs="Times New Roman"/>
          <w:sz w:val="24"/>
          <w:szCs w:val="24"/>
        </w:rPr>
        <w:t xml:space="preserve"> </w:t>
      </w:r>
      <w:r w:rsidRPr="009B45C0">
        <w:rPr>
          <w:rFonts w:ascii="Garamond" w:hAnsi="Garamond"/>
          <w:sz w:val="24"/>
          <w:szCs w:val="24"/>
        </w:rPr>
        <w:t xml:space="preserve">to facilitate white migration to South Africa. </w:t>
      </w:r>
      <w:r>
        <w:rPr>
          <w:rFonts w:ascii="Garamond" w:hAnsi="Garamond"/>
          <w:sz w:val="24"/>
          <w:szCs w:val="24"/>
        </w:rPr>
        <w:t xml:space="preserve">The chapter provides a detailed empirical focus on the activation of the campaign following requests from the </w:t>
      </w:r>
      <w:r w:rsidR="002706A8">
        <w:rPr>
          <w:rFonts w:ascii="Garamond" w:hAnsi="Garamond"/>
          <w:sz w:val="24"/>
          <w:szCs w:val="24"/>
        </w:rPr>
        <w:t>African National Congress (</w:t>
      </w:r>
      <w:r>
        <w:rPr>
          <w:rFonts w:ascii="Garamond" w:hAnsi="Garamond"/>
          <w:sz w:val="24"/>
          <w:szCs w:val="24"/>
        </w:rPr>
        <w:t>ANC</w:t>
      </w:r>
      <w:r w:rsidR="002706A8">
        <w:rPr>
          <w:rFonts w:ascii="Garamond" w:hAnsi="Garamond"/>
          <w:sz w:val="24"/>
          <w:szCs w:val="24"/>
        </w:rPr>
        <w:t>)</w:t>
      </w:r>
      <w:r>
        <w:rPr>
          <w:rFonts w:ascii="Garamond" w:hAnsi="Garamond"/>
          <w:sz w:val="24"/>
          <w:szCs w:val="24"/>
        </w:rPr>
        <w:t xml:space="preserve"> and SACTU, an analysis of the BOA's mobilization of the Dutch press, and a situated account of the communications between national AAMs, supra-national organizations and the BOA. I explain how the BOA and other international AAMs attempted to dismantle the racial assemblages of white migration through the deployment of pedagogy and racialized fear. The attempted boycott of white migration resulted from responding to specific demands from the World Council of Churches, the ANC and </w:t>
      </w:r>
      <w:r w:rsidR="002706A8">
        <w:rPr>
          <w:rFonts w:ascii="Garamond" w:hAnsi="Garamond"/>
          <w:sz w:val="24"/>
          <w:szCs w:val="24"/>
        </w:rPr>
        <w:t>the South African Congress of Trade Unions (</w:t>
      </w:r>
      <w:r>
        <w:rPr>
          <w:rFonts w:ascii="Garamond" w:hAnsi="Garamond"/>
          <w:sz w:val="24"/>
          <w:szCs w:val="24"/>
        </w:rPr>
        <w:t>SACTU</w:t>
      </w:r>
      <w:r w:rsidR="002706A8">
        <w:rPr>
          <w:rFonts w:ascii="Garamond" w:hAnsi="Garamond"/>
          <w:sz w:val="24"/>
          <w:szCs w:val="24"/>
        </w:rPr>
        <w:t>)</w:t>
      </w:r>
      <w:r>
        <w:rPr>
          <w:rFonts w:ascii="Garamond" w:hAnsi="Garamond"/>
          <w:sz w:val="24"/>
          <w:szCs w:val="24"/>
        </w:rPr>
        <w:t xml:space="preserve">, so I consider the campaign as a means for constructing several types of solidarity. I conclude by showing that more than waging a war of representation, the BOA engaged in a war over imagination, seeking to hold a mirror up to racist mentalities, and dismantle white </w:t>
      </w:r>
      <w:r>
        <w:rPr>
          <w:rFonts w:ascii="Garamond" w:hAnsi="Garamond"/>
          <w:sz w:val="24"/>
          <w:szCs w:val="24"/>
        </w:rPr>
        <w:lastRenderedPageBreak/>
        <w:t>geographical imaginations of South Africa as a welcoming home, or a friendly place to visit.</w:t>
      </w:r>
    </w:p>
    <w:p w:rsidR="00BB49E2" w:rsidRPr="009B45C0" w:rsidRDefault="00BB49E2" w:rsidP="00BB49E2">
      <w:pPr>
        <w:spacing w:after="0" w:line="360" w:lineRule="auto"/>
        <w:jc w:val="both"/>
        <w:rPr>
          <w:rFonts w:ascii="Garamond" w:hAnsi="Garamond"/>
          <w:sz w:val="24"/>
          <w:szCs w:val="24"/>
        </w:rPr>
      </w:pPr>
    </w:p>
    <w:p w:rsidR="006579E1" w:rsidRPr="006579E1" w:rsidRDefault="00BB49E2" w:rsidP="006579E1">
      <w:pPr>
        <w:spacing w:after="0" w:line="360" w:lineRule="auto"/>
        <w:jc w:val="both"/>
        <w:rPr>
          <w:rFonts w:ascii="Garamond" w:hAnsi="Garamond" w:cs="Times New Roman"/>
          <w:sz w:val="24"/>
          <w:szCs w:val="24"/>
        </w:rPr>
      </w:pPr>
      <w:r>
        <w:rPr>
          <w:rFonts w:ascii="Garamond" w:hAnsi="Garamond" w:cs="Times New Roman"/>
          <w:sz w:val="24"/>
          <w:szCs w:val="24"/>
        </w:rPr>
        <w:t>Chapter Seven, ‘</w:t>
      </w:r>
      <w:r w:rsidRPr="004B3681">
        <w:rPr>
          <w:rFonts w:ascii="Garamond" w:hAnsi="Garamond" w:cs="Times New Roman"/>
          <w:sz w:val="24"/>
          <w:szCs w:val="24"/>
        </w:rPr>
        <w:t>Racism here</w:t>
      </w:r>
      <w:r>
        <w:rPr>
          <w:rFonts w:ascii="Garamond" w:hAnsi="Garamond" w:cs="Times New Roman"/>
          <w:sz w:val="24"/>
          <w:szCs w:val="24"/>
        </w:rPr>
        <w:t>,</w:t>
      </w:r>
      <w:r w:rsidRPr="004B3681">
        <w:rPr>
          <w:rFonts w:ascii="Garamond" w:hAnsi="Garamond" w:cs="Times New Roman"/>
          <w:sz w:val="24"/>
          <w:szCs w:val="24"/>
        </w:rPr>
        <w:t xml:space="preserve"> apartheid there: </w:t>
      </w:r>
      <w:r w:rsidRPr="004B3681">
        <w:rPr>
          <w:rFonts w:ascii="Garamond" w:hAnsi="Garamond"/>
          <w:sz w:val="24"/>
          <w:szCs w:val="24"/>
        </w:rPr>
        <w:t>The BOA and contesting distanciated and proximate racisms (1977-1990</w:t>
      </w:r>
      <w:r w:rsidRPr="004B3681">
        <w:rPr>
          <w:rFonts w:ascii="Times New Roman" w:hAnsi="Times New Roman"/>
          <w:sz w:val="24"/>
          <w:szCs w:val="24"/>
        </w:rPr>
        <w:t>)</w:t>
      </w:r>
      <w:r>
        <w:rPr>
          <w:rFonts w:ascii="Times New Roman" w:hAnsi="Times New Roman"/>
          <w:sz w:val="24"/>
          <w:szCs w:val="24"/>
        </w:rPr>
        <w:t>’,</w:t>
      </w:r>
      <w:r w:rsidRPr="00DA28AA">
        <w:rPr>
          <w:rFonts w:ascii="Garamond" w:hAnsi="Garamond" w:cs="Times New Roman"/>
          <w:sz w:val="24"/>
          <w:szCs w:val="24"/>
        </w:rPr>
        <w:t xml:space="preserve"> examines the BOA's</w:t>
      </w:r>
      <w:r>
        <w:rPr>
          <w:rFonts w:ascii="Garamond" w:hAnsi="Garamond" w:cs="Times New Roman"/>
          <w:sz w:val="24"/>
          <w:szCs w:val="24"/>
        </w:rPr>
        <w:t xml:space="preserve"> refusal to separate antiracism from anti-apartheid and the</w:t>
      </w:r>
      <w:r w:rsidRPr="00DA28AA">
        <w:rPr>
          <w:rFonts w:ascii="Garamond" w:hAnsi="Garamond" w:cs="Times New Roman"/>
          <w:sz w:val="24"/>
          <w:szCs w:val="24"/>
        </w:rPr>
        <w:t xml:space="preserve"> production of antiracist solidarities through tr</w:t>
      </w:r>
      <w:r>
        <w:rPr>
          <w:rFonts w:ascii="Garamond" w:hAnsi="Garamond" w:cs="Times New Roman"/>
          <w:sz w:val="24"/>
          <w:szCs w:val="24"/>
        </w:rPr>
        <w:t>ansnational trade unionism and the</w:t>
      </w:r>
      <w:r w:rsidRPr="00DA28AA">
        <w:rPr>
          <w:rFonts w:ascii="Garamond" w:hAnsi="Garamond" w:cs="Times New Roman"/>
          <w:sz w:val="24"/>
          <w:szCs w:val="24"/>
        </w:rPr>
        <w:t xml:space="preserve"> 'home front'. </w:t>
      </w:r>
      <w:r>
        <w:rPr>
          <w:rFonts w:ascii="Garamond" w:hAnsi="Garamond" w:cs="Times New Roman"/>
          <w:sz w:val="24"/>
          <w:szCs w:val="24"/>
        </w:rPr>
        <w:t xml:space="preserve">The first section broadly outlines some key differences between antiracism and anti-apartheid, and then extrapolating from empirical material, shows how the BOA applied a framework for conceiving apartheid as an application and extension of European racisms. I explain that when put into practice, this interpretation was antagonistic to more commonplace Dutch understandings of apartheid as a descendent of German fascism, and I propose that this distinction continues to have profound implications on the way Dutch anti-apartheid is historicized. The second section argues that the BOA </w:t>
      </w:r>
      <w:r w:rsidRPr="00727FCF">
        <w:rPr>
          <w:rFonts w:ascii="Garamond" w:hAnsi="Garamond"/>
          <w:sz w:val="24"/>
          <w:szCs w:val="24"/>
        </w:rPr>
        <w:t xml:space="preserve">practiced </w:t>
      </w:r>
      <w:r>
        <w:rPr>
          <w:rFonts w:ascii="Garamond" w:hAnsi="Garamond"/>
          <w:sz w:val="24"/>
          <w:szCs w:val="24"/>
        </w:rPr>
        <w:t>‘racism here, apartheid there’</w:t>
      </w:r>
      <w:r w:rsidRPr="00727FCF">
        <w:rPr>
          <w:rFonts w:ascii="Garamond" w:hAnsi="Garamond"/>
          <w:sz w:val="24"/>
          <w:szCs w:val="24"/>
        </w:rPr>
        <w:t xml:space="preserve"> through constructing local (consumer-activist) and international (labour) solidarities</w:t>
      </w:r>
      <w:r>
        <w:rPr>
          <w:rFonts w:ascii="Garamond" w:hAnsi="Garamond"/>
          <w:sz w:val="24"/>
          <w:szCs w:val="24"/>
        </w:rPr>
        <w:t>.</w:t>
      </w:r>
      <w:r w:rsidRPr="00DA28AA">
        <w:rPr>
          <w:rFonts w:ascii="Garamond" w:hAnsi="Garamond" w:cs="Times New Roman"/>
          <w:sz w:val="24"/>
          <w:szCs w:val="24"/>
        </w:rPr>
        <w:t xml:space="preserve"> </w:t>
      </w:r>
      <w:r>
        <w:rPr>
          <w:rFonts w:ascii="Garamond" w:hAnsi="Garamond" w:cs="Times New Roman"/>
          <w:sz w:val="24"/>
          <w:szCs w:val="24"/>
        </w:rPr>
        <w:t>The BOA International Trade Union Congress of 1977, and the activisms of the</w:t>
      </w:r>
      <w:r w:rsidRPr="00DA28AA">
        <w:rPr>
          <w:rFonts w:ascii="Garamond" w:hAnsi="Garamond" w:cs="Times New Roman"/>
          <w:sz w:val="24"/>
          <w:szCs w:val="24"/>
        </w:rPr>
        <w:t xml:space="preserve"> anti-apartheid and antiracist bus tours and fir</w:t>
      </w:r>
      <w:r>
        <w:rPr>
          <w:rFonts w:ascii="Garamond" w:hAnsi="Garamond" w:cs="Times New Roman"/>
          <w:sz w:val="24"/>
          <w:szCs w:val="24"/>
        </w:rPr>
        <w:t>st urban campaign, are analysed and situated as part of a politics of propinquity (Amin, 2002), as well as in relation to</w:t>
      </w:r>
      <w:r w:rsidRPr="00DA28AA">
        <w:rPr>
          <w:rFonts w:ascii="Garamond" w:hAnsi="Garamond" w:cs="Times New Roman"/>
          <w:sz w:val="24"/>
          <w:szCs w:val="24"/>
        </w:rPr>
        <w:t xml:space="preserve"> white and nationalist elements </w:t>
      </w:r>
      <w:r w:rsidRPr="006579E1">
        <w:rPr>
          <w:rFonts w:ascii="Garamond" w:hAnsi="Garamond" w:cs="Times New Roman"/>
          <w:sz w:val="24"/>
          <w:szCs w:val="24"/>
        </w:rPr>
        <w:t>of Dutch anti-apartheid. To conclude, I draw on work on antiracist solidarity by Hooker (2009), Featherstone (2012) and Koopman (2008), and from scholarship on anti-apartheid solidarity by Brown and Yaffe (2013), to show how the urban campaigns and the bus tours worked to encourage the Dutch to unlearn privileg</w:t>
      </w:r>
      <w:r w:rsidR="00D819BA" w:rsidRPr="006579E1">
        <w:rPr>
          <w:rFonts w:ascii="Garamond" w:hAnsi="Garamond" w:cs="Times New Roman"/>
          <w:sz w:val="24"/>
          <w:szCs w:val="24"/>
        </w:rPr>
        <w:t>e and 'see the</w:t>
      </w:r>
      <w:r w:rsidR="00417E04">
        <w:rPr>
          <w:rFonts w:ascii="Garamond" w:hAnsi="Garamond" w:cs="Times New Roman"/>
          <w:sz w:val="24"/>
          <w:szCs w:val="24"/>
        </w:rPr>
        <w:t>mselves whitely'</w:t>
      </w:r>
      <w:r w:rsidR="00D819BA" w:rsidRPr="006579E1">
        <w:rPr>
          <w:rFonts w:ascii="Garamond" w:hAnsi="Garamond" w:cs="Times New Roman"/>
          <w:sz w:val="24"/>
          <w:szCs w:val="24"/>
        </w:rPr>
        <w:t>.</w:t>
      </w:r>
    </w:p>
    <w:p w:rsidR="006579E1" w:rsidRPr="006579E1" w:rsidRDefault="006579E1" w:rsidP="006579E1">
      <w:pPr>
        <w:spacing w:after="0" w:line="360" w:lineRule="auto"/>
        <w:jc w:val="both"/>
        <w:rPr>
          <w:rFonts w:ascii="Garamond" w:hAnsi="Garamond" w:cs="Times New Roman"/>
          <w:sz w:val="24"/>
          <w:szCs w:val="24"/>
        </w:rPr>
      </w:pPr>
    </w:p>
    <w:p w:rsidR="006579E1" w:rsidRPr="006579E1" w:rsidRDefault="00D819BA" w:rsidP="006579E1">
      <w:pPr>
        <w:spacing w:after="0" w:line="360" w:lineRule="auto"/>
        <w:jc w:val="both"/>
        <w:rPr>
          <w:rFonts w:ascii="Garamond" w:hAnsi="Garamond"/>
          <w:sz w:val="24"/>
        </w:rPr>
      </w:pPr>
      <w:r w:rsidRPr="006579E1">
        <w:rPr>
          <w:rFonts w:ascii="Garamond" w:hAnsi="Garamond"/>
          <w:sz w:val="24"/>
        </w:rPr>
        <w:t xml:space="preserve">To </w:t>
      </w:r>
      <w:r w:rsidR="00BB49E2" w:rsidRPr="006579E1">
        <w:rPr>
          <w:rFonts w:ascii="Garamond" w:hAnsi="Garamond"/>
          <w:sz w:val="24"/>
        </w:rPr>
        <w:t>conclude the thesis, Chapter Eight suggests the contributions my project has made to existing scholarship. It highlights the key arguments my thesis makes with respect to the BOA in anti-apartheid and STT in anti-trafficking. I bring boycott activisms as cultivating emotions to the fore, and compare the different types of emotions and racial imaginations produced by the organizations in their commodity interventions and their more widely situated politics. Finally, I comment on the 'world-making processes' (Featherstone, 2012: 245) that the organizations engage with, and explain how the BOA's anti-colonial applications of solidarity differed from the neoliberal politi</w:t>
      </w:r>
      <w:r w:rsidR="002049D4" w:rsidRPr="006579E1">
        <w:rPr>
          <w:rFonts w:ascii="Garamond" w:hAnsi="Garamond"/>
          <w:sz w:val="24"/>
        </w:rPr>
        <w:t xml:space="preserve">cs of globalized </w:t>
      </w:r>
      <w:bookmarkStart w:id="187" w:name="_Toc244453624"/>
      <w:bookmarkStart w:id="188" w:name="_Toc244454141"/>
      <w:bookmarkStart w:id="189" w:name="_Toc244469588"/>
      <w:bookmarkStart w:id="190" w:name="_Toc244508044"/>
      <w:r w:rsidR="006579E1" w:rsidRPr="006579E1">
        <w:rPr>
          <w:rFonts w:ascii="Garamond" w:hAnsi="Garamond"/>
          <w:sz w:val="24"/>
        </w:rPr>
        <w:t>responsibility of STT’s chocolate activism.</w:t>
      </w:r>
    </w:p>
    <w:p w:rsidR="006579E1" w:rsidRPr="006579E1" w:rsidRDefault="006579E1" w:rsidP="006579E1">
      <w:pPr>
        <w:spacing w:after="0" w:line="360" w:lineRule="auto"/>
        <w:rPr>
          <w:rFonts w:ascii="Garamond" w:hAnsi="Garamond" w:cs="Times New Roman"/>
          <w:sz w:val="24"/>
          <w:szCs w:val="24"/>
        </w:rPr>
        <w:sectPr w:rsidR="006579E1" w:rsidRPr="006579E1">
          <w:footerReference w:type="default" r:id="rId16"/>
          <w:pgSz w:w="11900" w:h="16840"/>
          <w:pgMar w:top="1440" w:right="1797" w:bottom="1134" w:left="1797" w:header="709" w:footer="709" w:gutter="0"/>
          <w:pgNumType w:start="1"/>
          <w:cols w:space="708"/>
        </w:sectPr>
      </w:pPr>
      <w:r>
        <w:t>.</w:t>
      </w:r>
    </w:p>
    <w:p w:rsidR="002D22FA" w:rsidRPr="006579E1" w:rsidRDefault="002D22FA" w:rsidP="006579E1">
      <w:pPr>
        <w:pStyle w:val="Heading1"/>
        <w:jc w:val="right"/>
        <w:rPr>
          <w:rFonts w:ascii="Garamond" w:hAnsi="Garamond"/>
          <w:color w:val="auto"/>
          <w:sz w:val="28"/>
        </w:rPr>
      </w:pPr>
      <w:bookmarkStart w:id="191" w:name="_Toc244535738"/>
      <w:bookmarkStart w:id="192" w:name="_Toc244578370"/>
      <w:bookmarkStart w:id="193" w:name="_Toc244578754"/>
      <w:bookmarkStart w:id="194" w:name="_Toc263452004"/>
      <w:bookmarkStart w:id="195" w:name="_Toc263510922"/>
      <w:r w:rsidRPr="006579E1">
        <w:rPr>
          <w:rFonts w:ascii="Garamond" w:hAnsi="Garamond"/>
          <w:color w:val="auto"/>
          <w:sz w:val="28"/>
        </w:rPr>
        <w:lastRenderedPageBreak/>
        <w:t>Chapter Two</w:t>
      </w:r>
      <w:bookmarkEnd w:id="187"/>
      <w:bookmarkEnd w:id="188"/>
      <w:bookmarkEnd w:id="189"/>
      <w:bookmarkEnd w:id="190"/>
      <w:bookmarkEnd w:id="191"/>
      <w:bookmarkEnd w:id="192"/>
      <w:bookmarkEnd w:id="193"/>
      <w:bookmarkEnd w:id="194"/>
      <w:bookmarkEnd w:id="195"/>
    </w:p>
    <w:p w:rsidR="002D22FA" w:rsidRPr="006579E1" w:rsidRDefault="002D22FA" w:rsidP="006579E1">
      <w:pPr>
        <w:pStyle w:val="Heading1"/>
        <w:rPr>
          <w:rFonts w:ascii="Garamond" w:hAnsi="Garamond"/>
          <w:color w:val="auto"/>
          <w:sz w:val="28"/>
        </w:rPr>
      </w:pPr>
      <w:bookmarkStart w:id="196" w:name="_Toc244453625"/>
      <w:bookmarkStart w:id="197" w:name="_Toc244454142"/>
      <w:bookmarkStart w:id="198" w:name="_Toc244469589"/>
      <w:bookmarkStart w:id="199" w:name="_Toc244508045"/>
      <w:bookmarkStart w:id="200" w:name="_Toc244535739"/>
      <w:bookmarkStart w:id="201" w:name="_Toc244578371"/>
      <w:bookmarkStart w:id="202" w:name="_Toc244578755"/>
      <w:bookmarkStart w:id="203" w:name="_Toc263452005"/>
      <w:bookmarkStart w:id="204" w:name="_Toc263510923"/>
      <w:r w:rsidRPr="006579E1">
        <w:rPr>
          <w:rFonts w:ascii="Garamond" w:hAnsi="Garamond"/>
          <w:color w:val="auto"/>
          <w:sz w:val="28"/>
        </w:rPr>
        <w:t>Approaching commodity boycotts, bodywork and the production of race</w:t>
      </w:r>
      <w:bookmarkEnd w:id="196"/>
      <w:bookmarkEnd w:id="197"/>
      <w:bookmarkEnd w:id="198"/>
      <w:bookmarkEnd w:id="199"/>
      <w:bookmarkEnd w:id="200"/>
      <w:bookmarkEnd w:id="201"/>
      <w:bookmarkEnd w:id="202"/>
      <w:bookmarkEnd w:id="203"/>
      <w:bookmarkEnd w:id="204"/>
    </w:p>
    <w:p w:rsidR="002D22FA" w:rsidRPr="0001780A" w:rsidRDefault="002D22FA" w:rsidP="002049D4">
      <w:pPr>
        <w:spacing w:after="0" w:line="360" w:lineRule="auto"/>
        <w:rPr>
          <w:rFonts w:ascii="Garamond" w:hAnsi="Garamond"/>
          <w:b/>
          <w:sz w:val="24"/>
          <w:szCs w:val="24"/>
        </w:rPr>
      </w:pPr>
    </w:p>
    <w:p w:rsidR="002D22FA" w:rsidRPr="002049D4" w:rsidRDefault="002D22FA" w:rsidP="002049D4">
      <w:pPr>
        <w:pStyle w:val="Heading2"/>
      </w:pPr>
      <w:bookmarkStart w:id="205" w:name="_Toc244453626"/>
      <w:bookmarkStart w:id="206" w:name="_Toc244454143"/>
      <w:bookmarkStart w:id="207" w:name="_Toc244469590"/>
      <w:bookmarkStart w:id="208" w:name="_Toc244508046"/>
      <w:bookmarkStart w:id="209" w:name="_Toc244535740"/>
      <w:bookmarkStart w:id="210" w:name="_Toc244578372"/>
      <w:bookmarkStart w:id="211" w:name="_Toc244578756"/>
      <w:bookmarkStart w:id="212" w:name="_Toc263452006"/>
      <w:bookmarkStart w:id="213" w:name="_Toc263510924"/>
      <w:r w:rsidRPr="002049D4">
        <w:t>Introduction</w:t>
      </w:r>
      <w:bookmarkEnd w:id="205"/>
      <w:bookmarkEnd w:id="206"/>
      <w:bookmarkEnd w:id="207"/>
      <w:bookmarkEnd w:id="208"/>
      <w:bookmarkEnd w:id="209"/>
      <w:bookmarkEnd w:id="210"/>
      <w:bookmarkEnd w:id="211"/>
      <w:bookmarkEnd w:id="212"/>
      <w:bookmarkEnd w:id="213"/>
    </w:p>
    <w:p w:rsidR="002D22FA" w:rsidRPr="0001780A" w:rsidRDefault="002D22FA" w:rsidP="002049D4">
      <w:pPr>
        <w:spacing w:after="0" w:line="360" w:lineRule="auto"/>
        <w:jc w:val="both"/>
        <w:rPr>
          <w:rFonts w:ascii="Garamond" w:hAnsi="Garamond"/>
          <w:sz w:val="24"/>
          <w:szCs w:val="24"/>
        </w:rPr>
      </w:pPr>
    </w:p>
    <w:p w:rsidR="002D22FA" w:rsidRPr="0001780A" w:rsidRDefault="002D22FA" w:rsidP="002049D4">
      <w:pPr>
        <w:spacing w:after="0" w:line="360" w:lineRule="auto"/>
        <w:jc w:val="both"/>
        <w:rPr>
          <w:rFonts w:ascii="Garamond" w:hAnsi="Garamond"/>
          <w:sz w:val="24"/>
          <w:szCs w:val="24"/>
        </w:rPr>
      </w:pPr>
      <w:r w:rsidRPr="0001780A">
        <w:rPr>
          <w:rFonts w:ascii="Garamond" w:hAnsi="Garamond"/>
          <w:sz w:val="24"/>
          <w:szCs w:val="24"/>
        </w:rPr>
        <w:t xml:space="preserve">The aim of this chapter is to outline my approaches to commodity boycotts, boycotter bodywork and the production of race. I propose a series of interlinked frameworks for investigating commodity boycotts as a form of cultural production, for interpreting bodywork as the affective work of commodity boycotts, and for understanding how race, racializations and antiracisms are produced. </w:t>
      </w:r>
    </w:p>
    <w:p w:rsidR="002D22FA" w:rsidRPr="0001780A" w:rsidRDefault="002D22FA" w:rsidP="002D22FA">
      <w:pPr>
        <w:spacing w:after="0" w:line="360" w:lineRule="auto"/>
        <w:jc w:val="both"/>
        <w:rPr>
          <w:rFonts w:ascii="Garamond" w:hAnsi="Garamond" w:cs="Times New Roman"/>
          <w:sz w:val="24"/>
        </w:rPr>
      </w:pPr>
    </w:p>
    <w:p w:rsidR="002D22FA" w:rsidRDefault="002D22FA" w:rsidP="00434B8C">
      <w:pPr>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Setting off from general theories of commodity boycotts and working towards articulating theories and research that bring to life my specific approach, the layout of this chapter takes the form of six interrelated starting points. Starting </w:t>
      </w:r>
      <w:r>
        <w:rPr>
          <w:rFonts w:ascii="Garamond" w:hAnsi="Garamond" w:cs="Times New Roman"/>
          <w:sz w:val="24"/>
          <w:szCs w:val="24"/>
        </w:rPr>
        <w:t>p</w:t>
      </w:r>
      <w:r w:rsidRPr="0001780A">
        <w:rPr>
          <w:rFonts w:ascii="Garamond" w:hAnsi="Garamond" w:cs="Times New Roman"/>
          <w:sz w:val="24"/>
          <w:szCs w:val="24"/>
        </w:rPr>
        <w:t xml:space="preserve">oints </w:t>
      </w:r>
      <w:r>
        <w:rPr>
          <w:rFonts w:ascii="Garamond" w:hAnsi="Garamond" w:cs="Times New Roman"/>
          <w:sz w:val="24"/>
          <w:szCs w:val="24"/>
        </w:rPr>
        <w:t>‘</w:t>
      </w:r>
      <w:r w:rsidRPr="0001780A">
        <w:rPr>
          <w:rFonts w:ascii="Garamond" w:hAnsi="Garamond" w:cs="Times New Roman"/>
          <w:sz w:val="24"/>
          <w:szCs w:val="24"/>
        </w:rPr>
        <w:t>One</w:t>
      </w:r>
      <w:r>
        <w:rPr>
          <w:rFonts w:ascii="Garamond" w:hAnsi="Garamond" w:cs="Times New Roman"/>
          <w:sz w:val="24"/>
          <w:szCs w:val="24"/>
        </w:rPr>
        <w:t>’</w:t>
      </w:r>
      <w:r w:rsidRPr="0001780A">
        <w:rPr>
          <w:rFonts w:ascii="Garamond" w:hAnsi="Garamond" w:cs="Times New Roman"/>
          <w:sz w:val="24"/>
          <w:szCs w:val="24"/>
        </w:rPr>
        <w:t xml:space="preserve"> and </w:t>
      </w:r>
      <w:r>
        <w:rPr>
          <w:rFonts w:ascii="Garamond" w:hAnsi="Garamond" w:cs="Times New Roman"/>
          <w:sz w:val="24"/>
          <w:szCs w:val="24"/>
        </w:rPr>
        <w:t>‘</w:t>
      </w:r>
      <w:r w:rsidRPr="0001780A">
        <w:rPr>
          <w:rFonts w:ascii="Garamond" w:hAnsi="Garamond" w:cs="Times New Roman"/>
          <w:sz w:val="24"/>
          <w:szCs w:val="24"/>
        </w:rPr>
        <w:t>Two</w:t>
      </w:r>
      <w:r>
        <w:rPr>
          <w:rFonts w:ascii="Garamond" w:hAnsi="Garamond" w:cs="Times New Roman"/>
          <w:sz w:val="24"/>
          <w:szCs w:val="24"/>
        </w:rPr>
        <w:t>’</w:t>
      </w:r>
      <w:r w:rsidRPr="0001780A">
        <w:rPr>
          <w:rFonts w:ascii="Garamond" w:hAnsi="Garamond" w:cs="Times New Roman"/>
          <w:sz w:val="24"/>
          <w:szCs w:val="24"/>
        </w:rPr>
        <w:t xml:space="preserve"> outline distinctive ways in which commodity boycotts have been theorized</w:t>
      </w:r>
      <w:r>
        <w:rPr>
          <w:rFonts w:ascii="Garamond" w:hAnsi="Garamond" w:cs="Times New Roman"/>
          <w:sz w:val="24"/>
          <w:szCs w:val="24"/>
        </w:rPr>
        <w:t>:</w:t>
      </w:r>
      <w:r w:rsidRPr="0001780A">
        <w:rPr>
          <w:rFonts w:ascii="Garamond" w:hAnsi="Garamond" w:cs="Times New Roman"/>
          <w:sz w:val="24"/>
          <w:szCs w:val="24"/>
        </w:rPr>
        <w:t xml:space="preserve"> firstly</w:t>
      </w:r>
      <w:r>
        <w:rPr>
          <w:rFonts w:ascii="Garamond" w:hAnsi="Garamond" w:cs="Times New Roman"/>
          <w:sz w:val="24"/>
          <w:szCs w:val="24"/>
        </w:rPr>
        <w:t>,</w:t>
      </w:r>
      <w:r w:rsidRPr="0001780A">
        <w:rPr>
          <w:rFonts w:ascii="Garamond" w:hAnsi="Garamond" w:cs="Times New Roman"/>
          <w:sz w:val="24"/>
          <w:szCs w:val="24"/>
        </w:rPr>
        <w:t xml:space="preserve"> as anti-colonial and radical labour politics</w:t>
      </w:r>
      <w:r>
        <w:rPr>
          <w:rFonts w:ascii="Garamond" w:hAnsi="Garamond" w:cs="Times New Roman"/>
          <w:sz w:val="24"/>
          <w:szCs w:val="24"/>
        </w:rPr>
        <w:t>;</w:t>
      </w:r>
      <w:r w:rsidRPr="0001780A">
        <w:rPr>
          <w:rFonts w:ascii="Garamond" w:hAnsi="Garamond" w:cs="Times New Roman"/>
          <w:sz w:val="24"/>
          <w:szCs w:val="24"/>
        </w:rPr>
        <w:t xml:space="preserve"> and secondly</w:t>
      </w:r>
      <w:r>
        <w:rPr>
          <w:rFonts w:ascii="Garamond" w:hAnsi="Garamond" w:cs="Times New Roman"/>
          <w:sz w:val="24"/>
          <w:szCs w:val="24"/>
        </w:rPr>
        <w:t>,</w:t>
      </w:r>
      <w:r w:rsidRPr="0001780A">
        <w:rPr>
          <w:rFonts w:ascii="Garamond" w:hAnsi="Garamond" w:cs="Times New Roman"/>
          <w:sz w:val="24"/>
          <w:szCs w:val="24"/>
        </w:rPr>
        <w:t xml:space="preserve"> as consumer-based politics. I trace the genealogies of both boycott types from Irish Home Rule </w:t>
      </w:r>
      <w:r>
        <w:rPr>
          <w:rFonts w:ascii="Garamond" w:hAnsi="Garamond" w:cs="Times New Roman"/>
          <w:sz w:val="24"/>
          <w:szCs w:val="24"/>
        </w:rPr>
        <w:t>and British anti</w:t>
      </w:r>
      <w:r w:rsidRPr="0001780A">
        <w:rPr>
          <w:rFonts w:ascii="Garamond" w:hAnsi="Garamond" w:cs="Times New Roman"/>
          <w:sz w:val="24"/>
          <w:szCs w:val="24"/>
        </w:rPr>
        <w:t>slavery respectively. I pick out illuminations on the role of the boycotter as</w:t>
      </w:r>
      <w:r>
        <w:rPr>
          <w:rFonts w:ascii="Garamond" w:hAnsi="Garamond" w:cs="Times New Roman"/>
          <w:sz w:val="24"/>
          <w:szCs w:val="24"/>
        </w:rPr>
        <w:t xml:space="preserve"> </w:t>
      </w:r>
      <w:r w:rsidRPr="0001780A">
        <w:rPr>
          <w:rFonts w:ascii="Garamond" w:hAnsi="Garamond" w:cs="Times New Roman"/>
          <w:sz w:val="24"/>
          <w:szCs w:val="24"/>
        </w:rPr>
        <w:t xml:space="preserve">proto-nationalist, anti-colonialist and anti-capitalist on the one hand, </w:t>
      </w:r>
      <w:r>
        <w:rPr>
          <w:rFonts w:ascii="Garamond" w:hAnsi="Garamond" w:cs="Times New Roman"/>
          <w:sz w:val="24"/>
          <w:szCs w:val="24"/>
        </w:rPr>
        <w:t xml:space="preserve">and as </w:t>
      </w:r>
      <w:r w:rsidRPr="0001780A">
        <w:rPr>
          <w:rFonts w:ascii="Garamond" w:hAnsi="Garamond" w:cs="Times New Roman"/>
          <w:sz w:val="24"/>
          <w:szCs w:val="24"/>
        </w:rPr>
        <w:t xml:space="preserve">humanitarian, a vector of moral capital, and an extra-parliamentary political actor on the other. Common to both approaches are ways of thinking about commodity boycotts as part of social movements, </w:t>
      </w:r>
      <w:r>
        <w:rPr>
          <w:rFonts w:ascii="Garamond" w:hAnsi="Garamond" w:cs="Times New Roman"/>
          <w:sz w:val="24"/>
          <w:szCs w:val="24"/>
        </w:rPr>
        <w:t>as forms of cultural production,</w:t>
      </w:r>
      <w:r w:rsidRPr="0001780A">
        <w:rPr>
          <w:rFonts w:ascii="Garamond" w:hAnsi="Garamond" w:cs="Times New Roman"/>
          <w:sz w:val="24"/>
          <w:szCs w:val="24"/>
        </w:rPr>
        <w:t xml:space="preserve"> and as productive of proximate politics. Starting </w:t>
      </w:r>
      <w:r>
        <w:rPr>
          <w:rFonts w:ascii="Garamond" w:hAnsi="Garamond" w:cs="Times New Roman"/>
          <w:sz w:val="24"/>
          <w:szCs w:val="24"/>
        </w:rPr>
        <w:t>point ‘</w:t>
      </w:r>
      <w:r w:rsidRPr="0001780A">
        <w:rPr>
          <w:rFonts w:ascii="Garamond" w:hAnsi="Garamond" w:cs="Times New Roman"/>
          <w:sz w:val="24"/>
          <w:szCs w:val="24"/>
        </w:rPr>
        <w:t xml:space="preserve">Three’ shows that the relationship between ethical consumption and commodity boycotts is often revealing of situated political agendas. Starting </w:t>
      </w:r>
      <w:r>
        <w:rPr>
          <w:rFonts w:ascii="Garamond" w:hAnsi="Garamond" w:cs="Times New Roman"/>
          <w:sz w:val="24"/>
          <w:szCs w:val="24"/>
        </w:rPr>
        <w:t>p</w:t>
      </w:r>
      <w:r w:rsidRPr="0001780A">
        <w:rPr>
          <w:rFonts w:ascii="Garamond" w:hAnsi="Garamond" w:cs="Times New Roman"/>
          <w:sz w:val="24"/>
          <w:szCs w:val="24"/>
        </w:rPr>
        <w:t xml:space="preserve">oint </w:t>
      </w:r>
      <w:r>
        <w:rPr>
          <w:rFonts w:ascii="Garamond" w:hAnsi="Garamond" w:cs="Times New Roman"/>
          <w:sz w:val="24"/>
          <w:szCs w:val="24"/>
        </w:rPr>
        <w:t>‘</w:t>
      </w:r>
      <w:r w:rsidRPr="0001780A">
        <w:rPr>
          <w:rFonts w:ascii="Garamond" w:hAnsi="Garamond" w:cs="Times New Roman"/>
          <w:sz w:val="24"/>
          <w:szCs w:val="24"/>
        </w:rPr>
        <w:t xml:space="preserve">Four’ challenges the dominant reductive reading and practice of consumer boycotts as consumer sovereignty by bringing specialist research on commodity boycotts to the fore. I lay bare the multiple types, practices and effects of commodity boycotts as discussed in the four key works in the English language on commodity boycotts from the twentieth </w:t>
      </w:r>
      <w:r w:rsidRPr="005D67AB">
        <w:rPr>
          <w:rFonts w:ascii="Garamond" w:hAnsi="Garamond" w:cs="Times New Roman"/>
          <w:sz w:val="24"/>
          <w:szCs w:val="24"/>
        </w:rPr>
        <w:t>century (Laidler, 1913; Wolman, 1914;</w:t>
      </w:r>
      <w:r w:rsidR="004B75DB">
        <w:rPr>
          <w:rFonts w:ascii="Garamond" w:hAnsi="Garamond" w:cs="Times New Roman"/>
          <w:sz w:val="24"/>
          <w:szCs w:val="24"/>
        </w:rPr>
        <w:t xml:space="preserve"> Smith, 1990; Friedman, 1999). </w:t>
      </w:r>
      <w:r w:rsidRPr="005D67AB">
        <w:rPr>
          <w:rFonts w:ascii="Garamond" w:hAnsi="Garamond" w:cs="Times New Roman"/>
          <w:sz w:val="24"/>
          <w:szCs w:val="24"/>
        </w:rPr>
        <w:t xml:space="preserve">Starting </w:t>
      </w:r>
      <w:r>
        <w:rPr>
          <w:rFonts w:ascii="Garamond" w:hAnsi="Garamond" w:cs="Times New Roman"/>
          <w:sz w:val="24"/>
          <w:szCs w:val="24"/>
        </w:rPr>
        <w:t>p</w:t>
      </w:r>
      <w:r w:rsidRPr="005D67AB">
        <w:rPr>
          <w:rFonts w:ascii="Garamond" w:hAnsi="Garamond" w:cs="Times New Roman"/>
          <w:sz w:val="24"/>
          <w:szCs w:val="24"/>
        </w:rPr>
        <w:t xml:space="preserve">oint </w:t>
      </w:r>
      <w:r>
        <w:rPr>
          <w:rFonts w:ascii="Garamond" w:hAnsi="Garamond" w:cs="Times New Roman"/>
          <w:sz w:val="24"/>
          <w:szCs w:val="24"/>
        </w:rPr>
        <w:t>‘</w:t>
      </w:r>
      <w:r w:rsidRPr="005D67AB">
        <w:rPr>
          <w:rFonts w:ascii="Garamond" w:hAnsi="Garamond" w:cs="Times New Roman"/>
          <w:sz w:val="24"/>
          <w:szCs w:val="24"/>
        </w:rPr>
        <w:t>Five’ outlines my approach to 'activist bodywork' as a way to</w:t>
      </w:r>
      <w:r w:rsidRPr="0001780A">
        <w:rPr>
          <w:rFonts w:ascii="Garamond" w:hAnsi="Garamond" w:cs="Times New Roman"/>
          <w:sz w:val="24"/>
          <w:szCs w:val="24"/>
        </w:rPr>
        <w:t xml:space="preserve"> understand the practices of commodity boycott organizations. Here, I think about how boycott practices enact embodied commodity politics. I consider scholarship on consumer politics and bodies, </w:t>
      </w:r>
      <w:r w:rsidRPr="0001780A">
        <w:rPr>
          <w:rFonts w:ascii="Garamond" w:hAnsi="Garamond" w:cs="Times New Roman"/>
          <w:sz w:val="24"/>
          <w:szCs w:val="24"/>
        </w:rPr>
        <w:lastRenderedPageBreak/>
        <w:t xml:space="preserve">and I argue that to understand boycotter processes a combination of social constructionist, phenomenological and materialist interpretations of the body are important. I discuss geographical approaches to embodied engagements with commodities and food, and I introduce work on commodity-body topoi. </w:t>
      </w:r>
      <w:r>
        <w:rPr>
          <w:rFonts w:ascii="Garamond" w:hAnsi="Garamond" w:cs="Times New Roman"/>
          <w:sz w:val="24"/>
          <w:szCs w:val="24"/>
        </w:rPr>
        <w:t>Finally, s</w:t>
      </w:r>
      <w:r w:rsidRPr="0001780A">
        <w:rPr>
          <w:rFonts w:ascii="Garamond" w:hAnsi="Garamond" w:cs="Times New Roman"/>
          <w:sz w:val="24"/>
          <w:szCs w:val="24"/>
        </w:rPr>
        <w:t>tartin</w:t>
      </w:r>
      <w:r>
        <w:rPr>
          <w:rFonts w:ascii="Garamond" w:hAnsi="Garamond" w:cs="Times New Roman"/>
          <w:sz w:val="24"/>
          <w:szCs w:val="24"/>
        </w:rPr>
        <w:t>g p</w:t>
      </w:r>
      <w:r w:rsidRPr="0001780A">
        <w:rPr>
          <w:rFonts w:ascii="Garamond" w:hAnsi="Garamond" w:cs="Times New Roman"/>
          <w:sz w:val="24"/>
          <w:szCs w:val="24"/>
        </w:rPr>
        <w:t xml:space="preserve">oint </w:t>
      </w:r>
      <w:r>
        <w:rPr>
          <w:rFonts w:ascii="Garamond" w:hAnsi="Garamond" w:cs="Times New Roman"/>
          <w:sz w:val="24"/>
          <w:szCs w:val="24"/>
        </w:rPr>
        <w:t>‘</w:t>
      </w:r>
      <w:r w:rsidRPr="0001780A">
        <w:rPr>
          <w:rFonts w:ascii="Garamond" w:hAnsi="Garamond" w:cs="Times New Roman"/>
          <w:sz w:val="24"/>
          <w:szCs w:val="24"/>
        </w:rPr>
        <w:t>Six’ seeks to link these embodied and material interventions</w:t>
      </w:r>
      <w:r>
        <w:rPr>
          <w:rFonts w:ascii="Garamond" w:hAnsi="Garamond" w:cs="Times New Roman"/>
          <w:sz w:val="24"/>
          <w:szCs w:val="24"/>
        </w:rPr>
        <w:t xml:space="preserve"> to</w:t>
      </w:r>
      <w:r w:rsidRPr="0001780A">
        <w:rPr>
          <w:rFonts w:ascii="Garamond" w:hAnsi="Garamond" w:cs="Times New Roman"/>
          <w:sz w:val="24"/>
          <w:szCs w:val="24"/>
        </w:rPr>
        <w:t xml:space="preserve"> </w:t>
      </w:r>
      <w:r>
        <w:rPr>
          <w:rFonts w:ascii="Garamond" w:hAnsi="Garamond" w:cs="Times New Roman"/>
          <w:sz w:val="24"/>
          <w:szCs w:val="24"/>
        </w:rPr>
        <w:t>the production of race in</w:t>
      </w:r>
      <w:r w:rsidRPr="0001780A">
        <w:rPr>
          <w:rFonts w:ascii="Garamond" w:hAnsi="Garamond" w:cs="Times New Roman"/>
          <w:sz w:val="24"/>
          <w:szCs w:val="24"/>
        </w:rPr>
        <w:t xml:space="preserve"> anti-apartheid and anti-trafficking. I introduce geographies of w</w:t>
      </w:r>
      <w:r>
        <w:rPr>
          <w:rFonts w:ascii="Garamond" w:hAnsi="Garamond" w:cs="Times New Roman"/>
          <w:sz w:val="24"/>
          <w:szCs w:val="24"/>
        </w:rPr>
        <w:t xml:space="preserve">hiteness, critical race theory </w:t>
      </w:r>
      <w:r w:rsidRPr="0001780A">
        <w:rPr>
          <w:rFonts w:ascii="Garamond" w:hAnsi="Garamond" w:cs="Times New Roman"/>
          <w:sz w:val="24"/>
          <w:szCs w:val="24"/>
        </w:rPr>
        <w:t>and geographi</w:t>
      </w:r>
      <w:r>
        <w:rPr>
          <w:rFonts w:ascii="Garamond" w:hAnsi="Garamond" w:cs="Times New Roman"/>
          <w:sz w:val="24"/>
          <w:szCs w:val="24"/>
        </w:rPr>
        <w:t>cal work on race, and</w:t>
      </w:r>
      <w:r w:rsidRPr="0001780A">
        <w:rPr>
          <w:rFonts w:ascii="Garamond" w:hAnsi="Garamond" w:cs="Times New Roman"/>
          <w:sz w:val="24"/>
          <w:szCs w:val="24"/>
        </w:rPr>
        <w:t xml:space="preserve"> I consider how whiteness is bound up in par</w:t>
      </w:r>
      <w:r>
        <w:rPr>
          <w:rFonts w:ascii="Garamond" w:hAnsi="Garamond" w:cs="Times New Roman"/>
          <w:sz w:val="24"/>
          <w:szCs w:val="24"/>
        </w:rPr>
        <w:t>ticular commodities and things.</w:t>
      </w:r>
    </w:p>
    <w:p w:rsidR="002D22FA" w:rsidRDefault="002D22FA" w:rsidP="00434B8C">
      <w:pPr>
        <w:spacing w:after="0" w:line="360" w:lineRule="auto"/>
        <w:jc w:val="both"/>
        <w:rPr>
          <w:rFonts w:ascii="Garamond" w:hAnsi="Garamond" w:cs="Times New Roman"/>
          <w:sz w:val="24"/>
          <w:szCs w:val="24"/>
        </w:rPr>
      </w:pPr>
    </w:p>
    <w:p w:rsidR="002D22FA" w:rsidRPr="00434B8C" w:rsidRDefault="002D22FA" w:rsidP="00434B8C">
      <w:pPr>
        <w:pStyle w:val="Heading2"/>
      </w:pPr>
      <w:bookmarkStart w:id="214" w:name="_Toc244453627"/>
      <w:bookmarkStart w:id="215" w:name="_Toc244454144"/>
      <w:bookmarkStart w:id="216" w:name="_Toc244469591"/>
      <w:bookmarkStart w:id="217" w:name="_Toc244508047"/>
      <w:bookmarkStart w:id="218" w:name="_Toc244535741"/>
      <w:bookmarkStart w:id="219" w:name="_Toc244578373"/>
      <w:bookmarkStart w:id="220" w:name="_Toc244578757"/>
      <w:bookmarkStart w:id="221" w:name="_Toc263452007"/>
      <w:bookmarkStart w:id="222" w:name="_Toc263510925"/>
      <w:r w:rsidRPr="00434B8C">
        <w:t xml:space="preserve">One: </w:t>
      </w:r>
      <w:r w:rsidRPr="00434B8C">
        <w:rPr>
          <w:rFonts w:eastAsiaTheme="minorHAnsi"/>
        </w:rPr>
        <w:t>The commodity boycott as an application of radical and anti-colonial politics</w:t>
      </w:r>
      <w:bookmarkEnd w:id="214"/>
      <w:bookmarkEnd w:id="215"/>
      <w:bookmarkEnd w:id="216"/>
      <w:bookmarkEnd w:id="217"/>
      <w:bookmarkEnd w:id="218"/>
      <w:bookmarkEnd w:id="219"/>
      <w:bookmarkEnd w:id="220"/>
      <w:bookmarkEnd w:id="221"/>
      <w:bookmarkEnd w:id="222"/>
    </w:p>
    <w:p w:rsidR="002D22FA" w:rsidRPr="0001780A" w:rsidRDefault="002D22FA" w:rsidP="00434B8C">
      <w:pPr>
        <w:spacing w:after="0" w:line="360" w:lineRule="auto"/>
        <w:rPr>
          <w:rFonts w:ascii="Garamond" w:hAnsi="Garamond"/>
          <w:i/>
          <w:sz w:val="24"/>
          <w:szCs w:val="24"/>
        </w:rPr>
      </w:pPr>
      <w:r w:rsidRPr="0001780A">
        <w:rPr>
          <w:rFonts w:ascii="Garamond" w:hAnsi="Garamond"/>
          <w:i/>
          <w:sz w:val="24"/>
          <w:szCs w:val="24"/>
        </w:rPr>
        <w:t xml:space="preserve"> </w:t>
      </w:r>
    </w:p>
    <w:p w:rsidR="002D22FA" w:rsidRPr="0001780A" w:rsidRDefault="002D22FA" w:rsidP="002D22FA">
      <w:pPr>
        <w:spacing w:after="0" w:line="360" w:lineRule="auto"/>
        <w:jc w:val="both"/>
        <w:rPr>
          <w:rFonts w:ascii="Garamond" w:eastAsia="Times New Roman" w:hAnsi="Garamond"/>
          <w:sz w:val="24"/>
          <w:szCs w:val="24"/>
        </w:rPr>
      </w:pPr>
      <w:r w:rsidRPr="0001780A">
        <w:rPr>
          <w:rFonts w:ascii="Garamond" w:hAnsi="Garamond" w:cs="Times New Roman"/>
          <w:sz w:val="24"/>
        </w:rPr>
        <w:t xml:space="preserve">From its outset the commodity boycott developed concurrently as both non-consumption and </w:t>
      </w:r>
      <w:r>
        <w:rPr>
          <w:rFonts w:ascii="Garamond" w:hAnsi="Garamond" w:cs="Times New Roman"/>
          <w:sz w:val="24"/>
        </w:rPr>
        <w:t xml:space="preserve">as </w:t>
      </w:r>
      <w:r w:rsidRPr="0001780A">
        <w:rPr>
          <w:rFonts w:ascii="Garamond" w:hAnsi="Garamond" w:cs="Times New Roman"/>
          <w:sz w:val="24"/>
        </w:rPr>
        <w:t>a form of non-violent direct action. This becomes clearer if we consider the etymology of the verb 'to boycott'. 'To boycott' means not only to withdraw from purchase</w:t>
      </w:r>
      <w:r>
        <w:rPr>
          <w:rFonts w:ascii="Garamond" w:hAnsi="Garamond" w:cs="Times New Roman"/>
          <w:sz w:val="24"/>
        </w:rPr>
        <w:t>,</w:t>
      </w:r>
      <w:r w:rsidRPr="0001780A">
        <w:rPr>
          <w:rFonts w:ascii="Garamond" w:hAnsi="Garamond" w:cs="Times New Roman"/>
          <w:sz w:val="24"/>
        </w:rPr>
        <w:t xml:space="preserve"> but also</w:t>
      </w:r>
      <w:r>
        <w:rPr>
          <w:rFonts w:ascii="Garamond" w:hAnsi="Garamond" w:cs="Times New Roman"/>
          <w:sz w:val="24"/>
        </w:rPr>
        <w:t xml:space="preserve"> to shun and </w:t>
      </w:r>
      <w:r w:rsidR="004B75DB">
        <w:rPr>
          <w:rFonts w:ascii="Garamond" w:hAnsi="Garamond" w:cs="Times New Roman"/>
          <w:sz w:val="24"/>
        </w:rPr>
        <w:t xml:space="preserve">to </w:t>
      </w:r>
      <w:r>
        <w:rPr>
          <w:rFonts w:ascii="Garamond" w:hAnsi="Garamond" w:cs="Times New Roman"/>
          <w:sz w:val="24"/>
        </w:rPr>
        <w:t>ostraciz</w:t>
      </w:r>
      <w:r w:rsidRPr="0001780A">
        <w:rPr>
          <w:rFonts w:ascii="Garamond" w:hAnsi="Garamond" w:cs="Times New Roman"/>
          <w:sz w:val="24"/>
        </w:rPr>
        <w:t xml:space="preserve">e. </w:t>
      </w:r>
      <w:r w:rsidRPr="0001780A">
        <w:rPr>
          <w:rFonts w:ascii="Garamond" w:eastAsia="Times New Roman" w:hAnsi="Garamond"/>
          <w:sz w:val="24"/>
          <w:szCs w:val="24"/>
        </w:rPr>
        <w:t xml:space="preserve">The </w:t>
      </w:r>
      <w:r w:rsidRPr="0001780A">
        <w:rPr>
          <w:rFonts w:ascii="Garamond" w:eastAsia="Times New Roman" w:hAnsi="Garamond"/>
          <w:i/>
          <w:iCs/>
          <w:sz w:val="24"/>
          <w:szCs w:val="24"/>
        </w:rPr>
        <w:t xml:space="preserve">Oxford </w:t>
      </w:r>
      <w:r>
        <w:rPr>
          <w:rFonts w:ascii="Garamond" w:eastAsia="Times New Roman" w:hAnsi="Garamond"/>
          <w:i/>
          <w:iCs/>
          <w:sz w:val="24"/>
          <w:szCs w:val="24"/>
        </w:rPr>
        <w:t xml:space="preserve">English </w:t>
      </w:r>
      <w:r w:rsidRPr="0001780A">
        <w:rPr>
          <w:rFonts w:ascii="Garamond" w:eastAsia="Times New Roman" w:hAnsi="Garamond"/>
          <w:i/>
          <w:iCs/>
          <w:sz w:val="24"/>
          <w:szCs w:val="24"/>
        </w:rPr>
        <w:t>Dictionary</w:t>
      </w:r>
      <w:r>
        <w:rPr>
          <w:rFonts w:ascii="Garamond" w:eastAsia="Times New Roman" w:hAnsi="Garamond"/>
          <w:i/>
          <w:iCs/>
          <w:sz w:val="24"/>
          <w:szCs w:val="24"/>
        </w:rPr>
        <w:t xml:space="preserve"> </w:t>
      </w:r>
      <w:r w:rsidRPr="0001780A">
        <w:rPr>
          <w:rFonts w:ascii="Garamond" w:eastAsia="Times New Roman" w:hAnsi="Garamond"/>
          <w:sz w:val="24"/>
          <w:szCs w:val="24"/>
        </w:rPr>
        <w:t>provides a historical and a contemporary definition for boycotts:</w:t>
      </w:r>
    </w:p>
    <w:p w:rsidR="002D22FA" w:rsidRPr="0001780A" w:rsidRDefault="002D22FA" w:rsidP="002D22FA">
      <w:pPr>
        <w:spacing w:after="0" w:line="360" w:lineRule="auto"/>
        <w:jc w:val="both"/>
        <w:rPr>
          <w:rFonts w:ascii="Garamond" w:hAnsi="Garamond" w:cs="Times New Roman"/>
          <w:b/>
          <w:sz w:val="24"/>
          <w:szCs w:val="24"/>
        </w:rPr>
      </w:pPr>
    </w:p>
    <w:p w:rsidR="002D22FA" w:rsidRPr="004B75DB" w:rsidRDefault="002D22FA" w:rsidP="002D22FA">
      <w:pPr>
        <w:widowControl w:val="0"/>
        <w:numPr>
          <w:ilvl w:val="0"/>
          <w:numId w:val="10"/>
        </w:numPr>
        <w:overflowPunct w:val="0"/>
        <w:autoSpaceDE w:val="0"/>
        <w:autoSpaceDN w:val="0"/>
        <w:adjustRightInd w:val="0"/>
        <w:spacing w:after="0" w:line="360" w:lineRule="auto"/>
        <w:ind w:left="720" w:right="661" w:hanging="360"/>
        <w:jc w:val="both"/>
        <w:rPr>
          <w:rFonts w:ascii="Garamond" w:hAnsi="Garamond" w:cs="Times New Roman"/>
          <w:i/>
          <w:iCs/>
        </w:rPr>
      </w:pPr>
      <w:r w:rsidRPr="004B75DB">
        <w:rPr>
          <w:rFonts w:ascii="Garamond" w:hAnsi="Garamond" w:cs="Times New Roman"/>
          <w:i/>
          <w:iCs/>
        </w:rPr>
        <w:t xml:space="preserve">trans </w:t>
      </w:r>
      <w:r w:rsidRPr="004B75DB">
        <w:rPr>
          <w:rFonts w:ascii="Garamond" w:hAnsi="Garamond" w:cs="Times New Roman"/>
        </w:rPr>
        <w:t xml:space="preserve">Of tenants in Ireland: to isolate and ostracize (a landlord or land agent, or anyone not participating in such action) socially and commercially, by withholding labour, the supply of food, custom, etc., in order to protest at the eviction of tenants, secure a reduction in rents, etc. Now </w:t>
      </w:r>
      <w:r w:rsidRPr="004B75DB">
        <w:rPr>
          <w:rFonts w:ascii="Garamond" w:hAnsi="Garamond" w:cs="Times New Roman"/>
          <w:i/>
          <w:iCs/>
        </w:rPr>
        <w:t>hist.</w:t>
      </w:r>
    </w:p>
    <w:p w:rsidR="004B75DB" w:rsidRDefault="002D22FA" w:rsidP="00434B8C">
      <w:pPr>
        <w:widowControl w:val="0"/>
        <w:numPr>
          <w:ilvl w:val="0"/>
          <w:numId w:val="11"/>
        </w:numPr>
        <w:overflowPunct w:val="0"/>
        <w:autoSpaceDE w:val="0"/>
        <w:autoSpaceDN w:val="0"/>
        <w:adjustRightInd w:val="0"/>
        <w:spacing w:after="0" w:line="360" w:lineRule="auto"/>
        <w:ind w:left="720" w:right="661" w:hanging="360"/>
        <w:jc w:val="both"/>
        <w:rPr>
          <w:rFonts w:ascii="Garamond" w:hAnsi="Garamond" w:cs="Times New Roman"/>
          <w:i/>
          <w:iCs/>
        </w:rPr>
      </w:pPr>
      <w:r w:rsidRPr="004B75DB">
        <w:rPr>
          <w:rFonts w:ascii="Garamond" w:hAnsi="Garamond" w:cs="Times New Roman"/>
          <w:i/>
          <w:iCs/>
        </w:rPr>
        <w:t>trans.</w:t>
      </w:r>
      <w:r w:rsidRPr="004B75DB">
        <w:rPr>
          <w:rFonts w:ascii="Garamond" w:hAnsi="Garamond" w:cs="Times New Roman"/>
        </w:rPr>
        <w:t xml:space="preserve"> </w:t>
      </w:r>
      <w:r w:rsidRPr="004B75DB">
        <w:rPr>
          <w:rFonts w:ascii="Garamond" w:hAnsi="Garamond" w:cs="Times New Roman"/>
          <w:i/>
          <w:iCs/>
        </w:rPr>
        <w:t>gen.</w:t>
      </w:r>
      <w:r w:rsidRPr="004B75DB">
        <w:rPr>
          <w:rFonts w:ascii="Garamond" w:hAnsi="Garamond" w:cs="Times New Roman"/>
        </w:rPr>
        <w:t xml:space="preserve"> To withdraw from commercial or social interaction with (a group, nation, person, etc.) as a protest or punishment; to refuse to handle or buy (goods), or refuse to participate in (an event, meeting, etc.), as a protest. Also </w:t>
      </w:r>
      <w:r w:rsidRPr="004B75DB">
        <w:rPr>
          <w:rFonts w:ascii="Garamond" w:hAnsi="Garamond" w:cs="Times New Roman"/>
          <w:i/>
          <w:iCs/>
        </w:rPr>
        <w:t>fig.</w:t>
      </w:r>
      <w:r w:rsidR="00434B8C" w:rsidRPr="004B75DB">
        <w:rPr>
          <w:rFonts w:ascii="Garamond" w:hAnsi="Garamond" w:cs="Times New Roman"/>
          <w:i/>
          <w:iCs/>
        </w:rPr>
        <w:t xml:space="preserve">  </w:t>
      </w:r>
    </w:p>
    <w:p w:rsidR="004B75DB" w:rsidRDefault="004B75DB" w:rsidP="004B75DB">
      <w:pPr>
        <w:widowControl w:val="0"/>
        <w:overflowPunct w:val="0"/>
        <w:autoSpaceDE w:val="0"/>
        <w:autoSpaceDN w:val="0"/>
        <w:adjustRightInd w:val="0"/>
        <w:spacing w:after="0" w:line="360" w:lineRule="auto"/>
        <w:ind w:left="720" w:right="661"/>
        <w:jc w:val="both"/>
        <w:rPr>
          <w:rFonts w:ascii="Garamond" w:hAnsi="Garamond" w:cs="Times New Roman"/>
          <w:i/>
          <w:iCs/>
        </w:rPr>
      </w:pPr>
    </w:p>
    <w:p w:rsidR="002D22FA" w:rsidRPr="004B75DB" w:rsidRDefault="002D22FA" w:rsidP="004B75DB">
      <w:pPr>
        <w:widowControl w:val="0"/>
        <w:overflowPunct w:val="0"/>
        <w:autoSpaceDE w:val="0"/>
        <w:autoSpaceDN w:val="0"/>
        <w:adjustRightInd w:val="0"/>
        <w:spacing w:after="0" w:line="360" w:lineRule="auto"/>
        <w:ind w:left="720" w:right="661"/>
        <w:jc w:val="both"/>
        <w:rPr>
          <w:rFonts w:ascii="Garamond" w:hAnsi="Garamond" w:cs="Times New Roman"/>
          <w:i/>
          <w:iCs/>
        </w:rPr>
      </w:pPr>
      <w:r w:rsidRPr="004B75DB">
        <w:rPr>
          <w:rFonts w:ascii="Garamond" w:hAnsi="Garamond" w:cs="Times New Roman"/>
          <w:iCs/>
        </w:rPr>
        <w:t>(Oxford English Dictionary, 2009)</w:t>
      </w:r>
    </w:p>
    <w:p w:rsidR="002D22FA" w:rsidRPr="0001780A" w:rsidRDefault="002D22FA" w:rsidP="002D22FA">
      <w:pPr>
        <w:widowControl w:val="0"/>
        <w:overflowPunct w:val="0"/>
        <w:autoSpaceDE w:val="0"/>
        <w:autoSpaceDN w:val="0"/>
        <w:adjustRightInd w:val="0"/>
        <w:spacing w:after="0" w:line="360" w:lineRule="auto"/>
        <w:ind w:left="720" w:right="661"/>
        <w:jc w:val="both"/>
        <w:rPr>
          <w:rFonts w:ascii="Garamond" w:hAnsi="Garamond" w:cs="Times New Roman"/>
          <w:i/>
          <w:iCs/>
          <w:sz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The verb, 'to boycott', originally meant to </w:t>
      </w:r>
      <w:r>
        <w:rPr>
          <w:rFonts w:ascii="Garamond" w:hAnsi="Garamond"/>
          <w:sz w:val="24"/>
          <w:szCs w:val="24"/>
        </w:rPr>
        <w:t xml:space="preserve">socially </w:t>
      </w:r>
      <w:r w:rsidRPr="0001780A">
        <w:rPr>
          <w:rFonts w:ascii="Garamond" w:hAnsi="Garamond"/>
          <w:sz w:val="24"/>
          <w:szCs w:val="24"/>
        </w:rPr>
        <w:t>ostracize a powerful person. The term arose as a way of explaining the actions of the Irish peasantry who were protesting against their exploitative treatment at the hands of a British landlord, Captain Charles Cunningham Boycott (Friedman, 2006). The moment of its conception</w:t>
      </w:r>
      <w:r>
        <w:rPr>
          <w:rFonts w:ascii="Garamond" w:hAnsi="Garamond"/>
          <w:sz w:val="24"/>
          <w:szCs w:val="24"/>
        </w:rPr>
        <w:t xml:space="preserve"> – </w:t>
      </w:r>
      <w:r w:rsidRPr="0001780A">
        <w:rPr>
          <w:rFonts w:ascii="Garamond" w:hAnsi="Garamond"/>
          <w:sz w:val="24"/>
          <w:szCs w:val="24"/>
        </w:rPr>
        <w:t>during a conversation in 1880 with an Irish Priest</w:t>
      </w:r>
      <w:r>
        <w:rPr>
          <w:rFonts w:ascii="Garamond" w:hAnsi="Garamond"/>
          <w:sz w:val="24"/>
          <w:szCs w:val="24"/>
        </w:rPr>
        <w:t xml:space="preserve"> – </w:t>
      </w:r>
      <w:r w:rsidRPr="0001780A">
        <w:rPr>
          <w:rFonts w:ascii="Garamond" w:hAnsi="Garamond"/>
          <w:sz w:val="24"/>
          <w:szCs w:val="24"/>
        </w:rPr>
        <w:t xml:space="preserve">was recorded by an American journalist, James Redpath, in the </w:t>
      </w:r>
      <w:r w:rsidRPr="0001780A">
        <w:rPr>
          <w:rFonts w:ascii="Garamond" w:hAnsi="Garamond"/>
          <w:i/>
          <w:iCs/>
          <w:sz w:val="24"/>
          <w:szCs w:val="24"/>
        </w:rPr>
        <w:t>Magazine of Western History</w:t>
      </w:r>
      <w:r w:rsidRPr="0001780A">
        <w:rPr>
          <w:rFonts w:ascii="Garamond" w:hAnsi="Garamond"/>
          <w:sz w:val="24"/>
          <w:szCs w:val="24"/>
        </w:rPr>
        <w:t>:</w:t>
      </w:r>
    </w:p>
    <w:p w:rsidR="002D22FA" w:rsidRPr="0001780A" w:rsidRDefault="002D22FA" w:rsidP="002D22FA">
      <w:pPr>
        <w:spacing w:after="0" w:line="360" w:lineRule="auto"/>
        <w:ind w:right="-45"/>
        <w:jc w:val="both"/>
        <w:rPr>
          <w:rFonts w:ascii="Garamond" w:hAnsi="Garamond"/>
          <w:sz w:val="24"/>
          <w:szCs w:val="24"/>
        </w:rPr>
      </w:pPr>
    </w:p>
    <w:p w:rsidR="002D22FA" w:rsidRPr="004B75DB" w:rsidRDefault="002D22FA" w:rsidP="00434B8C">
      <w:pPr>
        <w:spacing w:after="0" w:line="360" w:lineRule="auto"/>
        <w:ind w:left="425" w:right="379"/>
        <w:jc w:val="both"/>
        <w:rPr>
          <w:rFonts w:ascii="Garamond" w:hAnsi="Garamond"/>
        </w:rPr>
      </w:pPr>
      <w:r w:rsidRPr="004B75DB">
        <w:rPr>
          <w:rFonts w:ascii="Garamond" w:eastAsia="Times New Roman" w:hAnsi="Garamond"/>
        </w:rPr>
        <w:lastRenderedPageBreak/>
        <w:t>I was dining with father John O’Malley and he asked me why I was not eating. I said that I was bothered about a word. “What is it?” asked Father John. “Well”, I said</w:t>
      </w:r>
      <w:r w:rsidR="004B75DB">
        <w:rPr>
          <w:rFonts w:ascii="Garamond" w:eastAsia="Times New Roman" w:hAnsi="Garamond"/>
        </w:rPr>
        <w:t>,</w:t>
      </w:r>
      <w:r w:rsidRPr="004B75DB">
        <w:rPr>
          <w:rFonts w:ascii="Garamond" w:eastAsia="Times New Roman" w:hAnsi="Garamond"/>
        </w:rPr>
        <w:t xml:space="preserve"> “when a people ostracise a landgrabber we call it excommunication, but we ought to have an</w:t>
      </w:r>
      <w:r w:rsidRPr="004B75DB">
        <w:rPr>
          <w:rFonts w:ascii="Garamond" w:eastAsia="Times New Roman" w:hAnsi="Garamond"/>
          <w:szCs w:val="24"/>
        </w:rPr>
        <w:t xml:space="preserve"> </w:t>
      </w:r>
      <w:r w:rsidRPr="004B75DB">
        <w:rPr>
          <w:rFonts w:ascii="Garamond" w:eastAsia="Times New Roman" w:hAnsi="Garamond"/>
        </w:rPr>
        <w:t xml:space="preserve">entirely different word to signify ostracism applied to a landlord or a land agent like Boycott. Ostracism won’t do. The peasantry would not know the meaning of the word, and I can’t think of anything”. “No,” Father John said, “ostracism won’t do”. He looked down, tapped his forehead, and then out it came. </w:t>
      </w:r>
      <w:r w:rsidR="00A74967">
        <w:rPr>
          <w:rFonts w:ascii="Garamond" w:eastAsia="Times New Roman" w:hAnsi="Garamond"/>
        </w:rPr>
        <w:t>“How would it do to call it to ‘boycott him?’”</w:t>
      </w:r>
      <w:r w:rsidRPr="004B75DB">
        <w:rPr>
          <w:rFonts w:ascii="Garamond" w:eastAsia="Times New Roman" w:hAnsi="Garamond"/>
        </w:rPr>
        <w:t>. (Redpath cited in Friedman, 1999: 6)</w:t>
      </w:r>
      <w:r w:rsidRPr="004B75DB">
        <w:rPr>
          <w:rFonts w:ascii="Garamond" w:hAnsi="Garamond"/>
        </w:rPr>
        <w:t xml:space="preserve">  </w:t>
      </w:r>
    </w:p>
    <w:p w:rsidR="002D22FA" w:rsidRPr="0001780A" w:rsidRDefault="002D22FA" w:rsidP="00434B8C">
      <w:pPr>
        <w:spacing w:after="0" w:line="360" w:lineRule="auto"/>
        <w:ind w:left="425" w:right="379"/>
        <w:jc w:val="both"/>
        <w:rPr>
          <w:rFonts w:ascii="Garamond" w:hAnsi="Garamond"/>
          <w:sz w:val="24"/>
          <w:szCs w:val="24"/>
        </w:rPr>
      </w:pPr>
    </w:p>
    <w:p w:rsidR="00434B8C"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Redpath and O’Malley decided to make the term famous through their published writings. They intended to empower an oppressed group by giving them a term around which they could collectively identify, </w:t>
      </w:r>
      <w:r>
        <w:rPr>
          <w:rFonts w:ascii="Garamond" w:hAnsi="Garamond"/>
          <w:sz w:val="24"/>
          <w:szCs w:val="24"/>
        </w:rPr>
        <w:t>a term that</w:t>
      </w:r>
      <w:r w:rsidRPr="0001780A">
        <w:rPr>
          <w:rFonts w:ascii="Garamond" w:hAnsi="Garamond"/>
          <w:sz w:val="24"/>
          <w:szCs w:val="24"/>
        </w:rPr>
        <w:t xml:space="preserve"> would provide self-realization, and eventually global recognition to the specific type of protest used by the Irish peasantry against their landlords. </w:t>
      </w:r>
    </w:p>
    <w:p w:rsidR="002D22FA" w:rsidRPr="0001780A" w:rsidRDefault="002D22FA" w:rsidP="002D22FA">
      <w:pPr>
        <w:spacing w:after="0" w:line="360" w:lineRule="auto"/>
        <w:ind w:right="-45"/>
        <w:jc w:val="both"/>
        <w:rPr>
          <w:rFonts w:ascii="Garamond" w:hAnsi="Garamond"/>
          <w:sz w:val="24"/>
          <w:szCs w:val="24"/>
        </w:rPr>
      </w:pPr>
    </w:p>
    <w:tbl>
      <w:tblPr>
        <w:tblW w:w="0" w:type="auto"/>
        <w:tblLook w:val="00A0"/>
      </w:tblPr>
      <w:tblGrid>
        <w:gridCol w:w="4407"/>
        <w:gridCol w:w="3989"/>
      </w:tblGrid>
      <w:tr w:rsidR="002D22FA" w:rsidRPr="0001780A">
        <w:trPr>
          <w:trHeight w:val="6596"/>
        </w:trPr>
        <w:tc>
          <w:tcPr>
            <w:tcW w:w="4407" w:type="dxa"/>
          </w:tcPr>
          <w:p w:rsidR="002D22FA" w:rsidRPr="0001780A" w:rsidRDefault="002D22FA" w:rsidP="002D22FA">
            <w:pPr>
              <w:spacing w:line="360" w:lineRule="auto"/>
              <w:ind w:right="-45"/>
              <w:jc w:val="both"/>
              <w:rPr>
                <w:rFonts w:ascii="Garamond" w:hAnsi="Garamond"/>
                <w:sz w:val="24"/>
                <w:szCs w:val="24"/>
              </w:rPr>
            </w:pPr>
            <w:r w:rsidRPr="0001780A">
              <w:rPr>
                <w:rFonts w:ascii="Garamond" w:hAnsi="Garamond"/>
                <w:noProof/>
                <w:sz w:val="24"/>
                <w:szCs w:val="24"/>
                <w:lang w:eastAsia="en-GB"/>
              </w:rPr>
              <w:drawing>
                <wp:inline distT="0" distB="0" distL="0" distR="0">
                  <wp:extent cx="2504643" cy="3873500"/>
                  <wp:effectExtent l="25400" t="0" r="9957"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518359" cy="3894712"/>
                          </a:xfrm>
                          <a:prstGeom prst="rect">
                            <a:avLst/>
                          </a:prstGeom>
                          <a:noFill/>
                          <a:ln w="9525">
                            <a:noFill/>
                            <a:miter lim="800000"/>
                            <a:headEnd/>
                            <a:tailEnd/>
                          </a:ln>
                        </pic:spPr>
                      </pic:pic>
                    </a:graphicData>
                  </a:graphic>
                </wp:inline>
              </w:drawing>
            </w:r>
          </w:p>
        </w:tc>
        <w:tc>
          <w:tcPr>
            <w:tcW w:w="3989" w:type="dxa"/>
          </w:tcPr>
          <w:p w:rsidR="00286723" w:rsidRDefault="0050393D" w:rsidP="0050393D">
            <w:pPr>
              <w:pStyle w:val="Caption"/>
              <w:rPr>
                <w:rFonts w:ascii="Perpetua" w:hAnsi="Perpetua"/>
                <w:b w:val="0"/>
                <w:color w:val="auto"/>
                <w:sz w:val="20"/>
              </w:rPr>
            </w:pPr>
            <w:bookmarkStart w:id="223" w:name="_Toc263509003"/>
            <w:bookmarkStart w:id="224" w:name="_Toc263510790"/>
            <w:bookmarkStart w:id="225" w:name="_Toc263495737"/>
            <w:bookmarkStart w:id="226" w:name="_Toc244437511"/>
            <w:bookmarkStart w:id="227" w:name="_Toc244508206"/>
            <w:bookmarkStart w:id="228" w:name="_Toc244577268"/>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6</w:t>
            </w:r>
            <w:r w:rsidR="00DF2DF8" w:rsidRPr="0050393D">
              <w:rPr>
                <w:rFonts w:ascii="Perpetua" w:hAnsi="Perpetua"/>
                <w:b w:val="0"/>
                <w:color w:val="auto"/>
                <w:sz w:val="20"/>
              </w:rPr>
              <w:fldChar w:fldCharType="end"/>
            </w:r>
            <w:r>
              <w:rPr>
                <w:rFonts w:ascii="Perpetua" w:hAnsi="Perpetua"/>
                <w:b w:val="0"/>
                <w:color w:val="auto"/>
                <w:sz w:val="20"/>
              </w:rPr>
              <w:t>:</w:t>
            </w:r>
            <w:r w:rsidRPr="0050393D">
              <w:rPr>
                <w:rFonts w:ascii="Perpetua" w:hAnsi="Perpetua"/>
                <w:b w:val="0"/>
                <w:color w:val="auto"/>
                <w:sz w:val="20"/>
              </w:rPr>
              <w:t xml:space="preserve"> 1880s photograph portrait of Captain Charles Cunningham Boycott.</w:t>
            </w:r>
            <w:bookmarkEnd w:id="223"/>
            <w:bookmarkEnd w:id="224"/>
            <w:r w:rsidRPr="0050393D">
              <w:rPr>
                <w:rFonts w:ascii="Perpetua" w:hAnsi="Perpetua"/>
                <w:b w:val="0"/>
                <w:color w:val="auto"/>
                <w:sz w:val="20"/>
              </w:rPr>
              <w:t xml:space="preserve"> </w:t>
            </w:r>
          </w:p>
          <w:p w:rsidR="0050393D" w:rsidRPr="001A482E" w:rsidRDefault="0050393D" w:rsidP="001A482E">
            <w:pPr>
              <w:rPr>
                <w:rFonts w:ascii="Perpetua" w:hAnsi="Perpetua"/>
                <w:sz w:val="20"/>
              </w:rPr>
            </w:pPr>
            <w:r w:rsidRPr="001A482E">
              <w:rPr>
                <w:rFonts w:ascii="Perpetua" w:hAnsi="Perpetua"/>
                <w:sz w:val="20"/>
              </w:rPr>
              <w:t>Captain Boycott appears to us as a frontier guardian of a romantic landscape complete with a gazebo. At the bottom of the portrait you can make out the creases of cloth that betray the simulacrum. In 1880, the Irish Land League under Charles Parnell spoke of shunning English land agents who evicted tenants from their farms and property. The rifle here in Captain Boycott’s hand was of little use when first his tenants, and then his servants, blacksmith and laundress, shunned him and left his estate. Local shopkeepers refused him food and the postman skipped his deliveries (Laidler, 1913; Smith, 1990; Friedman, 1999). Captain Boycott was symbolically, at least, left in the 'wilderness'. Available at: https://sphotos-a-ord.xx.fbcdn.net/hphotos-ash4_n.jpg (Accessed: 6 August 2011)</w:t>
            </w:r>
            <w:bookmarkEnd w:id="225"/>
          </w:p>
          <w:bookmarkEnd w:id="226"/>
          <w:bookmarkEnd w:id="227"/>
          <w:bookmarkEnd w:id="228"/>
          <w:p w:rsidR="002D22FA" w:rsidRPr="0050393D" w:rsidRDefault="002D22FA" w:rsidP="0050393D">
            <w:pPr>
              <w:keepNext/>
              <w:spacing w:line="240" w:lineRule="auto"/>
              <w:ind w:right="-45"/>
              <w:jc w:val="both"/>
              <w:rPr>
                <w:rFonts w:ascii="Perpetua" w:hAnsi="Perpetua"/>
                <w:sz w:val="20"/>
                <w:szCs w:val="20"/>
              </w:rPr>
            </w:pPr>
          </w:p>
        </w:tc>
      </w:tr>
    </w:tbl>
    <w:p w:rsidR="00434B8C" w:rsidRDefault="00434B8C" w:rsidP="002D22FA">
      <w:pPr>
        <w:spacing w:after="0" w:line="360" w:lineRule="auto"/>
        <w:ind w:right="-45"/>
        <w:jc w:val="both"/>
        <w:rPr>
          <w:rFonts w:ascii="Garamond" w:hAnsi="Garamond"/>
          <w:sz w:val="24"/>
          <w:szCs w:val="24"/>
        </w:rPr>
      </w:pPr>
    </w:p>
    <w:p w:rsidR="00434B8C" w:rsidRDefault="00434B8C" w:rsidP="002D22FA">
      <w:pPr>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Within months the term </w:t>
      </w:r>
      <w:r w:rsidR="004B75DB">
        <w:rPr>
          <w:rFonts w:ascii="Garamond" w:hAnsi="Garamond"/>
          <w:sz w:val="24"/>
          <w:szCs w:val="24"/>
        </w:rPr>
        <w:t>‘</w:t>
      </w:r>
      <w:r w:rsidRPr="0001780A">
        <w:rPr>
          <w:rFonts w:ascii="Garamond" w:hAnsi="Garamond"/>
          <w:sz w:val="24"/>
          <w:szCs w:val="24"/>
        </w:rPr>
        <w:t>boycott</w:t>
      </w:r>
      <w:r w:rsidR="004B75DB">
        <w:rPr>
          <w:rFonts w:ascii="Garamond" w:hAnsi="Garamond"/>
          <w:sz w:val="24"/>
          <w:szCs w:val="24"/>
        </w:rPr>
        <w:t>’</w:t>
      </w:r>
      <w:r w:rsidRPr="0001780A">
        <w:rPr>
          <w:rFonts w:ascii="Garamond" w:hAnsi="Garamond"/>
          <w:sz w:val="24"/>
          <w:szCs w:val="24"/>
        </w:rPr>
        <w:t xml:space="preserve"> was generating new baggage in regional and national press offices. In December 1880, an English butcher “was charged with buying the sheep </w:t>
      </w:r>
      <w:r w:rsidRPr="0001780A">
        <w:rPr>
          <w:rFonts w:ascii="Garamond" w:hAnsi="Garamond"/>
          <w:sz w:val="24"/>
          <w:szCs w:val="24"/>
        </w:rPr>
        <w:lastRenderedPageBreak/>
        <w:t>of a boycotted farmer” (</w:t>
      </w:r>
      <w:r w:rsidRPr="0001780A">
        <w:rPr>
          <w:rFonts w:ascii="Garamond" w:hAnsi="Garamond"/>
          <w:i/>
          <w:iCs/>
          <w:sz w:val="24"/>
          <w:szCs w:val="24"/>
        </w:rPr>
        <w:t xml:space="preserve">The Times </w:t>
      </w:r>
      <w:r w:rsidRPr="0001780A">
        <w:rPr>
          <w:rFonts w:ascii="Garamond" w:hAnsi="Garamond"/>
          <w:sz w:val="24"/>
          <w:szCs w:val="24"/>
        </w:rPr>
        <w:t>December 9, 10/2), and in the same month</w:t>
      </w:r>
      <w:r w:rsidR="004B75DB">
        <w:rPr>
          <w:rFonts w:ascii="Garamond" w:hAnsi="Garamond"/>
          <w:sz w:val="24"/>
          <w:szCs w:val="24"/>
        </w:rPr>
        <w:t>,</w:t>
      </w:r>
      <w:r w:rsidRPr="0001780A">
        <w:rPr>
          <w:rFonts w:ascii="Garamond" w:hAnsi="Garamond"/>
          <w:sz w:val="24"/>
          <w:szCs w:val="24"/>
        </w:rPr>
        <w:t xml:space="preserve"> the </w:t>
      </w:r>
      <w:r w:rsidRPr="0001780A">
        <w:rPr>
          <w:rFonts w:ascii="Garamond" w:hAnsi="Garamond"/>
          <w:i/>
          <w:iCs/>
          <w:sz w:val="24"/>
          <w:szCs w:val="24"/>
        </w:rPr>
        <w:t xml:space="preserve">Illustrated London News </w:t>
      </w:r>
      <w:r w:rsidRPr="0001780A">
        <w:rPr>
          <w:rFonts w:ascii="Garamond" w:hAnsi="Garamond"/>
          <w:sz w:val="24"/>
          <w:szCs w:val="24"/>
        </w:rPr>
        <w:t>declared, “To boycott has already become a verb active, signifying to ‘ratten’, to intimidate, to ‘send to Cove</w:t>
      </w:r>
      <w:r>
        <w:rPr>
          <w:rFonts w:ascii="Garamond" w:hAnsi="Garamond"/>
          <w:sz w:val="24"/>
          <w:szCs w:val="24"/>
        </w:rPr>
        <w:t>ntry’, and to taboo” (1880: 587/</w:t>
      </w:r>
      <w:r w:rsidRPr="0001780A">
        <w:rPr>
          <w:rFonts w:ascii="Garamond" w:hAnsi="Garamond"/>
          <w:sz w:val="24"/>
          <w:szCs w:val="24"/>
        </w:rPr>
        <w:t xml:space="preserve">1). As news of the relative success of the boycotters filtered from the British landowning class to the rest of society, boycotts became feared in British metropolitan circles </w:t>
      </w:r>
      <w:r w:rsidR="004B75DB">
        <w:rPr>
          <w:rFonts w:ascii="Garamond" w:hAnsi="Garamond"/>
          <w:sz w:val="24"/>
          <w:szCs w:val="24"/>
        </w:rPr>
        <w:t xml:space="preserve">as a type of 'Irish plague', a </w:t>
      </w:r>
      <w:r w:rsidR="004B75DB" w:rsidRPr="0001780A">
        <w:rPr>
          <w:rFonts w:ascii="Garamond" w:hAnsi="Garamond"/>
          <w:sz w:val="24"/>
          <w:szCs w:val="24"/>
        </w:rPr>
        <w:t>'</w:t>
      </w:r>
      <w:r w:rsidR="004B75DB">
        <w:rPr>
          <w:rFonts w:ascii="Garamond" w:hAnsi="Garamond"/>
          <w:sz w:val="24"/>
          <w:szCs w:val="24"/>
        </w:rPr>
        <w:t>cowardly</w:t>
      </w:r>
      <w:r w:rsidR="004B75DB" w:rsidRPr="0001780A">
        <w:rPr>
          <w:rFonts w:ascii="Garamond" w:hAnsi="Garamond"/>
          <w:sz w:val="24"/>
          <w:szCs w:val="24"/>
        </w:rPr>
        <w:t>'</w:t>
      </w:r>
      <w:r w:rsidRPr="0001780A">
        <w:rPr>
          <w:rFonts w:ascii="Garamond" w:hAnsi="Garamond"/>
          <w:sz w:val="24"/>
          <w:szCs w:val="24"/>
        </w:rPr>
        <w:t xml:space="preserve"> weapon of the weak, which could bring business to a standstill. </w:t>
      </w:r>
      <w:r w:rsidRPr="0001780A">
        <w:rPr>
          <w:rFonts w:ascii="Garamond" w:hAnsi="Garamond"/>
          <w:i/>
          <w:iCs/>
          <w:sz w:val="24"/>
          <w:szCs w:val="24"/>
        </w:rPr>
        <w:t xml:space="preserve">The Times </w:t>
      </w:r>
      <w:r w:rsidRPr="0001780A">
        <w:rPr>
          <w:rFonts w:ascii="Garamond" w:hAnsi="Garamond"/>
          <w:sz w:val="24"/>
          <w:szCs w:val="24"/>
        </w:rPr>
        <w:t>suggested that boycotting was both unlawful and unpatriotic:</w:t>
      </w:r>
    </w:p>
    <w:p w:rsidR="002D22FA" w:rsidRPr="0001780A" w:rsidRDefault="002D22FA" w:rsidP="002D22FA">
      <w:pPr>
        <w:spacing w:after="0" w:line="360" w:lineRule="auto"/>
        <w:ind w:right="-45"/>
        <w:jc w:val="both"/>
        <w:rPr>
          <w:rFonts w:ascii="Garamond" w:hAnsi="Garamond"/>
          <w:sz w:val="24"/>
          <w:szCs w:val="24"/>
        </w:rPr>
      </w:pPr>
    </w:p>
    <w:p w:rsidR="002D22FA" w:rsidRPr="004B75DB" w:rsidRDefault="002D22FA" w:rsidP="002D22FA">
      <w:pPr>
        <w:spacing w:after="0" w:line="360" w:lineRule="auto"/>
        <w:ind w:left="283" w:right="379"/>
        <w:jc w:val="both"/>
        <w:rPr>
          <w:rFonts w:ascii="Garamond" w:hAnsi="Garamond"/>
        </w:rPr>
      </w:pPr>
      <w:r w:rsidRPr="004B75DB">
        <w:rPr>
          <w:rFonts w:ascii="Garamond" w:hAnsi="Garamond"/>
        </w:rPr>
        <w:t>It means that a peaceful subject of the Queen is denied food and drink, and that he is run down in his business; that his cattle are unsalable at fairs; that the smith will not shoe his horse nor the carpenter mend his cart; that old friends pass him by on the other side of the street, making the sign of the cross; that his children are hooted at the village school; that he sits apart like an outcast, in his usual place of worship, all for doing nothing that the law says he has a perfect right to do. (</w:t>
      </w:r>
      <w:r w:rsidRPr="004B75DB">
        <w:rPr>
          <w:rFonts w:ascii="Garamond" w:hAnsi="Garamond"/>
          <w:i/>
          <w:iCs/>
        </w:rPr>
        <w:t xml:space="preserve">The Times 1885, </w:t>
      </w:r>
      <w:r w:rsidRPr="004B75DB">
        <w:rPr>
          <w:rFonts w:ascii="Garamond" w:hAnsi="Garamond"/>
        </w:rPr>
        <w:t>in Laidler, 1913: 26)</w:t>
      </w:r>
    </w:p>
    <w:p w:rsidR="002D22FA" w:rsidRPr="0001780A" w:rsidRDefault="002D22FA" w:rsidP="002D22FA">
      <w:pPr>
        <w:spacing w:after="0" w:line="360" w:lineRule="auto"/>
        <w:ind w:left="283" w:right="379"/>
        <w:jc w:val="both"/>
        <w:rPr>
          <w:rFonts w:ascii="Garamond" w:hAnsi="Garamond"/>
          <w:sz w:val="24"/>
        </w:rPr>
      </w:pPr>
    </w:p>
    <w:p w:rsidR="004B75DB"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In </w:t>
      </w:r>
      <w:r w:rsidRPr="0001780A">
        <w:rPr>
          <w:rFonts w:ascii="Garamond" w:hAnsi="Garamond"/>
          <w:i/>
          <w:iCs/>
          <w:sz w:val="24"/>
          <w:szCs w:val="24"/>
        </w:rPr>
        <w:t xml:space="preserve">Boycotts and the Labor Struggle, </w:t>
      </w:r>
      <w:r w:rsidRPr="0001780A">
        <w:rPr>
          <w:rFonts w:ascii="Garamond" w:hAnsi="Garamond"/>
          <w:sz w:val="24"/>
          <w:szCs w:val="24"/>
        </w:rPr>
        <w:t>Laidler remarks that the English fear</w:t>
      </w:r>
      <w:r>
        <w:rPr>
          <w:rFonts w:ascii="Garamond" w:hAnsi="Garamond"/>
          <w:sz w:val="24"/>
          <w:szCs w:val="24"/>
        </w:rPr>
        <w:t xml:space="preserve"> of boycotts was a reaction to </w:t>
      </w:r>
      <w:r w:rsidRPr="0001780A">
        <w:rPr>
          <w:rFonts w:ascii="Garamond" w:hAnsi="Garamond"/>
          <w:sz w:val="24"/>
          <w:szCs w:val="24"/>
        </w:rPr>
        <w:t xml:space="preserve">their effectiveness in Ireland and their success in calling the “attention of the people of England and Ireland as perhaps did no other weapon to many grave injustices” (1913: 26). Originally a description contextualized by Irish home-rule, by the start of the twentieth century the term </w:t>
      </w:r>
      <w:r w:rsidR="004B75DB" w:rsidRPr="0001780A">
        <w:rPr>
          <w:rFonts w:ascii="Garamond" w:hAnsi="Garamond"/>
          <w:sz w:val="24"/>
          <w:szCs w:val="24"/>
        </w:rPr>
        <w:t>'</w:t>
      </w:r>
      <w:r w:rsidRPr="0001780A">
        <w:rPr>
          <w:rFonts w:ascii="Garamond" w:hAnsi="Garamond"/>
          <w:sz w:val="24"/>
          <w:szCs w:val="24"/>
        </w:rPr>
        <w:t>boycott</w:t>
      </w:r>
      <w:r w:rsidR="004B75DB" w:rsidRPr="0001780A">
        <w:rPr>
          <w:rFonts w:ascii="Garamond" w:hAnsi="Garamond"/>
          <w:sz w:val="24"/>
          <w:szCs w:val="24"/>
        </w:rPr>
        <w:t>'</w:t>
      </w:r>
      <w:r w:rsidRPr="0001780A">
        <w:rPr>
          <w:rFonts w:ascii="Garamond" w:hAnsi="Garamond"/>
          <w:sz w:val="24"/>
          <w:szCs w:val="24"/>
        </w:rPr>
        <w:t xml:space="preserve"> had evolved to become common parlance describing an expression of discontent with capitalist labour conditions </w:t>
      </w:r>
      <w:r w:rsidR="004B75DB">
        <w:rPr>
          <w:rFonts w:ascii="Garamond" w:hAnsi="Garamond"/>
          <w:sz w:val="24"/>
          <w:szCs w:val="24"/>
        </w:rPr>
        <w:t xml:space="preserve">on both sides of the Atlantic. </w:t>
      </w:r>
      <w:r w:rsidR="004B75DB" w:rsidRPr="0001780A">
        <w:rPr>
          <w:rFonts w:ascii="Garamond" w:hAnsi="Garamond"/>
          <w:sz w:val="24"/>
          <w:szCs w:val="24"/>
        </w:rPr>
        <w:t>'</w:t>
      </w:r>
      <w:r w:rsidR="004B75DB">
        <w:rPr>
          <w:rFonts w:ascii="Garamond" w:hAnsi="Garamond"/>
          <w:sz w:val="24"/>
          <w:szCs w:val="24"/>
        </w:rPr>
        <w:t>Stand in</w:t>
      </w:r>
      <w:r w:rsidR="004B75DB" w:rsidRPr="0001780A">
        <w:rPr>
          <w:rFonts w:ascii="Garamond" w:hAnsi="Garamond"/>
          <w:sz w:val="24"/>
          <w:szCs w:val="24"/>
        </w:rPr>
        <w:t>'</w:t>
      </w:r>
      <w:r w:rsidRPr="0001780A">
        <w:rPr>
          <w:rFonts w:ascii="Garamond" w:hAnsi="Garamond"/>
          <w:sz w:val="24"/>
          <w:szCs w:val="24"/>
        </w:rPr>
        <w:t xml:space="preserve"> boycotts were used by protesters as a form of obstructionist action in auction halls during the 1880s (Friedman, 1999), and by the turn of the twentieth century boycotts of meat, hats, clothing and furniture were initiated by Chinese, Irish and Eastern European immigrants to the USA (Laidler, 1913; Wolman, 1914;</w:t>
      </w:r>
      <w:r>
        <w:rPr>
          <w:rFonts w:ascii="Garamond" w:hAnsi="Garamond"/>
          <w:sz w:val="24"/>
          <w:szCs w:val="24"/>
        </w:rPr>
        <w:t xml:space="preserve"> Friedman, 1999</w:t>
      </w:r>
      <w:r w:rsidRPr="0001780A">
        <w:rPr>
          <w:rFonts w:ascii="Garamond" w:hAnsi="Garamond"/>
          <w:sz w:val="24"/>
          <w:szCs w:val="24"/>
        </w:rPr>
        <w:t xml:space="preserve">). </w:t>
      </w:r>
    </w:p>
    <w:p w:rsidR="004B75DB" w:rsidRDefault="004B75DB" w:rsidP="002D22FA">
      <w:pPr>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Writing in Boston in 1913, Laidler defined boycotts as:</w:t>
      </w:r>
    </w:p>
    <w:p w:rsidR="002D22FA" w:rsidRPr="0001780A" w:rsidRDefault="002D22FA" w:rsidP="002D22FA">
      <w:pPr>
        <w:spacing w:after="0" w:line="360" w:lineRule="auto"/>
        <w:ind w:right="-45"/>
        <w:jc w:val="both"/>
        <w:rPr>
          <w:rFonts w:ascii="Garamond" w:hAnsi="Garamond"/>
          <w:sz w:val="24"/>
          <w:szCs w:val="24"/>
        </w:rPr>
      </w:pPr>
    </w:p>
    <w:p w:rsidR="002D22FA" w:rsidRPr="004B75DB" w:rsidRDefault="002D22FA" w:rsidP="002D22FA">
      <w:pPr>
        <w:spacing w:after="0" w:line="360" w:lineRule="auto"/>
        <w:ind w:left="283" w:right="379"/>
        <w:jc w:val="both"/>
        <w:rPr>
          <w:rFonts w:ascii="Garamond" w:hAnsi="Garamond"/>
        </w:rPr>
      </w:pPr>
      <w:r w:rsidRPr="004B75DB">
        <w:rPr>
          <w:rFonts w:ascii="Garamond" w:hAnsi="Garamond"/>
        </w:rPr>
        <w:t xml:space="preserve">[A]n organised effort to withdraw and induce others to withdraw from social or business relations with each other. (1913: 27)  </w:t>
      </w:r>
    </w:p>
    <w:p w:rsidR="002D22FA" w:rsidRPr="0001780A" w:rsidRDefault="002D22FA" w:rsidP="002D22FA">
      <w:pPr>
        <w:spacing w:after="0" w:line="360" w:lineRule="auto"/>
        <w:ind w:left="283" w:right="379"/>
        <w:jc w:val="both"/>
        <w:rPr>
          <w:rFonts w:ascii="Garamond" w:hAnsi="Garamond"/>
          <w:sz w:val="24"/>
        </w:rPr>
      </w:pPr>
    </w:p>
    <w:p w:rsidR="004B75DB" w:rsidRDefault="002D22FA" w:rsidP="002D22FA">
      <w:pPr>
        <w:spacing w:after="0" w:line="360" w:lineRule="auto"/>
        <w:jc w:val="both"/>
        <w:rPr>
          <w:rFonts w:ascii="Garamond" w:hAnsi="Garamond"/>
          <w:sz w:val="24"/>
          <w:szCs w:val="24"/>
        </w:rPr>
      </w:pPr>
      <w:r w:rsidRPr="0001780A">
        <w:rPr>
          <w:rFonts w:ascii="Garamond" w:hAnsi="Garamond"/>
          <w:sz w:val="24"/>
          <w:szCs w:val="24"/>
        </w:rPr>
        <w:t>The labour boy</w:t>
      </w:r>
      <w:r>
        <w:rPr>
          <w:rFonts w:ascii="Garamond" w:hAnsi="Garamond"/>
          <w:sz w:val="24"/>
          <w:szCs w:val="24"/>
        </w:rPr>
        <w:t xml:space="preserve">cotts and pickets in early-twentieth </w:t>
      </w:r>
      <w:r w:rsidRPr="0001780A">
        <w:rPr>
          <w:rFonts w:ascii="Garamond" w:hAnsi="Garamond"/>
          <w:sz w:val="24"/>
          <w:szCs w:val="24"/>
        </w:rPr>
        <w:t>century USA tapped into a legacy of anti-consumption extending to th</w:t>
      </w:r>
      <w:r w:rsidR="00A74967">
        <w:rPr>
          <w:rFonts w:ascii="Garamond" w:hAnsi="Garamond"/>
          <w:sz w:val="24"/>
          <w:szCs w:val="24"/>
        </w:rPr>
        <w:t xml:space="preserve">e inception of the Union in </w:t>
      </w:r>
      <w:r w:rsidRPr="0001780A">
        <w:rPr>
          <w:rFonts w:ascii="Garamond" w:hAnsi="Garamond"/>
          <w:sz w:val="24"/>
          <w:szCs w:val="24"/>
        </w:rPr>
        <w:t xml:space="preserve">1776. The rejection of British goods by American patriots in 1773/4 is considered by food scholars Gabriel </w:t>
      </w:r>
      <w:r w:rsidR="00F152DB">
        <w:rPr>
          <w:rFonts w:ascii="Garamond" w:hAnsi="Garamond"/>
          <w:sz w:val="24"/>
          <w:szCs w:val="24"/>
        </w:rPr>
        <w:t>and</w:t>
      </w:r>
      <w:r w:rsidRPr="0001780A">
        <w:rPr>
          <w:rFonts w:ascii="Garamond" w:hAnsi="Garamond"/>
          <w:sz w:val="24"/>
          <w:szCs w:val="24"/>
        </w:rPr>
        <w:t xml:space="preserve"> Lang (200</w:t>
      </w:r>
      <w:r>
        <w:rPr>
          <w:rFonts w:ascii="Garamond" w:hAnsi="Garamond"/>
          <w:sz w:val="24"/>
          <w:szCs w:val="24"/>
        </w:rPr>
        <w:t>5</w:t>
      </w:r>
      <w:r w:rsidRPr="0001780A">
        <w:rPr>
          <w:rFonts w:ascii="Garamond" w:hAnsi="Garamond"/>
          <w:sz w:val="24"/>
          <w:szCs w:val="24"/>
        </w:rPr>
        <w:t xml:space="preserve">) and historians Witkowski (1989) and Breen (2010) to be the first boycott of the modern era. Craig Smith (1990) argues that the boycott is as ‘American as apple pie’, </w:t>
      </w:r>
      <w:r w:rsidRPr="0001780A">
        <w:rPr>
          <w:rFonts w:ascii="Garamond" w:hAnsi="Garamond"/>
          <w:sz w:val="24"/>
          <w:szCs w:val="24"/>
        </w:rPr>
        <w:lastRenderedPageBreak/>
        <w:t>a perspective taken literally by Breen (1993) and Witkowski (1989) who suggest that the American revolution evolved from the boycotts of British tea and other goods – “no previous rebellion had organised itself so centrally ar</w:t>
      </w:r>
      <w:r>
        <w:rPr>
          <w:rFonts w:ascii="Garamond" w:hAnsi="Garamond"/>
          <w:sz w:val="24"/>
          <w:szCs w:val="24"/>
        </w:rPr>
        <w:t>ound the consumer” (Breen, 1993:</w:t>
      </w:r>
      <w:r w:rsidRPr="0001780A">
        <w:rPr>
          <w:rFonts w:ascii="Garamond" w:hAnsi="Garamond"/>
          <w:sz w:val="24"/>
          <w:szCs w:val="24"/>
        </w:rPr>
        <w:t xml:space="preserve"> 486). The boycott of East India Tea united patriots from the thirteen colonies in purchasing from national manufacturers at a personal loss. The patriot press at the time identified personal sacrifice as a way of promoting unity and the Continental Congress ordered settlements to each elect a boycott committee to monitor progress (Breen, 2010). Individual sacrifice was tied to American nationalism, and anti-consumer networks encouraged unity between the thirteen colonies. To Breen (2</w:t>
      </w:r>
      <w:r>
        <w:rPr>
          <w:rFonts w:ascii="Garamond" w:hAnsi="Garamond"/>
          <w:sz w:val="24"/>
          <w:szCs w:val="24"/>
        </w:rPr>
        <w:t>005</w:t>
      </w:r>
      <w:r w:rsidRPr="0001780A">
        <w:rPr>
          <w:rFonts w:ascii="Garamond" w:hAnsi="Garamond"/>
          <w:sz w:val="24"/>
          <w:szCs w:val="24"/>
        </w:rPr>
        <w:t>) and Witkowski (1989)</w:t>
      </w:r>
      <w:r>
        <w:rPr>
          <w:rFonts w:ascii="Garamond" w:hAnsi="Garamond"/>
          <w:sz w:val="24"/>
          <w:szCs w:val="24"/>
        </w:rPr>
        <w:t>,</w:t>
      </w:r>
      <w:r w:rsidRPr="0001780A">
        <w:rPr>
          <w:rFonts w:ascii="Garamond" w:hAnsi="Garamond"/>
          <w:sz w:val="24"/>
          <w:szCs w:val="24"/>
        </w:rPr>
        <w:t xml:space="preserve"> the Boston Tea Party marked the birth of the modern anti-colonialist consumer rebelling against the didacts of the colonial metropolis. The right to boycott was also essential to the development of Americ</w:t>
      </w:r>
      <w:r w:rsidR="004B75DB">
        <w:rPr>
          <w:rFonts w:ascii="Garamond" w:hAnsi="Garamond"/>
          <w:sz w:val="24"/>
          <w:szCs w:val="24"/>
        </w:rPr>
        <w:t xml:space="preserve">an labour rights (Smith, 1990), and </w:t>
      </w:r>
      <w:r w:rsidRPr="0001780A">
        <w:rPr>
          <w:rFonts w:ascii="Garamond" w:hAnsi="Garamond"/>
          <w:sz w:val="24"/>
          <w:szCs w:val="24"/>
        </w:rPr>
        <w:t>American historians “attribute a central role to boycotts in the labour struggl</w:t>
      </w:r>
      <w:r>
        <w:rPr>
          <w:rFonts w:ascii="Garamond" w:hAnsi="Garamond"/>
          <w:sz w:val="24"/>
          <w:szCs w:val="24"/>
        </w:rPr>
        <w:t>es for unionisation” (ibid.</w:t>
      </w:r>
      <w:r w:rsidR="004B75DB">
        <w:rPr>
          <w:rFonts w:ascii="Garamond" w:hAnsi="Garamond"/>
          <w:sz w:val="24"/>
          <w:szCs w:val="24"/>
        </w:rPr>
        <w:t>: 146).</w:t>
      </w:r>
    </w:p>
    <w:p w:rsidR="002D22FA" w:rsidRPr="0001780A" w:rsidRDefault="002D22FA" w:rsidP="002D22FA">
      <w:pPr>
        <w:spacing w:after="0" w:line="360" w:lineRule="auto"/>
        <w:jc w:val="both"/>
        <w:rPr>
          <w:rFonts w:ascii="Garamond" w:hAnsi="Garamond"/>
          <w:sz w:val="24"/>
          <w:szCs w:val="24"/>
        </w:rPr>
      </w:pPr>
    </w:p>
    <w:p w:rsidR="002D22FA" w:rsidRPr="004B75DB" w:rsidRDefault="002D22FA" w:rsidP="004B75DB">
      <w:pPr>
        <w:spacing w:after="0" w:line="360" w:lineRule="auto"/>
        <w:jc w:val="center"/>
        <w:rPr>
          <w:rFonts w:ascii="Garamond" w:hAnsi="Garamond"/>
          <w:sz w:val="24"/>
          <w:szCs w:val="24"/>
        </w:rPr>
      </w:pPr>
      <w:r w:rsidRPr="0001780A">
        <w:rPr>
          <w:rFonts w:ascii="Garamond" w:hAnsi="Garamond"/>
          <w:noProof/>
          <w:sz w:val="24"/>
          <w:szCs w:val="24"/>
          <w:lang w:eastAsia="en-GB"/>
        </w:rPr>
        <w:drawing>
          <wp:inline distT="0" distB="0" distL="0" distR="0">
            <wp:extent cx="4826000" cy="3257549"/>
            <wp:effectExtent l="25400" t="0" r="0" b="0"/>
            <wp:docPr id="29" name="Picture 19" descr="http://upload.wikimedia.org/wikipedia/commons/c/ce/Boston_Tea_Party_Plaque_-_Independence_Wharf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c/ce/Boston_Tea_Party_Plaque_-_Independence_Wharf_2009.jpg"/>
                    <pic:cNvPicPr>
                      <a:picLocks noChangeAspect="1" noChangeArrowheads="1"/>
                    </pic:cNvPicPr>
                  </pic:nvPicPr>
                  <pic:blipFill>
                    <a:blip r:embed="rId18" cstate="print"/>
                    <a:srcRect/>
                    <a:stretch>
                      <a:fillRect/>
                    </a:stretch>
                  </pic:blipFill>
                  <pic:spPr bwMode="auto">
                    <a:xfrm>
                      <a:off x="0" y="0"/>
                      <a:ext cx="4837899" cy="3265581"/>
                    </a:xfrm>
                    <a:prstGeom prst="rect">
                      <a:avLst/>
                    </a:prstGeom>
                    <a:noFill/>
                    <a:ln w="9525">
                      <a:noFill/>
                      <a:miter lim="800000"/>
                      <a:headEnd/>
                      <a:tailEnd/>
                    </a:ln>
                  </pic:spPr>
                </pic:pic>
              </a:graphicData>
            </a:graphic>
          </wp:inline>
        </w:drawing>
      </w:r>
    </w:p>
    <w:p w:rsidR="004A7172" w:rsidRDefault="004A7172" w:rsidP="0050393D">
      <w:pPr>
        <w:pStyle w:val="Caption"/>
        <w:rPr>
          <w:rFonts w:ascii="Perpetua" w:hAnsi="Perpetua"/>
          <w:b w:val="0"/>
          <w:color w:val="auto"/>
          <w:sz w:val="20"/>
        </w:rPr>
      </w:pPr>
      <w:bookmarkStart w:id="229" w:name="_Toc263509004"/>
      <w:bookmarkStart w:id="230" w:name="_Toc244437512"/>
      <w:bookmarkStart w:id="231" w:name="_Toc244508207"/>
      <w:bookmarkStart w:id="232" w:name="_Toc244577269"/>
      <w:bookmarkStart w:id="233" w:name="_Toc263495738"/>
    </w:p>
    <w:p w:rsidR="001A482E" w:rsidRDefault="0050393D" w:rsidP="004A7172">
      <w:pPr>
        <w:pStyle w:val="Caption"/>
        <w:ind w:left="284"/>
      </w:pPr>
      <w:bookmarkStart w:id="234" w:name="_Toc263510791"/>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7</w:t>
      </w:r>
      <w:r w:rsidR="00DF2DF8" w:rsidRPr="0050393D">
        <w:rPr>
          <w:rFonts w:ascii="Perpetua" w:hAnsi="Perpetua"/>
          <w:b w:val="0"/>
          <w:color w:val="auto"/>
          <w:sz w:val="20"/>
        </w:rPr>
        <w:fldChar w:fldCharType="end"/>
      </w:r>
      <w:r w:rsidRPr="0050393D">
        <w:rPr>
          <w:rFonts w:ascii="Perpetua" w:hAnsi="Perpetua"/>
          <w:b w:val="0"/>
          <w:color w:val="auto"/>
          <w:sz w:val="20"/>
        </w:rPr>
        <w:t>: Photograph of Boston Tea Party Uprising commemorative plaque.</w:t>
      </w:r>
      <w:bookmarkEnd w:id="229"/>
      <w:bookmarkEnd w:id="234"/>
      <w:r>
        <w:t xml:space="preserve"> </w:t>
      </w:r>
    </w:p>
    <w:p w:rsidR="002D22FA" w:rsidRPr="001A482E" w:rsidRDefault="002D22FA" w:rsidP="004A7172">
      <w:pPr>
        <w:ind w:left="284"/>
        <w:rPr>
          <w:rFonts w:ascii="Perpetua" w:hAnsi="Perpetua"/>
          <w:sz w:val="20"/>
        </w:rPr>
      </w:pPr>
      <w:r w:rsidRPr="001A482E">
        <w:rPr>
          <w:rFonts w:ascii="Perpetua" w:hAnsi="Perpetua"/>
          <w:sz w:val="20"/>
        </w:rPr>
        <w:t>Located near the </w:t>
      </w:r>
      <w:hyperlink r:id="rId19" w:tooltip="w:Fort Point Channel" w:history="1">
        <w:r w:rsidRPr="001A482E">
          <w:rPr>
            <w:rFonts w:ascii="Perpetua" w:hAnsi="Perpetua"/>
            <w:sz w:val="20"/>
          </w:rPr>
          <w:t>Fort Point Channel</w:t>
        </w:r>
      </w:hyperlink>
      <w:r w:rsidRPr="001A482E">
        <w:rPr>
          <w:rFonts w:ascii="Perpetua" w:hAnsi="Perpetua"/>
          <w:sz w:val="20"/>
        </w:rPr>
        <w:t xml:space="preserve">, Boston. The text commemorates the actions of ninety Boston patriots who "partly disguised as Indians, boarded the ships and threw the cargoes' three hundred and forty two [tea] chests in all into the sea". Image courtesy of </w:t>
      </w:r>
      <w:r w:rsidR="004B75DB" w:rsidRPr="001A482E">
        <w:rPr>
          <w:rFonts w:ascii="Perpetua" w:hAnsi="Perpetua"/>
          <w:sz w:val="20"/>
        </w:rPr>
        <w:t>CaribDigita.</w:t>
      </w:r>
      <w:r w:rsidR="00D819BA" w:rsidRPr="001A482E">
        <w:rPr>
          <w:rFonts w:ascii="Perpetua" w:hAnsi="Perpetua"/>
          <w:sz w:val="20"/>
        </w:rPr>
        <w:t xml:space="preserve"> Available at:</w:t>
      </w:r>
      <w:r w:rsidR="0050393D" w:rsidRPr="001A482E">
        <w:rPr>
          <w:rFonts w:ascii="Perpetua" w:hAnsi="Perpetua"/>
          <w:sz w:val="20"/>
        </w:rPr>
        <w:t xml:space="preserve"> </w:t>
      </w:r>
      <w:r w:rsidRPr="001A482E">
        <w:rPr>
          <w:rFonts w:ascii="Perpetua" w:hAnsi="Perpetua"/>
          <w:sz w:val="20"/>
        </w:rPr>
        <w:t>http://commons.wikimedia.org/wiki/File:Boston_Tea_Party_Plaque_-</w:t>
      </w:r>
      <w:r w:rsidR="00D819BA" w:rsidRPr="001A482E">
        <w:rPr>
          <w:rFonts w:ascii="Perpetua" w:hAnsi="Perpetua"/>
          <w:sz w:val="20"/>
        </w:rPr>
        <w:t xml:space="preserve"> </w:t>
      </w:r>
      <w:r w:rsidRPr="001A482E">
        <w:rPr>
          <w:rFonts w:ascii="Perpetua" w:hAnsi="Perpetua"/>
          <w:sz w:val="20"/>
        </w:rPr>
        <w:t>_Independence_Wharf_2009.jpg (Accessed: 10 April 2012).</w:t>
      </w:r>
      <w:bookmarkEnd w:id="230"/>
      <w:bookmarkEnd w:id="231"/>
      <w:bookmarkEnd w:id="232"/>
      <w:bookmarkEnd w:id="233"/>
    </w:p>
    <w:p w:rsidR="002D22FA" w:rsidRPr="0001780A" w:rsidRDefault="002D22FA" w:rsidP="002D22FA">
      <w:pPr>
        <w:spacing w:after="0" w:line="360" w:lineRule="auto"/>
        <w:jc w:val="both"/>
        <w:rPr>
          <w:rFonts w:ascii="Garamond" w:hAnsi="Garamond"/>
          <w:sz w:val="24"/>
          <w:szCs w:val="24"/>
        </w:rPr>
      </w:pPr>
    </w:p>
    <w:p w:rsidR="00D819BA" w:rsidRDefault="002D22FA" w:rsidP="002D22FA">
      <w:pPr>
        <w:spacing w:after="0" w:line="360" w:lineRule="auto"/>
        <w:jc w:val="both"/>
        <w:rPr>
          <w:rFonts w:ascii="Garamond" w:hAnsi="Garamond"/>
          <w:sz w:val="24"/>
          <w:szCs w:val="24"/>
        </w:rPr>
      </w:pPr>
      <w:r w:rsidRPr="0001780A">
        <w:rPr>
          <w:rFonts w:ascii="Garamond" w:hAnsi="Garamond"/>
          <w:bCs/>
          <w:sz w:val="24"/>
          <w:szCs w:val="24"/>
        </w:rPr>
        <w:lastRenderedPageBreak/>
        <w:t xml:space="preserve">Where the boycott of British tea became a symbol for American independence, boycotting Manchester textiles, and ‘buycotting’ (the process of diverting consumption away from egregious commodities through the purchasing of valorized goods, </w:t>
      </w:r>
      <w:r w:rsidR="004B75DB">
        <w:rPr>
          <w:rFonts w:ascii="Garamond" w:hAnsi="Garamond"/>
          <w:bCs/>
          <w:sz w:val="24"/>
          <w:szCs w:val="24"/>
        </w:rPr>
        <w:t>(</w:t>
      </w:r>
      <w:r w:rsidRPr="0001780A">
        <w:rPr>
          <w:rFonts w:ascii="Garamond" w:hAnsi="Garamond"/>
          <w:bCs/>
          <w:sz w:val="24"/>
          <w:szCs w:val="24"/>
        </w:rPr>
        <w:t>Smith, 1990</w:t>
      </w:r>
      <w:r w:rsidR="004B75DB">
        <w:rPr>
          <w:rFonts w:ascii="Garamond" w:hAnsi="Garamond"/>
          <w:bCs/>
          <w:sz w:val="24"/>
          <w:szCs w:val="24"/>
        </w:rPr>
        <w:t>)</w:t>
      </w:r>
      <w:r w:rsidRPr="0001780A">
        <w:rPr>
          <w:rFonts w:ascii="Garamond" w:hAnsi="Garamond"/>
          <w:bCs/>
          <w:sz w:val="24"/>
          <w:szCs w:val="24"/>
        </w:rPr>
        <w:t xml:space="preserve">) local cloth, became symbolic of Indian home-rule. </w:t>
      </w:r>
      <w:r w:rsidRPr="0001780A">
        <w:rPr>
          <w:rFonts w:ascii="Garamond" w:hAnsi="Garamond"/>
          <w:sz w:val="24"/>
          <w:szCs w:val="24"/>
        </w:rPr>
        <w:t>Through the anti-colonial links between Bengali and</w:t>
      </w:r>
      <w:r w:rsidR="00396A69">
        <w:rPr>
          <w:rFonts w:ascii="Garamond" w:hAnsi="Garamond"/>
          <w:sz w:val="24"/>
          <w:szCs w:val="24"/>
        </w:rPr>
        <w:t xml:space="preserve"> Irish nationalists in the late-</w:t>
      </w:r>
      <w:r w:rsidRPr="0001780A">
        <w:rPr>
          <w:rFonts w:ascii="Garamond" w:hAnsi="Garamond"/>
          <w:sz w:val="24"/>
          <w:szCs w:val="24"/>
        </w:rPr>
        <w:t>nineteenth century, Redpath and O'Malley's boycott travelled several thousand miles to Bengal in the 1880s and 1890s where it was adapted to form part of the Swadeshi movement (</w:t>
      </w:r>
      <w:r>
        <w:rPr>
          <w:rFonts w:ascii="Garamond" w:hAnsi="Garamond"/>
          <w:sz w:val="24"/>
          <w:szCs w:val="24"/>
        </w:rPr>
        <w:t>Boehmer, 2005</w:t>
      </w:r>
      <w:r w:rsidRPr="0001780A">
        <w:rPr>
          <w:rFonts w:ascii="Garamond" w:hAnsi="Garamond"/>
          <w:sz w:val="24"/>
          <w:szCs w:val="24"/>
        </w:rPr>
        <w:t xml:space="preserve">). As a nationalist movement, Swadeshi (Sanskrit: </w:t>
      </w:r>
      <w:r w:rsidRPr="0001780A">
        <w:rPr>
          <w:rFonts w:ascii="Garamond" w:hAnsi="Garamond"/>
          <w:i/>
          <w:sz w:val="24"/>
          <w:szCs w:val="24"/>
        </w:rPr>
        <w:t>swa</w:t>
      </w:r>
      <w:r>
        <w:rPr>
          <w:rFonts w:ascii="Garamond" w:hAnsi="Garamond"/>
          <w:sz w:val="24"/>
          <w:szCs w:val="24"/>
        </w:rPr>
        <w:t xml:space="preserve"> – </w:t>
      </w:r>
      <w:r w:rsidRPr="0001780A">
        <w:rPr>
          <w:rFonts w:ascii="Garamond" w:hAnsi="Garamond"/>
          <w:sz w:val="24"/>
          <w:szCs w:val="24"/>
        </w:rPr>
        <w:t xml:space="preserve">own, </w:t>
      </w:r>
      <w:r>
        <w:rPr>
          <w:rFonts w:ascii="Garamond" w:hAnsi="Garamond"/>
          <w:sz w:val="24"/>
          <w:szCs w:val="24"/>
        </w:rPr>
        <w:t xml:space="preserve">and </w:t>
      </w:r>
      <w:r w:rsidRPr="0001780A">
        <w:rPr>
          <w:rFonts w:ascii="Garamond" w:hAnsi="Garamond"/>
          <w:i/>
          <w:sz w:val="24"/>
          <w:szCs w:val="24"/>
        </w:rPr>
        <w:t>deshi</w:t>
      </w:r>
      <w:r>
        <w:rPr>
          <w:rFonts w:ascii="Garamond" w:hAnsi="Garamond"/>
          <w:sz w:val="24"/>
          <w:szCs w:val="24"/>
        </w:rPr>
        <w:t xml:space="preserve"> – </w:t>
      </w:r>
      <w:r w:rsidRPr="0001780A">
        <w:rPr>
          <w:rFonts w:ascii="Garamond" w:hAnsi="Garamond"/>
          <w:sz w:val="24"/>
          <w:szCs w:val="24"/>
        </w:rPr>
        <w:t>country) subscribed to existing European philosophies of history, liberty and progress (Chatterjee, 1986)</w:t>
      </w:r>
      <w:r w:rsidR="00396A69">
        <w:rPr>
          <w:rFonts w:ascii="Garamond" w:hAnsi="Garamond"/>
          <w:sz w:val="24"/>
          <w:szCs w:val="24"/>
        </w:rPr>
        <w:t>,</w:t>
      </w:r>
      <w:r w:rsidRPr="0001780A">
        <w:rPr>
          <w:rFonts w:ascii="Garamond" w:hAnsi="Garamond"/>
          <w:sz w:val="24"/>
          <w:szCs w:val="24"/>
        </w:rPr>
        <w:t xml:space="preserve"> though the patriotic rhetoric concealed the exploitation of Muslims by Hindus (M</w:t>
      </w:r>
      <w:r>
        <w:rPr>
          <w:rFonts w:ascii="Garamond" w:hAnsi="Garamond"/>
          <w:sz w:val="24"/>
          <w:szCs w:val="24"/>
        </w:rPr>
        <w:t>isra, 2007</w:t>
      </w:r>
      <w:r w:rsidRPr="0001780A">
        <w:rPr>
          <w:rFonts w:ascii="Garamond" w:hAnsi="Garamond"/>
          <w:sz w:val="24"/>
          <w:szCs w:val="24"/>
        </w:rPr>
        <w:t>). Its radical point of departure from Eurocentrism lay in Hindu and Theosophist interventions, and in the forging of transnational networks between the Indian National Congress, Irish Home Rulers, Sou</w:t>
      </w:r>
      <w:r>
        <w:rPr>
          <w:rFonts w:ascii="Garamond" w:hAnsi="Garamond"/>
          <w:sz w:val="24"/>
          <w:szCs w:val="24"/>
        </w:rPr>
        <w:t>th African reformers and London-</w:t>
      </w:r>
      <w:r w:rsidRPr="0001780A">
        <w:rPr>
          <w:rFonts w:ascii="Garamond" w:hAnsi="Garamond"/>
          <w:sz w:val="24"/>
          <w:szCs w:val="24"/>
        </w:rPr>
        <w:t>based Marxist and Socialist groups. Additionally, Swadeshi materially and symbolically elevated the commodities of Manchester cloth, textiles, silk, paper, sweets, sugar, jute, matches, soap and umbrellas to the arena of imperial resistance, and transformed them, and their associated production practices, into motivational vehicles for nationalism (the motif of the cotton spinner became ubiquitous after Gandhi rejuvenated the movement in the 1920s). Swadeshi brought the domestic sphere into imperial politics. In her paper on feminine rituals of domestic consumption at the turn of the</w:t>
      </w:r>
      <w:r>
        <w:rPr>
          <w:rFonts w:ascii="Garamond" w:hAnsi="Garamond"/>
          <w:sz w:val="24"/>
          <w:szCs w:val="24"/>
        </w:rPr>
        <w:t xml:space="preserve"> twentieth</w:t>
      </w:r>
      <w:r w:rsidRPr="0001780A">
        <w:rPr>
          <w:rFonts w:ascii="Garamond" w:hAnsi="Garamond"/>
          <w:sz w:val="24"/>
          <w:szCs w:val="24"/>
        </w:rPr>
        <w:t xml:space="preserve"> century </w:t>
      </w:r>
      <w:r>
        <w:rPr>
          <w:rFonts w:ascii="Garamond" w:hAnsi="Garamond"/>
          <w:sz w:val="24"/>
          <w:szCs w:val="24"/>
        </w:rPr>
        <w:t xml:space="preserve">in </w:t>
      </w:r>
      <w:r w:rsidRPr="0001780A">
        <w:rPr>
          <w:rFonts w:ascii="Garamond" w:hAnsi="Garamond"/>
          <w:sz w:val="24"/>
          <w:szCs w:val="24"/>
        </w:rPr>
        <w:t>India, Abigail McGowan (2006)</w:t>
      </w:r>
      <w:r w:rsidRPr="0001780A">
        <w:rPr>
          <w:rStyle w:val="FootnoteReference"/>
          <w:rFonts w:ascii="Garamond" w:hAnsi="Garamond"/>
          <w:sz w:val="24"/>
          <w:szCs w:val="24"/>
        </w:rPr>
        <w:footnoteReference w:id="36"/>
      </w:r>
      <w:r w:rsidRPr="0001780A">
        <w:rPr>
          <w:rFonts w:ascii="Garamond" w:hAnsi="Garamond"/>
          <w:sz w:val="24"/>
          <w:szCs w:val="24"/>
        </w:rPr>
        <w:t xml:space="preserve"> demonstrates that the Indian female consumer played a similar role to that played by women during the 1791 anti-saccharite boycott.</w:t>
      </w:r>
      <w:r w:rsidRPr="0001780A">
        <w:rPr>
          <w:rStyle w:val="FootnoteReference"/>
          <w:rFonts w:ascii="Garamond" w:hAnsi="Garamond"/>
          <w:sz w:val="24"/>
          <w:szCs w:val="24"/>
        </w:rPr>
        <w:footnoteReference w:id="37"/>
      </w:r>
      <w:r w:rsidRPr="0001780A">
        <w:rPr>
          <w:rStyle w:val="FootnoteReference"/>
          <w:rFonts w:ascii="Garamond" w:hAnsi="Garamond"/>
          <w:sz w:val="24"/>
          <w:szCs w:val="24"/>
        </w:rPr>
        <w:t xml:space="preserve"> </w:t>
      </w:r>
      <w:r w:rsidRPr="0001780A">
        <w:rPr>
          <w:rFonts w:ascii="Garamond" w:hAnsi="Garamond"/>
          <w:sz w:val="24"/>
          <w:szCs w:val="24"/>
        </w:rPr>
        <w:t xml:space="preserve">Swadeshi was often couched in matriarchal or familial terms; a generation of young Bengalis were trained in Swadeshi schools to become </w:t>
      </w:r>
      <w:r>
        <w:rPr>
          <w:rFonts w:ascii="Garamond" w:hAnsi="Garamond"/>
          <w:sz w:val="24"/>
          <w:szCs w:val="24"/>
        </w:rPr>
        <w:t>‘</w:t>
      </w:r>
      <w:r w:rsidRPr="0001780A">
        <w:rPr>
          <w:rFonts w:ascii="Garamond" w:hAnsi="Garamond"/>
          <w:sz w:val="24"/>
          <w:szCs w:val="24"/>
        </w:rPr>
        <w:t>Sanyasi</w:t>
      </w:r>
      <w:r>
        <w:rPr>
          <w:rFonts w:ascii="Garamond" w:hAnsi="Garamond"/>
          <w:sz w:val="24"/>
          <w:szCs w:val="24"/>
        </w:rPr>
        <w:t xml:space="preserve">’ – </w:t>
      </w:r>
      <w:r w:rsidRPr="0001780A">
        <w:rPr>
          <w:rFonts w:ascii="Garamond" w:hAnsi="Garamond"/>
          <w:sz w:val="24"/>
          <w:szCs w:val="24"/>
        </w:rPr>
        <w:t>practiced in the art of sacrificing their own masculinity for mother In</w:t>
      </w:r>
      <w:r>
        <w:rPr>
          <w:rFonts w:ascii="Garamond" w:hAnsi="Garamond"/>
          <w:sz w:val="24"/>
          <w:szCs w:val="24"/>
        </w:rPr>
        <w:t xml:space="preserve">dia (Chowdhary-Sengputa, 1996) – </w:t>
      </w:r>
      <w:r w:rsidRPr="0001780A">
        <w:rPr>
          <w:rFonts w:ascii="Garamond" w:hAnsi="Garamond"/>
          <w:sz w:val="24"/>
          <w:szCs w:val="24"/>
        </w:rPr>
        <w:t>and families were encouraged to become de-facto parents of indigenous industries (McGowan, 2006). Through the buycotting of indigenous manufacture</w:t>
      </w:r>
      <w:r>
        <w:rPr>
          <w:rFonts w:ascii="Garamond" w:hAnsi="Garamond"/>
          <w:sz w:val="24"/>
          <w:szCs w:val="24"/>
        </w:rPr>
        <w:t>r</w:t>
      </w:r>
      <w:r w:rsidRPr="0001780A">
        <w:rPr>
          <w:rFonts w:ascii="Garamond" w:hAnsi="Garamond"/>
          <w:sz w:val="24"/>
          <w:szCs w:val="24"/>
        </w:rPr>
        <w:t xml:space="preserve">s, and the boycott of British cloth, cotton, textiles and salt, the Bengali Swadeshi movement naturalized links between the nation, the economy and territory (Goswami, 1998). Swadeshi became a way of life for Bengali activists who, like the American nationalists of the 1770s, prided themselves on self-sacrifice. </w:t>
      </w:r>
    </w:p>
    <w:p w:rsidR="00D819BA" w:rsidRDefault="00D819B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p>
    <w:p w:rsidR="002D22FA" w:rsidRPr="00DD386C" w:rsidRDefault="002D22FA" w:rsidP="002D22FA">
      <w:pPr>
        <w:spacing w:after="0" w:line="360" w:lineRule="auto"/>
        <w:jc w:val="both"/>
        <w:rPr>
          <w:rFonts w:ascii="Garamond" w:hAnsi="Garamond"/>
          <w:b/>
          <w:sz w:val="24"/>
          <w:szCs w:val="24"/>
        </w:rPr>
      </w:pPr>
      <w:r w:rsidRPr="00DD386C">
        <w:rPr>
          <w:rFonts w:ascii="Garamond" w:hAnsi="Garamond"/>
          <w:b/>
          <w:noProof/>
          <w:sz w:val="24"/>
          <w:szCs w:val="24"/>
          <w:lang w:eastAsia="en-GB"/>
        </w:rPr>
        <w:drawing>
          <wp:inline distT="0" distB="0" distL="0" distR="0">
            <wp:extent cx="5731510" cy="1181100"/>
            <wp:effectExtent l="19050" t="0" r="2540" b="0"/>
            <wp:docPr id="30" name="Picture 10" descr="http://1.bp.blogspot.com/_bHIDGwZ6i50/S-ejqXYuW8I/AAAAAAAAAPQ/FZumzX25ymE/s1600/Copy+of+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bp.blogspot.com/_bHIDGwZ6i50/S-ejqXYuW8I/AAAAAAAAAPQ/FZumzX25ymE/s1600/Copy+of+scan0024.jpg"/>
                    <pic:cNvPicPr>
                      <a:picLocks noChangeAspect="1" noChangeArrowheads="1"/>
                    </pic:cNvPicPr>
                  </pic:nvPicPr>
                  <pic:blipFill>
                    <a:blip r:embed="rId20" cstate="print"/>
                    <a:srcRect/>
                    <a:stretch>
                      <a:fillRect/>
                    </a:stretch>
                  </pic:blipFill>
                  <pic:spPr bwMode="auto">
                    <a:xfrm>
                      <a:off x="0" y="0"/>
                      <a:ext cx="5731510" cy="1181100"/>
                    </a:xfrm>
                    <a:prstGeom prst="rect">
                      <a:avLst/>
                    </a:prstGeom>
                    <a:noFill/>
                    <a:ln w="9525">
                      <a:noFill/>
                      <a:miter lim="800000"/>
                      <a:headEnd/>
                      <a:tailEnd/>
                    </a:ln>
                  </pic:spPr>
                </pic:pic>
              </a:graphicData>
            </a:graphic>
          </wp:inline>
        </w:drawing>
      </w:r>
    </w:p>
    <w:p w:rsidR="002D22FA" w:rsidRPr="00D819BA" w:rsidRDefault="002D22FA" w:rsidP="002D22FA">
      <w:pPr>
        <w:pStyle w:val="FootnoteText"/>
        <w:spacing w:line="360" w:lineRule="auto"/>
        <w:jc w:val="both"/>
        <w:rPr>
          <w:rFonts w:ascii="Perpetua" w:hAnsi="Perpetua"/>
          <w:b/>
          <w:sz w:val="18"/>
        </w:rPr>
      </w:pPr>
    </w:p>
    <w:p w:rsidR="001A482E" w:rsidRDefault="0050393D" w:rsidP="0050393D">
      <w:pPr>
        <w:pStyle w:val="Caption"/>
        <w:rPr>
          <w:rFonts w:ascii="Perpetua" w:hAnsi="Perpetua"/>
          <w:b w:val="0"/>
          <w:color w:val="auto"/>
          <w:sz w:val="20"/>
        </w:rPr>
      </w:pPr>
      <w:bookmarkStart w:id="235" w:name="_Toc263509005"/>
      <w:bookmarkStart w:id="236" w:name="_Toc263510792"/>
      <w:bookmarkStart w:id="237" w:name="_Toc244437513"/>
      <w:bookmarkStart w:id="238" w:name="_Toc244508208"/>
      <w:bookmarkStart w:id="239" w:name="_Toc244577270"/>
      <w:bookmarkStart w:id="240" w:name="_Toc263495739"/>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8</w:t>
      </w:r>
      <w:r w:rsidR="00DF2DF8" w:rsidRPr="0050393D">
        <w:rPr>
          <w:rFonts w:ascii="Perpetua" w:hAnsi="Perpetua"/>
          <w:b w:val="0"/>
          <w:color w:val="auto"/>
          <w:sz w:val="20"/>
        </w:rPr>
        <w:fldChar w:fldCharType="end"/>
      </w:r>
      <w:r w:rsidRPr="0050393D">
        <w:rPr>
          <w:rFonts w:ascii="Perpetua" w:hAnsi="Perpetua"/>
          <w:b w:val="0"/>
          <w:color w:val="auto"/>
          <w:sz w:val="20"/>
        </w:rPr>
        <w:t>: 'Boycott British Goods', a collection of Swaraj 'forbidden stamps' from the 1920s and 1930s</w:t>
      </w:r>
      <w:r>
        <w:rPr>
          <w:rFonts w:ascii="Perpetua" w:hAnsi="Perpetua"/>
          <w:b w:val="0"/>
          <w:color w:val="auto"/>
          <w:sz w:val="20"/>
        </w:rPr>
        <w:t>.</w:t>
      </w:r>
      <w:bookmarkEnd w:id="235"/>
      <w:bookmarkEnd w:id="236"/>
      <w:r w:rsidRPr="0050393D">
        <w:rPr>
          <w:rFonts w:ascii="Perpetua" w:hAnsi="Perpetua"/>
          <w:b w:val="0"/>
          <w:color w:val="auto"/>
          <w:sz w:val="20"/>
        </w:rPr>
        <w:t xml:space="preserve"> </w:t>
      </w:r>
    </w:p>
    <w:p w:rsidR="002D22FA" w:rsidRPr="001A482E" w:rsidRDefault="002D22FA" w:rsidP="001A482E">
      <w:pPr>
        <w:rPr>
          <w:rFonts w:ascii="Perpetua" w:hAnsi="Perpetua"/>
          <w:sz w:val="20"/>
        </w:rPr>
      </w:pPr>
      <w:r w:rsidRPr="001A482E">
        <w:rPr>
          <w:rFonts w:ascii="Perpetua" w:hAnsi="Perpetua"/>
          <w:sz w:val="20"/>
        </w:rPr>
        <w:t>These banned stamps known b</w:t>
      </w:r>
      <w:r w:rsidR="00E36EFA" w:rsidRPr="001A482E">
        <w:rPr>
          <w:rFonts w:ascii="Perpetua" w:hAnsi="Perpetua"/>
          <w:sz w:val="20"/>
        </w:rPr>
        <w:t>y philatelists as 'Cinderellas'</w:t>
      </w:r>
      <w:r w:rsidRPr="001A482E">
        <w:rPr>
          <w:rFonts w:ascii="Perpetua" w:hAnsi="Perpetua"/>
          <w:sz w:val="20"/>
        </w:rPr>
        <w:t xml:space="preserve"> are similar to Sinn Fein labels that adorned British postal envelopes in the early 1900s. In 1930 the Gazette of India published a postal notice prohibiting the juxtaposition of Swadeshi labels with colonial Indian stamps on postal correspondence. Image published with kind permission of Sekhar Chakrabarti; his fascinating website on nationalisms and stamps is worth a visit. Available at: http://flagstamps.blogspot.co.uk (Accessed: 24 June 2012)</w:t>
      </w:r>
      <w:bookmarkEnd w:id="237"/>
      <w:bookmarkEnd w:id="238"/>
      <w:bookmarkEnd w:id="239"/>
      <w:bookmarkEnd w:id="240"/>
    </w:p>
    <w:p w:rsidR="002D22FA" w:rsidRPr="005B4F27" w:rsidRDefault="002D22FA" w:rsidP="002D22FA">
      <w:pPr>
        <w:pStyle w:val="Caption"/>
        <w:jc w:val="both"/>
        <w:rPr>
          <w:rFonts w:ascii="Perpetua" w:hAnsi="Perpetua"/>
          <w:b w:val="0"/>
          <w:color w:val="auto"/>
        </w:rPr>
      </w:pPr>
      <w:r w:rsidRPr="00B45E5F">
        <w:rPr>
          <w:rFonts w:ascii="Perpetua" w:hAnsi="Perpetua"/>
          <w:b w:val="0"/>
          <w:color w:val="auto"/>
        </w:rPr>
        <w:t xml:space="preserve"> </w:t>
      </w:r>
    </w:p>
    <w:p w:rsidR="002D22FA" w:rsidRPr="0001780A" w:rsidRDefault="002D22FA" w:rsidP="002D22FA">
      <w:pPr>
        <w:spacing w:after="0" w:line="360" w:lineRule="auto"/>
        <w:jc w:val="both"/>
        <w:rPr>
          <w:rFonts w:ascii="Garamond" w:hAnsi="Garamond"/>
          <w:sz w:val="24"/>
        </w:rPr>
      </w:pPr>
    </w:p>
    <w:p w:rsidR="002D22FA" w:rsidRPr="0001780A" w:rsidRDefault="002D22FA" w:rsidP="002D22FA">
      <w:pPr>
        <w:spacing w:after="0" w:line="360" w:lineRule="auto"/>
        <w:jc w:val="center"/>
        <w:rPr>
          <w:rFonts w:ascii="Garamond" w:hAnsi="Garamond"/>
          <w:sz w:val="24"/>
          <w:szCs w:val="24"/>
        </w:rPr>
      </w:pPr>
      <w:r w:rsidRPr="0001780A">
        <w:rPr>
          <w:rFonts w:ascii="Garamond" w:hAnsi="Garamond"/>
          <w:noProof/>
          <w:sz w:val="24"/>
          <w:lang w:eastAsia="en-GB"/>
        </w:rPr>
        <w:drawing>
          <wp:inline distT="0" distB="0" distL="0" distR="0">
            <wp:extent cx="4762500" cy="4000500"/>
            <wp:effectExtent l="19050" t="0" r="0" b="0"/>
            <wp:docPr id="31" name="Picture 16" descr="http://www.lodge-hill.com/shopimages/products/normal/MV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odge-hill.com/shopimages/products/normal/MV00093.jpg"/>
                    <pic:cNvPicPr>
                      <a:picLocks noChangeAspect="1" noChangeArrowheads="1"/>
                    </pic:cNvPicPr>
                  </pic:nvPicPr>
                  <pic:blipFill>
                    <a:blip r:embed="rId21" cstate="print"/>
                    <a:srcRect/>
                    <a:stretch>
                      <a:fillRect/>
                    </a:stretch>
                  </pic:blipFill>
                  <pic:spPr bwMode="auto">
                    <a:xfrm>
                      <a:off x="0" y="0"/>
                      <a:ext cx="4762500" cy="4000500"/>
                    </a:xfrm>
                    <a:prstGeom prst="rect">
                      <a:avLst/>
                    </a:prstGeom>
                    <a:noFill/>
                    <a:ln w="9525">
                      <a:noFill/>
                      <a:miter lim="800000"/>
                      <a:headEnd/>
                      <a:tailEnd/>
                    </a:ln>
                  </pic:spPr>
                </pic:pic>
              </a:graphicData>
            </a:graphic>
          </wp:inline>
        </w:drawing>
      </w:r>
    </w:p>
    <w:p w:rsidR="002049D4" w:rsidRDefault="002049D4" w:rsidP="002D22FA">
      <w:pPr>
        <w:pStyle w:val="Caption"/>
        <w:ind w:left="851" w:right="804"/>
        <w:jc w:val="both"/>
        <w:rPr>
          <w:rFonts w:ascii="Perpetua" w:hAnsi="Perpetua"/>
          <w:color w:val="auto"/>
          <w:sz w:val="20"/>
        </w:rPr>
      </w:pPr>
      <w:bookmarkStart w:id="241" w:name="_Toc244437514"/>
    </w:p>
    <w:p w:rsidR="001A482E" w:rsidRDefault="0050393D" w:rsidP="0050393D">
      <w:pPr>
        <w:pStyle w:val="Caption"/>
        <w:rPr>
          <w:rFonts w:ascii="Perpetua" w:hAnsi="Perpetua"/>
          <w:b w:val="0"/>
          <w:color w:val="auto"/>
          <w:sz w:val="20"/>
        </w:rPr>
      </w:pPr>
      <w:bookmarkStart w:id="242" w:name="_Toc263509006"/>
      <w:bookmarkStart w:id="243" w:name="_Toc263510793"/>
      <w:bookmarkStart w:id="244" w:name="_Toc244508209"/>
      <w:bookmarkStart w:id="245" w:name="_Toc244577271"/>
      <w:bookmarkStart w:id="246" w:name="_Toc263495740"/>
      <w:r w:rsidRPr="0050393D">
        <w:rPr>
          <w:rFonts w:ascii="Perpetua" w:hAnsi="Perpetua"/>
          <w:b w:val="0"/>
          <w:color w:val="auto"/>
          <w:sz w:val="20"/>
        </w:rPr>
        <w:t xml:space="preserve">Figure </w:t>
      </w:r>
      <w:r w:rsidR="00DF2DF8" w:rsidRPr="0050393D">
        <w:rPr>
          <w:rFonts w:ascii="Perpetua" w:hAnsi="Perpetua"/>
          <w:b w:val="0"/>
          <w:color w:val="auto"/>
          <w:sz w:val="20"/>
        </w:rPr>
        <w:fldChar w:fldCharType="begin"/>
      </w:r>
      <w:r w:rsidRPr="0050393D">
        <w:rPr>
          <w:rFonts w:ascii="Perpetua" w:hAnsi="Perpetua"/>
          <w:b w:val="0"/>
          <w:color w:val="auto"/>
          <w:sz w:val="20"/>
        </w:rPr>
        <w:instrText xml:space="preserve"> SEQ Figure \* ARABIC </w:instrText>
      </w:r>
      <w:r w:rsidR="00DF2DF8" w:rsidRPr="0050393D">
        <w:rPr>
          <w:rFonts w:ascii="Perpetua" w:hAnsi="Perpetua"/>
          <w:b w:val="0"/>
          <w:color w:val="auto"/>
          <w:sz w:val="20"/>
        </w:rPr>
        <w:fldChar w:fldCharType="separate"/>
      </w:r>
      <w:r w:rsidR="002B3E92">
        <w:rPr>
          <w:rFonts w:ascii="Perpetua" w:hAnsi="Perpetua"/>
          <w:b w:val="0"/>
          <w:noProof/>
          <w:color w:val="auto"/>
          <w:sz w:val="20"/>
        </w:rPr>
        <w:t>9</w:t>
      </w:r>
      <w:r w:rsidR="00DF2DF8" w:rsidRPr="0050393D">
        <w:rPr>
          <w:rFonts w:ascii="Perpetua" w:hAnsi="Perpetua"/>
          <w:b w:val="0"/>
          <w:color w:val="auto"/>
          <w:sz w:val="20"/>
        </w:rPr>
        <w:fldChar w:fldCharType="end"/>
      </w:r>
      <w:r w:rsidRPr="0050393D">
        <w:rPr>
          <w:rFonts w:ascii="Perpetua" w:hAnsi="Perpetua"/>
          <w:b w:val="0"/>
          <w:color w:val="auto"/>
          <w:sz w:val="20"/>
        </w:rPr>
        <w:t>: 'Cultures of Swadeshi buycotting', photograph of 20 Rupee Certificate of Swadeshi shares from Gujarat, 1910.</w:t>
      </w:r>
      <w:bookmarkEnd w:id="242"/>
      <w:bookmarkEnd w:id="243"/>
      <w:r w:rsidR="002D22FA" w:rsidRPr="0050393D">
        <w:rPr>
          <w:rFonts w:ascii="Perpetua" w:hAnsi="Perpetua"/>
          <w:b w:val="0"/>
          <w:color w:val="auto"/>
          <w:sz w:val="20"/>
        </w:rPr>
        <w:t xml:space="preserve"> </w:t>
      </w:r>
    </w:p>
    <w:p w:rsidR="002D22FA" w:rsidRPr="001A482E" w:rsidRDefault="002D22FA" w:rsidP="001A482E">
      <w:pPr>
        <w:rPr>
          <w:rFonts w:ascii="Perpetua" w:hAnsi="Perpetua"/>
          <w:sz w:val="20"/>
        </w:rPr>
      </w:pPr>
      <w:r w:rsidRPr="001A482E">
        <w:rPr>
          <w:rFonts w:ascii="Perpetua" w:hAnsi="Perpetua"/>
          <w:sz w:val="20"/>
        </w:rPr>
        <w:t>Between 1900 and 1910 Swadeshi industries spread from Bengal across much of Northern India. The share certificate is indicative of the plentiful options for the Indian consumer to invest in non-British and non-foreign goods. Photograph of certificate belonging to the author.</w:t>
      </w:r>
      <w:bookmarkEnd w:id="241"/>
      <w:bookmarkEnd w:id="244"/>
      <w:bookmarkEnd w:id="245"/>
      <w:bookmarkEnd w:id="246"/>
      <w:r w:rsidRPr="001A482E">
        <w:rPr>
          <w:rFonts w:ascii="Perpetua" w:hAnsi="Perpetua"/>
          <w:sz w:val="20"/>
        </w:rPr>
        <w:t xml:space="preserve"> </w:t>
      </w:r>
    </w:p>
    <w:p w:rsidR="002D22FA" w:rsidRDefault="002D22FA" w:rsidP="002D22FA">
      <w:pPr>
        <w:spacing w:after="0" w:line="360" w:lineRule="auto"/>
        <w:jc w:val="both"/>
        <w:rPr>
          <w:rFonts w:ascii="Garamond" w:hAnsi="Garamond"/>
          <w:b/>
          <w:bCs/>
          <w:sz w:val="24"/>
          <w:szCs w:val="24"/>
        </w:rPr>
      </w:pPr>
    </w:p>
    <w:p w:rsidR="00814F86" w:rsidRDefault="00814F86"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Boycotting tactics included mass strikes amongst clerical workers, jute farmers, and tram and railway workers. Schoolchildren were reported burning British wares on the streets whilst chanting 'boycott British goods, buy Swadeshi'. The Swadeshi leaders intended the commodity boycott to be pedagogic; the visceral and symbolic act of burning British goods would, they argued, inspire a process of inner reconstruction, where after setting fire to foreign cloth</w:t>
      </w:r>
      <w:r>
        <w:rPr>
          <w:rFonts w:ascii="Garamond" w:hAnsi="Garamond"/>
          <w:sz w:val="24"/>
          <w:szCs w:val="24"/>
        </w:rPr>
        <w:t>,</w:t>
      </w:r>
      <w:r w:rsidRPr="0001780A">
        <w:rPr>
          <w:rFonts w:ascii="Garamond" w:hAnsi="Garamond"/>
          <w:sz w:val="24"/>
          <w:szCs w:val="24"/>
        </w:rPr>
        <w:t xml:space="preserve"> students would turn closer to home, to their own bodies, histories and cultures for inspiration</w:t>
      </w:r>
      <w:r>
        <w:rPr>
          <w:rFonts w:ascii="Garamond" w:hAnsi="Garamond"/>
          <w:sz w:val="24"/>
          <w:szCs w:val="24"/>
        </w:rPr>
        <w:t xml:space="preserve"> (Goswami, 1998; Misra, 2007</w:t>
      </w:r>
      <w:r w:rsidRPr="0001780A">
        <w:rPr>
          <w:rFonts w:ascii="Garamond" w:hAnsi="Garamond"/>
          <w:sz w:val="24"/>
          <w:szCs w:val="24"/>
        </w:rPr>
        <w:t>). Goswami (1998) argues that once fully activated in 1905, the boycott movement’s repertoire of direct action was aimed at influencing the socio-aesthetic taste</w:t>
      </w:r>
      <w:r w:rsidR="007955B7">
        <w:rPr>
          <w:rFonts w:ascii="Garamond" w:hAnsi="Garamond"/>
          <w:sz w:val="24"/>
          <w:szCs w:val="24"/>
        </w:rPr>
        <w:t xml:space="preserve"> of the Indian consumer. Here he</w:t>
      </w:r>
      <w:r w:rsidRPr="0001780A">
        <w:rPr>
          <w:rFonts w:ascii="Garamond" w:hAnsi="Garamond"/>
          <w:sz w:val="24"/>
          <w:szCs w:val="24"/>
        </w:rPr>
        <w:t xml:space="preserve"> points to several key consumer transitions that the m</w:t>
      </w:r>
      <w:r w:rsidR="007955B7">
        <w:rPr>
          <w:rFonts w:ascii="Garamond" w:hAnsi="Garamond"/>
          <w:sz w:val="24"/>
          <w:szCs w:val="24"/>
        </w:rPr>
        <w:t>ovement encouraged. Swadeshi, Goswami</w:t>
      </w:r>
      <w:r w:rsidRPr="0001780A">
        <w:rPr>
          <w:rFonts w:ascii="Garamond" w:hAnsi="Garamond"/>
          <w:sz w:val="24"/>
          <w:szCs w:val="24"/>
        </w:rPr>
        <w:t xml:space="preserve"> argues, attempted to reconstitute Bengali consumers’ social taste from Manchester cloth to course handloom, to persuade Muslims and Hindus alike to boycott foreign goods (even when it was less profitable, especially for Muslim peasants), to persuade consumers to systematically shun and ostracize other consumers who bought foreign commodities, to valorize indigenous products as materially suggestive of a heroic traditionalist past, and to scrutinize consumption practices for indicators of nationalist persuasion. The transitions enacted by the Bengali consumer often went against individual self-betterment and profitability.</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The boycott was accompanied by the publication of two nationalist newspapers: </w:t>
      </w:r>
      <w:r w:rsidR="002F66C2">
        <w:rPr>
          <w:rFonts w:ascii="Garamond" w:hAnsi="Garamond"/>
          <w:i/>
          <w:sz w:val="24"/>
          <w:szCs w:val="24"/>
        </w:rPr>
        <w:t>Yu</w:t>
      </w:r>
      <w:r w:rsidRPr="0001780A">
        <w:rPr>
          <w:rFonts w:ascii="Garamond" w:hAnsi="Garamond"/>
          <w:i/>
          <w:sz w:val="24"/>
          <w:szCs w:val="24"/>
        </w:rPr>
        <w:t xml:space="preserve">gantar </w:t>
      </w:r>
      <w:r w:rsidRPr="0001780A">
        <w:rPr>
          <w:rFonts w:ascii="Garamond" w:hAnsi="Garamond"/>
          <w:sz w:val="24"/>
          <w:szCs w:val="24"/>
        </w:rPr>
        <w:t xml:space="preserve">(with the nationalist economist Romesh Dutt as chief editor) and </w:t>
      </w:r>
      <w:r w:rsidR="002F66C2">
        <w:rPr>
          <w:rFonts w:ascii="Garamond" w:hAnsi="Garamond"/>
          <w:i/>
          <w:sz w:val="24"/>
          <w:szCs w:val="24"/>
        </w:rPr>
        <w:t>Bande Mata</w:t>
      </w:r>
      <w:r w:rsidRPr="0001780A">
        <w:rPr>
          <w:rFonts w:ascii="Garamond" w:hAnsi="Garamond"/>
          <w:i/>
          <w:sz w:val="24"/>
          <w:szCs w:val="24"/>
        </w:rPr>
        <w:t>ram</w:t>
      </w:r>
      <w:r>
        <w:rPr>
          <w:rFonts w:ascii="Garamond" w:hAnsi="Garamond"/>
          <w:i/>
          <w:sz w:val="24"/>
          <w:szCs w:val="24"/>
        </w:rPr>
        <w:t xml:space="preserve">, </w:t>
      </w:r>
      <w:r>
        <w:rPr>
          <w:rFonts w:ascii="Garamond" w:hAnsi="Garamond"/>
          <w:sz w:val="24"/>
          <w:szCs w:val="24"/>
        </w:rPr>
        <w:t>translated as ‘</w:t>
      </w:r>
      <w:r w:rsidRPr="009F0D7A">
        <w:rPr>
          <w:rFonts w:ascii="Garamond" w:hAnsi="Garamond"/>
          <w:sz w:val="24"/>
          <w:szCs w:val="24"/>
        </w:rPr>
        <w:t>Hail Mother</w:t>
      </w:r>
      <w:r>
        <w:rPr>
          <w:rFonts w:ascii="Garamond" w:hAnsi="Garamond"/>
          <w:sz w:val="24"/>
          <w:szCs w:val="24"/>
        </w:rPr>
        <w:t xml:space="preserve">’, </w:t>
      </w:r>
      <w:r w:rsidR="002F66C2">
        <w:rPr>
          <w:rFonts w:ascii="Garamond" w:hAnsi="Garamond"/>
          <w:sz w:val="24"/>
          <w:szCs w:val="24"/>
        </w:rPr>
        <w:t>which forwarded Aurobindo Ghosh</w:t>
      </w:r>
      <w:r w:rsidRPr="0001780A">
        <w:rPr>
          <w:rFonts w:ascii="Garamond" w:hAnsi="Garamond"/>
          <w:sz w:val="24"/>
          <w:szCs w:val="24"/>
        </w:rPr>
        <w:t>’s aims of the wider movement (Swadeshi, boycott, national education and arbitration). Vernacular press circulation in India trebled in less than twenty years to 850,000 by 1905 (M</w:t>
      </w:r>
      <w:r>
        <w:rPr>
          <w:rFonts w:ascii="Garamond" w:hAnsi="Garamond"/>
          <w:sz w:val="24"/>
          <w:szCs w:val="24"/>
        </w:rPr>
        <w:t>isra, 2007</w:t>
      </w:r>
      <w:r w:rsidRPr="0001780A">
        <w:rPr>
          <w:rFonts w:ascii="Garamond" w:hAnsi="Garamond"/>
          <w:sz w:val="24"/>
          <w:szCs w:val="24"/>
        </w:rPr>
        <w:t>), and the boycott of imperial goods developed transnational links in metropolitan Paris and London.</w:t>
      </w:r>
      <w:r w:rsidRPr="0001780A">
        <w:rPr>
          <w:rStyle w:val="FootnoteReference"/>
          <w:rFonts w:ascii="Garamond" w:hAnsi="Garamond"/>
          <w:sz w:val="24"/>
          <w:szCs w:val="24"/>
        </w:rPr>
        <w:footnoteReference w:id="38"/>
      </w:r>
      <w:r w:rsidRPr="0001780A">
        <w:rPr>
          <w:rFonts w:ascii="Garamond" w:hAnsi="Garamond"/>
          <w:sz w:val="24"/>
          <w:szCs w:val="24"/>
        </w:rPr>
        <w:t xml:space="preserve"> </w:t>
      </w:r>
    </w:p>
    <w:p w:rsidR="002D22FA" w:rsidRPr="0001780A" w:rsidRDefault="002D22FA" w:rsidP="002D22FA">
      <w:pPr>
        <w:spacing w:after="0" w:line="360" w:lineRule="auto"/>
        <w:rPr>
          <w:rFonts w:ascii="Garamond" w:hAnsi="Garamond"/>
          <w:sz w:val="24"/>
          <w:szCs w:val="24"/>
        </w:rPr>
      </w:pPr>
      <w:r w:rsidRPr="0001780A">
        <w:rPr>
          <w:rFonts w:ascii="Garamond" w:hAnsi="Garamond"/>
          <w:sz w:val="24"/>
          <w:szCs w:val="24"/>
        </w:rPr>
        <w:tab/>
      </w:r>
      <w:r w:rsidRPr="0001780A">
        <w:rPr>
          <w:rFonts w:ascii="Garamond" w:hAnsi="Garamond"/>
          <w:sz w:val="24"/>
          <w:szCs w:val="24"/>
        </w:rPr>
        <w:tab/>
      </w:r>
      <w:r w:rsidRPr="0001780A">
        <w:rPr>
          <w:rFonts w:ascii="Garamond" w:hAnsi="Garamond"/>
          <w:sz w:val="24"/>
          <w:szCs w:val="24"/>
        </w:rPr>
        <w:tab/>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p>
    <w:tbl>
      <w:tblPr>
        <w:tblW w:w="0" w:type="auto"/>
        <w:jc w:val="center"/>
        <w:tblLook w:val="00A0"/>
      </w:tblPr>
      <w:tblGrid>
        <w:gridCol w:w="3988"/>
        <w:gridCol w:w="4528"/>
      </w:tblGrid>
      <w:tr w:rsidR="002D22FA" w:rsidRPr="005B4F27">
        <w:trPr>
          <w:jc w:val="center"/>
        </w:trPr>
        <w:tc>
          <w:tcPr>
            <w:tcW w:w="4621" w:type="dxa"/>
          </w:tcPr>
          <w:p w:rsidR="002D22FA" w:rsidRPr="0001780A" w:rsidRDefault="002D22FA" w:rsidP="002D22FA">
            <w:pPr>
              <w:spacing w:line="360" w:lineRule="auto"/>
              <w:jc w:val="both"/>
              <w:rPr>
                <w:rFonts w:ascii="Garamond" w:hAnsi="Garamond"/>
                <w:sz w:val="24"/>
                <w:szCs w:val="24"/>
              </w:rPr>
            </w:pPr>
            <w:r w:rsidRPr="0001780A">
              <w:rPr>
                <w:rFonts w:ascii="Garamond" w:hAnsi="Garamond"/>
                <w:noProof/>
                <w:sz w:val="24"/>
                <w:szCs w:val="24"/>
                <w:lang w:eastAsia="en-GB"/>
              </w:rPr>
              <w:lastRenderedPageBreak/>
              <w:drawing>
                <wp:inline distT="0" distB="0" distL="0" distR="0">
                  <wp:extent cx="1643181" cy="2752725"/>
                  <wp:effectExtent l="19050" t="0" r="0" b="0"/>
                  <wp:docPr id="32" name="Picture 22" descr="http://www.liveindia.com/freedomfighters/SisterNivedi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liveindia.com/freedomfighters/SisterNivedita2.jpg"/>
                          <pic:cNvPicPr>
                            <a:picLocks noChangeAspect="1" noChangeArrowheads="1"/>
                          </pic:cNvPicPr>
                        </pic:nvPicPr>
                        <pic:blipFill>
                          <a:blip r:embed="rId22" cstate="print"/>
                          <a:srcRect/>
                          <a:stretch>
                            <a:fillRect/>
                          </a:stretch>
                        </pic:blipFill>
                        <pic:spPr bwMode="auto">
                          <a:xfrm>
                            <a:off x="0" y="0"/>
                            <a:ext cx="1643181" cy="2752725"/>
                          </a:xfrm>
                          <a:prstGeom prst="rect">
                            <a:avLst/>
                          </a:prstGeom>
                          <a:noFill/>
                          <a:ln w="9525">
                            <a:noFill/>
                            <a:miter lim="800000"/>
                            <a:headEnd/>
                            <a:tailEnd/>
                          </a:ln>
                        </pic:spPr>
                      </pic:pic>
                    </a:graphicData>
                  </a:graphic>
                </wp:inline>
              </w:drawing>
            </w:r>
          </w:p>
        </w:tc>
        <w:tc>
          <w:tcPr>
            <w:tcW w:w="4621" w:type="dxa"/>
          </w:tcPr>
          <w:p w:rsidR="001A482E" w:rsidRDefault="00691864" w:rsidP="00691864">
            <w:pPr>
              <w:pStyle w:val="Caption"/>
              <w:rPr>
                <w:rFonts w:ascii="Perpetua" w:hAnsi="Perpetua"/>
                <w:b w:val="0"/>
                <w:color w:val="auto"/>
                <w:sz w:val="20"/>
              </w:rPr>
            </w:pPr>
            <w:bookmarkStart w:id="247" w:name="_Toc263509007"/>
            <w:bookmarkStart w:id="248" w:name="_Toc263510794"/>
            <w:bookmarkStart w:id="249" w:name="_Toc244437515"/>
            <w:bookmarkStart w:id="250" w:name="_Toc244508210"/>
            <w:bookmarkStart w:id="251" w:name="_Toc244577272"/>
            <w:bookmarkStart w:id="252" w:name="_Toc263495741"/>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10</w:t>
            </w:r>
            <w:r w:rsidR="00DF2DF8" w:rsidRPr="00691864">
              <w:rPr>
                <w:rFonts w:ascii="Perpetua" w:hAnsi="Perpetua"/>
                <w:b w:val="0"/>
                <w:color w:val="auto"/>
                <w:sz w:val="20"/>
              </w:rPr>
              <w:fldChar w:fldCharType="end"/>
            </w:r>
            <w:r w:rsidRPr="00691864">
              <w:rPr>
                <w:rFonts w:ascii="Perpetua" w:hAnsi="Perpetua"/>
                <w:b w:val="0"/>
                <w:color w:val="auto"/>
                <w:sz w:val="20"/>
              </w:rPr>
              <w:t>: Postage stamp commemorating the life of Sister Nivedita.</w:t>
            </w:r>
            <w:bookmarkEnd w:id="247"/>
            <w:bookmarkEnd w:id="248"/>
            <w:r w:rsidR="002D22FA" w:rsidRPr="00691864">
              <w:rPr>
                <w:rFonts w:ascii="Perpetua" w:hAnsi="Perpetua"/>
                <w:b w:val="0"/>
                <w:color w:val="auto"/>
                <w:sz w:val="20"/>
              </w:rPr>
              <w:t xml:space="preserve"> </w:t>
            </w:r>
          </w:p>
          <w:p w:rsidR="002D22FA" w:rsidRPr="001A482E" w:rsidRDefault="002D22FA" w:rsidP="001A482E">
            <w:pPr>
              <w:rPr>
                <w:rFonts w:ascii="Perpetua" w:hAnsi="Perpetua"/>
                <w:sz w:val="20"/>
              </w:rPr>
            </w:pPr>
            <w:r w:rsidRPr="001A482E">
              <w:rPr>
                <w:rFonts w:ascii="Perpetua" w:hAnsi="Perpetua"/>
                <w:sz w:val="20"/>
              </w:rPr>
              <w:t>Born Margaret Elizabeth Noble in Dungannon, Ireland, Sister Nivedita embodied the connections between the Bengali and Irish home rule movements. In 1895 she met Swami Vivekananda, a revivalist Hindu monk in London, and she moved to India where she lectured on nationalism. In 1905 following the partition of Bengal, sister Nivedita worked closely with Bengali nationalists to implement the Swadeshi boycott and promote Swaraj (Boehmer, 2005). Available at: http://www.liveindia.com/freedomfighters/jhansi.html (Accessed: 12 July 2013)</w:t>
            </w:r>
            <w:bookmarkEnd w:id="249"/>
            <w:bookmarkEnd w:id="250"/>
            <w:bookmarkEnd w:id="251"/>
            <w:bookmarkEnd w:id="252"/>
          </w:p>
        </w:tc>
      </w:tr>
    </w:tbl>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In </w:t>
      </w:r>
      <w:r w:rsidRPr="0001780A">
        <w:rPr>
          <w:rFonts w:ascii="Garamond" w:hAnsi="Garamond"/>
          <w:i/>
          <w:sz w:val="24"/>
          <w:szCs w:val="24"/>
        </w:rPr>
        <w:t>Empire and the National</w:t>
      </w:r>
      <w:r w:rsidRPr="0001780A">
        <w:rPr>
          <w:rFonts w:ascii="Garamond" w:hAnsi="Garamond"/>
          <w:sz w:val="24"/>
          <w:szCs w:val="24"/>
        </w:rPr>
        <w:t xml:space="preserve"> (</w:t>
      </w:r>
      <w:r>
        <w:rPr>
          <w:rFonts w:ascii="Garamond" w:hAnsi="Garamond"/>
          <w:sz w:val="24"/>
          <w:szCs w:val="24"/>
        </w:rPr>
        <w:t>2005</w:t>
      </w:r>
      <w:r w:rsidRPr="0001780A">
        <w:rPr>
          <w:rFonts w:ascii="Garamond" w:hAnsi="Garamond"/>
          <w:sz w:val="24"/>
          <w:szCs w:val="24"/>
        </w:rPr>
        <w:t xml:space="preserve">), Elleke Boehmer posits that the Swadeshi campaign attempted to expand from the economic sphere through developing an inner strength directly inspired by </w:t>
      </w:r>
      <w:r w:rsidRPr="0001780A">
        <w:rPr>
          <w:rFonts w:ascii="Garamond" w:hAnsi="Garamond"/>
          <w:i/>
          <w:sz w:val="24"/>
          <w:szCs w:val="24"/>
        </w:rPr>
        <w:t>Sinn Fein</w:t>
      </w:r>
      <w:r w:rsidRPr="0001780A">
        <w:rPr>
          <w:rFonts w:ascii="Garamond" w:hAnsi="Garamond"/>
          <w:sz w:val="24"/>
          <w:szCs w:val="24"/>
        </w:rPr>
        <w:t>; the slogans of ‘Own force’ (</w:t>
      </w:r>
      <w:r w:rsidR="000173D8">
        <w:rPr>
          <w:rFonts w:ascii="Garamond" w:hAnsi="Garamond"/>
          <w:sz w:val="24"/>
          <w:szCs w:val="24"/>
        </w:rPr>
        <w:t xml:space="preserve">as propagated by </w:t>
      </w:r>
      <w:r w:rsidR="000173D8" w:rsidRPr="0001780A">
        <w:rPr>
          <w:rFonts w:ascii="Garamond" w:hAnsi="Garamond"/>
          <w:sz w:val="24"/>
          <w:szCs w:val="24"/>
        </w:rPr>
        <w:t>poet, writer and activist</w:t>
      </w:r>
      <w:r w:rsidR="000173D8">
        <w:rPr>
          <w:rFonts w:ascii="Garamond" w:hAnsi="Garamond"/>
          <w:sz w:val="24"/>
          <w:szCs w:val="24"/>
        </w:rPr>
        <w:t xml:space="preserve"> Rabindranath Tagore</w:t>
      </w:r>
      <w:r w:rsidRPr="0001780A">
        <w:rPr>
          <w:rFonts w:ascii="Garamond" w:hAnsi="Garamond"/>
          <w:sz w:val="24"/>
          <w:szCs w:val="24"/>
        </w:rPr>
        <w:t>) and 'Ourselves, ourselves, always ourselves' (Sister Nivedita) closely echoed the rhetoric of the Irish nationalist Charles Parnell’s agitation against British metropolitan rule. Indeed, Swadeshi newspapers published articles and quotes from</w:t>
      </w:r>
      <w:r w:rsidR="000173D8">
        <w:rPr>
          <w:rFonts w:ascii="Garamond" w:hAnsi="Garamond"/>
          <w:sz w:val="24"/>
          <w:szCs w:val="24"/>
        </w:rPr>
        <w:t xml:space="preserve"> Irish history in English, Ma</w:t>
      </w:r>
      <w:r w:rsidRPr="0001780A">
        <w:rPr>
          <w:rFonts w:ascii="Garamond" w:hAnsi="Garamond"/>
          <w:sz w:val="24"/>
          <w:szCs w:val="24"/>
        </w:rPr>
        <w:t>rathi and Bengali. Boehmer suggests that Swadeshi debates on civil service agitation owed to a “cross-nationalist traffic of ideas” (2002, 57). The verb</w:t>
      </w:r>
      <w:r>
        <w:rPr>
          <w:rFonts w:ascii="Garamond" w:hAnsi="Garamond"/>
          <w:sz w:val="24"/>
          <w:szCs w:val="24"/>
        </w:rPr>
        <w:t>,</w:t>
      </w:r>
      <w:r w:rsidRPr="0001780A">
        <w:rPr>
          <w:rFonts w:ascii="Garamond" w:hAnsi="Garamond"/>
          <w:sz w:val="24"/>
          <w:szCs w:val="24"/>
        </w:rPr>
        <w:t xml:space="preserve"> </w:t>
      </w:r>
      <w:r>
        <w:rPr>
          <w:rFonts w:ascii="Garamond" w:hAnsi="Garamond"/>
          <w:sz w:val="24"/>
          <w:szCs w:val="24"/>
        </w:rPr>
        <w:t>‘</w:t>
      </w:r>
      <w:r w:rsidRPr="0001780A">
        <w:rPr>
          <w:rFonts w:ascii="Garamond" w:hAnsi="Garamond"/>
          <w:sz w:val="24"/>
          <w:szCs w:val="24"/>
        </w:rPr>
        <w:t>to boycott</w:t>
      </w:r>
      <w:r>
        <w:rPr>
          <w:rFonts w:ascii="Garamond" w:hAnsi="Garamond"/>
          <w:sz w:val="24"/>
          <w:szCs w:val="24"/>
        </w:rPr>
        <w:t>’,</w:t>
      </w:r>
      <w:r w:rsidRPr="0001780A">
        <w:rPr>
          <w:rFonts w:ascii="Garamond" w:hAnsi="Garamond"/>
          <w:sz w:val="24"/>
          <w:szCs w:val="24"/>
        </w:rPr>
        <w:t xml:space="preserve"> transmuted several thousand miles, and was frequently used by Dutt and Deuskar in the 1890s, </w:t>
      </w:r>
      <w:r w:rsidR="000173D8">
        <w:rPr>
          <w:rFonts w:ascii="Garamond" w:hAnsi="Garamond"/>
          <w:sz w:val="24"/>
          <w:szCs w:val="24"/>
        </w:rPr>
        <w:t>and then Tagore, Tilak and Ghosh</w:t>
      </w:r>
      <w:r w:rsidRPr="0001780A">
        <w:rPr>
          <w:rFonts w:ascii="Garamond" w:hAnsi="Garamond"/>
          <w:sz w:val="24"/>
          <w:szCs w:val="24"/>
        </w:rPr>
        <w:t xml:space="preserve"> barely over a decade after it had been coined by Redpath and O’Malley in Ireland. The territorial and psychological aspects of Swaraj (Home Rule) owed to the practices of the </w:t>
      </w:r>
      <w:r w:rsidRPr="0001780A">
        <w:rPr>
          <w:rFonts w:ascii="Garamond" w:hAnsi="Garamond"/>
          <w:i/>
          <w:sz w:val="24"/>
          <w:szCs w:val="24"/>
        </w:rPr>
        <w:t>Irish Land League</w:t>
      </w:r>
      <w:r w:rsidRPr="0001780A">
        <w:rPr>
          <w:rFonts w:ascii="Garamond" w:hAnsi="Garamond"/>
          <w:sz w:val="24"/>
          <w:szCs w:val="24"/>
        </w:rPr>
        <w:t xml:space="preserve">. Inspired by events in Ireland, the Swadeshi leaders imagined the movement as part of a global agitation for Swaraj against imperial oppressors (Sartori, 2003; Boehmer, 2002).  </w:t>
      </w:r>
    </w:p>
    <w:p w:rsidR="002D22FA" w:rsidRPr="0001780A" w:rsidRDefault="002D22FA" w:rsidP="002D22FA">
      <w:pPr>
        <w:spacing w:after="0" w:line="360" w:lineRule="auto"/>
        <w:jc w:val="both"/>
        <w:rPr>
          <w:rFonts w:ascii="Garamond" w:hAnsi="Garamond"/>
          <w:sz w:val="24"/>
          <w:szCs w:val="24"/>
        </w:rPr>
      </w:pPr>
    </w:p>
    <w:p w:rsidR="002D22FA" w:rsidRPr="00F07857"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At the turn of the twentieth century the commodity boycott in its Irish, American and Bengali incarnations articulated a radical politics aimed at addressing the twin oppressions of monopoly capitalism and colonialism. </w:t>
      </w:r>
      <w:r>
        <w:rPr>
          <w:rFonts w:ascii="Garamond" w:hAnsi="Garamond"/>
          <w:sz w:val="24"/>
          <w:szCs w:val="24"/>
        </w:rPr>
        <w:t>‘</w:t>
      </w:r>
      <w:r w:rsidRPr="0001780A">
        <w:rPr>
          <w:rFonts w:ascii="Garamond" w:hAnsi="Garamond"/>
          <w:sz w:val="24"/>
          <w:szCs w:val="24"/>
        </w:rPr>
        <w:t>To boycott</w:t>
      </w:r>
      <w:r>
        <w:rPr>
          <w:rFonts w:ascii="Garamond" w:hAnsi="Garamond"/>
          <w:sz w:val="24"/>
          <w:szCs w:val="24"/>
        </w:rPr>
        <w:t>’</w:t>
      </w:r>
      <w:r w:rsidRPr="0001780A">
        <w:rPr>
          <w:rFonts w:ascii="Garamond" w:hAnsi="Garamond"/>
          <w:sz w:val="24"/>
          <w:szCs w:val="24"/>
        </w:rPr>
        <w:t xml:space="preserve"> meant to shun, withdraw purchase and ostracize, but it also meant to coalesce and form collectives and communities across a spectrum of social and political organizations. In short, boycotting entailed the performance of proximate and </w:t>
      </w:r>
      <w:r>
        <w:rPr>
          <w:rFonts w:ascii="Garamond" w:hAnsi="Garamond"/>
          <w:sz w:val="24"/>
          <w:szCs w:val="24"/>
        </w:rPr>
        <w:t>distanc</w:t>
      </w:r>
      <w:r w:rsidRPr="0001780A">
        <w:rPr>
          <w:rFonts w:ascii="Garamond" w:hAnsi="Garamond"/>
          <w:sz w:val="24"/>
          <w:szCs w:val="24"/>
        </w:rPr>
        <w:t xml:space="preserve">iated solidarities. Boycotting was tied up with nurturing an inner pride and confidence that could oppose the psychological internalization of colonial subjectivities, a theme that was reproduced when black </w:t>
      </w:r>
      <w:r w:rsidRPr="0001780A">
        <w:rPr>
          <w:rFonts w:ascii="Garamond" w:hAnsi="Garamond"/>
          <w:sz w:val="24"/>
          <w:szCs w:val="24"/>
        </w:rPr>
        <w:lastRenderedPageBreak/>
        <w:t>consciousness movements merged with civil rights boycotts in the USA during the 1950s and</w:t>
      </w:r>
      <w:r>
        <w:rPr>
          <w:rFonts w:ascii="Garamond" w:hAnsi="Garamond"/>
          <w:sz w:val="24"/>
          <w:szCs w:val="24"/>
        </w:rPr>
        <w:t xml:space="preserve"> 19</w:t>
      </w:r>
      <w:r w:rsidRPr="0001780A">
        <w:rPr>
          <w:rFonts w:ascii="Garamond" w:hAnsi="Garamond"/>
          <w:sz w:val="24"/>
          <w:szCs w:val="24"/>
        </w:rPr>
        <w:t>60s, and during the boycotts and pickets of white firms in apartheid South Africa during the 1970s (Fanon, 19</w:t>
      </w:r>
      <w:r>
        <w:rPr>
          <w:rFonts w:ascii="Garamond" w:hAnsi="Garamond"/>
          <w:sz w:val="24"/>
          <w:szCs w:val="24"/>
        </w:rPr>
        <w:t>68;</w:t>
      </w:r>
      <w:r w:rsidRPr="0001780A">
        <w:rPr>
          <w:rFonts w:ascii="Garamond" w:hAnsi="Garamond"/>
          <w:sz w:val="24"/>
          <w:szCs w:val="24"/>
        </w:rPr>
        <w:t xml:space="preserve"> Sartori, 2003; Carson, 2011). </w:t>
      </w:r>
    </w:p>
    <w:p w:rsidR="002D22FA" w:rsidRPr="0001780A" w:rsidRDefault="002D22FA" w:rsidP="002D22FA">
      <w:pPr>
        <w:spacing w:after="0" w:line="360" w:lineRule="auto"/>
        <w:jc w:val="both"/>
        <w:rPr>
          <w:rFonts w:ascii="Garamond" w:hAnsi="Garamond"/>
          <w:i/>
          <w:sz w:val="24"/>
          <w:szCs w:val="24"/>
        </w:rPr>
      </w:pPr>
    </w:p>
    <w:p w:rsidR="002D22FA" w:rsidRPr="00D819BA" w:rsidRDefault="002D22FA" w:rsidP="002D22FA">
      <w:pPr>
        <w:pStyle w:val="Heading2"/>
      </w:pPr>
      <w:bookmarkStart w:id="253" w:name="_Toc244453628"/>
      <w:bookmarkStart w:id="254" w:name="_Toc244454145"/>
      <w:bookmarkStart w:id="255" w:name="_Toc244469592"/>
      <w:bookmarkStart w:id="256" w:name="_Toc244508048"/>
      <w:bookmarkStart w:id="257" w:name="_Toc244535742"/>
      <w:bookmarkStart w:id="258" w:name="_Toc244578374"/>
      <w:bookmarkStart w:id="259" w:name="_Toc244578758"/>
      <w:bookmarkStart w:id="260" w:name="_Toc263452008"/>
      <w:bookmarkStart w:id="261" w:name="_Toc263510926"/>
      <w:r w:rsidRPr="00D819BA">
        <w:t>Two: Commodity boycotts as moral consumption</w:t>
      </w:r>
      <w:bookmarkEnd w:id="253"/>
      <w:bookmarkEnd w:id="254"/>
      <w:bookmarkEnd w:id="255"/>
      <w:bookmarkEnd w:id="256"/>
      <w:bookmarkEnd w:id="257"/>
      <w:bookmarkEnd w:id="258"/>
      <w:bookmarkEnd w:id="259"/>
      <w:bookmarkEnd w:id="260"/>
      <w:bookmarkEnd w:id="261"/>
      <w:r w:rsidRPr="00D819BA">
        <w:t xml:space="preserve"> </w:t>
      </w:r>
    </w:p>
    <w:p w:rsidR="002D22FA" w:rsidRPr="0001780A" w:rsidRDefault="002D22FA" w:rsidP="002D22FA">
      <w:pPr>
        <w:spacing w:after="0" w:line="360" w:lineRule="auto"/>
        <w:jc w:val="both"/>
        <w:rPr>
          <w:rFonts w:ascii="Garamond" w:hAnsi="Garamond"/>
          <w:b/>
          <w:sz w:val="24"/>
          <w:szCs w:val="24"/>
        </w:rPr>
      </w:pPr>
    </w:p>
    <w:tbl>
      <w:tblPr>
        <w:tblW w:w="0" w:type="auto"/>
        <w:tblLook w:val="00A0"/>
      </w:tblPr>
      <w:tblGrid>
        <w:gridCol w:w="4967"/>
        <w:gridCol w:w="3549"/>
      </w:tblGrid>
      <w:tr w:rsidR="002D22FA" w:rsidRPr="0001780A">
        <w:tc>
          <w:tcPr>
            <w:tcW w:w="5076" w:type="dxa"/>
          </w:tcPr>
          <w:p w:rsidR="002D22FA" w:rsidRPr="0001780A" w:rsidRDefault="002D22FA" w:rsidP="002D22FA">
            <w:pPr>
              <w:spacing w:line="360" w:lineRule="auto"/>
              <w:jc w:val="both"/>
              <w:rPr>
                <w:rFonts w:ascii="Garamond" w:hAnsi="Garamond"/>
                <w:b/>
                <w:sz w:val="24"/>
                <w:szCs w:val="24"/>
              </w:rPr>
            </w:pPr>
            <w:r w:rsidRPr="0001780A">
              <w:rPr>
                <w:rFonts w:ascii="Garamond" w:hAnsi="Garamond"/>
                <w:b/>
                <w:noProof/>
                <w:sz w:val="24"/>
                <w:szCs w:val="24"/>
                <w:lang w:eastAsia="en-GB"/>
              </w:rPr>
              <w:drawing>
                <wp:inline distT="0" distB="0" distL="0" distR="0">
                  <wp:extent cx="2717800" cy="2344765"/>
                  <wp:effectExtent l="2540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2733524" cy="2358330"/>
                          </a:xfrm>
                          <a:prstGeom prst="rect">
                            <a:avLst/>
                          </a:prstGeom>
                          <a:noFill/>
                          <a:ln w="9525">
                            <a:noFill/>
                            <a:miter lim="800000"/>
                            <a:headEnd/>
                            <a:tailEnd/>
                          </a:ln>
                        </pic:spPr>
                      </pic:pic>
                    </a:graphicData>
                  </a:graphic>
                </wp:inline>
              </w:drawing>
            </w:r>
          </w:p>
        </w:tc>
        <w:tc>
          <w:tcPr>
            <w:tcW w:w="4166" w:type="dxa"/>
          </w:tcPr>
          <w:p w:rsidR="001A482E" w:rsidRDefault="00691864" w:rsidP="00691864">
            <w:pPr>
              <w:pStyle w:val="Caption"/>
              <w:rPr>
                <w:rFonts w:ascii="Perpetua" w:hAnsi="Perpetua"/>
                <w:b w:val="0"/>
                <w:color w:val="auto"/>
                <w:sz w:val="20"/>
                <w:szCs w:val="24"/>
              </w:rPr>
            </w:pPr>
            <w:bookmarkStart w:id="262" w:name="_Toc263509008"/>
            <w:bookmarkStart w:id="263" w:name="_Toc263510795"/>
            <w:bookmarkStart w:id="264" w:name="_Toc244437516"/>
            <w:bookmarkStart w:id="265" w:name="_Toc244508211"/>
            <w:bookmarkStart w:id="266" w:name="_Toc244577273"/>
            <w:bookmarkStart w:id="267" w:name="_Toc263495742"/>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11</w:t>
            </w:r>
            <w:r w:rsidR="00DF2DF8" w:rsidRPr="00691864">
              <w:rPr>
                <w:rFonts w:ascii="Perpetua" w:hAnsi="Perpetua"/>
                <w:b w:val="0"/>
                <w:color w:val="auto"/>
                <w:sz w:val="20"/>
              </w:rPr>
              <w:fldChar w:fldCharType="end"/>
            </w:r>
            <w:r w:rsidR="001A482E">
              <w:rPr>
                <w:rFonts w:ascii="Perpetua" w:hAnsi="Perpetua"/>
                <w:b w:val="0"/>
                <w:color w:val="auto"/>
                <w:sz w:val="20"/>
              </w:rPr>
              <w:t>: 'Branded hand' culture jam illustration.</w:t>
            </w:r>
            <w:bookmarkEnd w:id="262"/>
            <w:bookmarkEnd w:id="263"/>
          </w:p>
          <w:p w:rsidR="002D22FA" w:rsidRPr="001A482E" w:rsidRDefault="002D22FA" w:rsidP="001A482E">
            <w:pPr>
              <w:rPr>
                <w:rFonts w:ascii="Perpetua" w:hAnsi="Perpetua"/>
                <w:sz w:val="20"/>
              </w:rPr>
            </w:pPr>
            <w:r w:rsidRPr="001A482E">
              <w:rPr>
                <w:rFonts w:ascii="Perpetua" w:hAnsi="Perpetua"/>
                <w:sz w:val="20"/>
              </w:rPr>
              <w:t>Consumer activism: In her paper on anti-sweatshop and antislavery (2006), political scientist Michelle Micheletti argues that "possibly the world's first culture jam occurred when abolitionist poet John Greenleaf Whittier changed the message of S.S (slave stealer, a common admonishing label) to 'Salvation to the Slave' in his poem 'The branded Hand'" (ibid.: 3). Image from Micheletti (ibid.: 2).</w:t>
            </w:r>
            <w:bookmarkEnd w:id="264"/>
            <w:bookmarkEnd w:id="265"/>
            <w:bookmarkEnd w:id="266"/>
            <w:bookmarkEnd w:id="267"/>
          </w:p>
          <w:p w:rsidR="002D22FA" w:rsidRPr="00691864" w:rsidRDefault="002D22FA" w:rsidP="00691864">
            <w:pPr>
              <w:keepNext/>
              <w:spacing w:line="360" w:lineRule="auto"/>
              <w:jc w:val="both"/>
              <w:rPr>
                <w:rFonts w:ascii="Perpetua" w:hAnsi="Perpetua"/>
                <w:sz w:val="20"/>
                <w:szCs w:val="24"/>
              </w:rPr>
            </w:pPr>
          </w:p>
        </w:tc>
      </w:tr>
    </w:tbl>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Commodity boycotts can be traced historically through a second genealogy qualitatively distinct from the boycott as anti-colonial or radical politics. In this guise, the commodity boycott emerges as a practice and expression of 'moral' consumption, and is centred on the mobilization of the consumer as a political agent. This approach to the boycott is dominant across business management studies and classical economics in work on corporate boycott avoidance and consumer motivations. The moral or self-reflexive consumer also prevails in contemporary geographies and sociologies of ethical and political consumption, and consumption moralities are centre stage in historical work on British and North American</w:t>
      </w:r>
      <w:r>
        <w:rPr>
          <w:rFonts w:ascii="Garamond" w:hAnsi="Garamond"/>
          <w:sz w:val="24"/>
          <w:szCs w:val="24"/>
        </w:rPr>
        <w:t xml:space="preserve"> anti</w:t>
      </w:r>
      <w:r w:rsidRPr="0001780A">
        <w:rPr>
          <w:rFonts w:ascii="Garamond" w:hAnsi="Garamond"/>
          <w:sz w:val="24"/>
          <w:szCs w:val="24"/>
        </w:rPr>
        <w:t>slavery. Across these disciplines, work on the discerning consumer proffers insights, provocations and absences that this project addresses. I begin by tracing the genealogy of commodity boycotts as expressions of consumer mora</w:t>
      </w:r>
      <w:r>
        <w:rPr>
          <w:rFonts w:ascii="Garamond" w:hAnsi="Garamond"/>
          <w:sz w:val="24"/>
          <w:szCs w:val="24"/>
        </w:rPr>
        <w:t>lity to eighteenth century anti</w:t>
      </w:r>
      <w:r w:rsidRPr="0001780A">
        <w:rPr>
          <w:rFonts w:ascii="Garamond" w:hAnsi="Garamond"/>
          <w:sz w:val="24"/>
          <w:szCs w:val="24"/>
        </w:rPr>
        <w:t xml:space="preserve">slavery.  </w:t>
      </w:r>
    </w:p>
    <w:p w:rsidR="002D22FA" w:rsidRPr="0001780A" w:rsidRDefault="002D22FA" w:rsidP="002D22FA">
      <w:pPr>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eastAsia="Times New Roman" w:hAnsi="Garamond"/>
          <w:i/>
          <w:sz w:val="24"/>
          <w:szCs w:val="24"/>
        </w:rPr>
      </w:pPr>
      <w:r w:rsidRPr="0001780A">
        <w:rPr>
          <w:rFonts w:ascii="Garamond" w:eastAsia="Times New Roman" w:hAnsi="Garamond"/>
          <w:sz w:val="24"/>
          <w:szCs w:val="24"/>
        </w:rPr>
        <w:t>The self-reflexive consumer is a prominent figure of historical research on the British-</w:t>
      </w:r>
      <w:r>
        <w:rPr>
          <w:rFonts w:ascii="Garamond" w:eastAsia="Times New Roman" w:hAnsi="Garamond"/>
          <w:sz w:val="24"/>
          <w:szCs w:val="24"/>
        </w:rPr>
        <w:t>North American networks of anti</w:t>
      </w:r>
      <w:r w:rsidRPr="0001780A">
        <w:rPr>
          <w:rFonts w:ascii="Garamond" w:eastAsia="Times New Roman" w:hAnsi="Garamond"/>
          <w:sz w:val="24"/>
          <w:szCs w:val="24"/>
        </w:rPr>
        <w:t>slavery that developed in the eighteenth century around the 1791-93 sugar boycott (Hask</w:t>
      </w:r>
      <w:r>
        <w:rPr>
          <w:rFonts w:ascii="Garamond" w:eastAsia="Times New Roman" w:hAnsi="Garamond"/>
          <w:sz w:val="24"/>
          <w:szCs w:val="24"/>
        </w:rPr>
        <w:t>ell, 1985;</w:t>
      </w:r>
      <w:r w:rsidRPr="0001780A">
        <w:rPr>
          <w:rFonts w:ascii="Garamond" w:eastAsia="Times New Roman" w:hAnsi="Garamond"/>
          <w:sz w:val="24"/>
          <w:szCs w:val="24"/>
        </w:rPr>
        <w:t xml:space="preserve"> David, 2007; Brown, 2006; Huzzey, 201</w:t>
      </w:r>
      <w:r>
        <w:rPr>
          <w:rFonts w:ascii="Garamond" w:eastAsia="Times New Roman" w:hAnsi="Garamond"/>
          <w:sz w:val="24"/>
          <w:szCs w:val="24"/>
        </w:rPr>
        <w:t>2</w:t>
      </w:r>
      <w:r w:rsidR="000173D8">
        <w:rPr>
          <w:rFonts w:ascii="Garamond" w:eastAsia="Times New Roman" w:hAnsi="Garamond"/>
          <w:sz w:val="24"/>
          <w:szCs w:val="24"/>
        </w:rPr>
        <w:t>)</w:t>
      </w:r>
      <w:r w:rsidRPr="0001780A">
        <w:rPr>
          <w:rFonts w:ascii="Garamond" w:eastAsia="Times New Roman" w:hAnsi="Garamond"/>
          <w:sz w:val="24"/>
          <w:szCs w:val="24"/>
        </w:rPr>
        <w:t xml:space="preserve">. The self-reflexive female consumer features prominently too in discussions of </w:t>
      </w:r>
      <w:r w:rsidRPr="0001780A">
        <w:rPr>
          <w:rFonts w:ascii="Garamond" w:eastAsia="Times New Roman" w:hAnsi="Garamond"/>
          <w:i/>
          <w:sz w:val="24"/>
          <w:szCs w:val="24"/>
        </w:rPr>
        <w:t>The Birmingham Society's</w:t>
      </w:r>
      <w:r w:rsidRPr="0001780A">
        <w:rPr>
          <w:rFonts w:ascii="Garamond" w:eastAsia="Times New Roman" w:hAnsi="Garamond"/>
          <w:sz w:val="24"/>
          <w:szCs w:val="24"/>
        </w:rPr>
        <w:t xml:space="preserve"> free-produce movement of 1823-24 (Drescher, 1987; Sheller, 200</w:t>
      </w:r>
      <w:r>
        <w:rPr>
          <w:rFonts w:ascii="Garamond" w:eastAsia="Times New Roman" w:hAnsi="Garamond"/>
          <w:sz w:val="24"/>
          <w:szCs w:val="24"/>
        </w:rPr>
        <w:t>3;</w:t>
      </w:r>
      <w:r w:rsidRPr="0001780A">
        <w:rPr>
          <w:rFonts w:ascii="Garamond" w:eastAsia="Times New Roman" w:hAnsi="Garamond"/>
          <w:sz w:val="24"/>
          <w:szCs w:val="24"/>
        </w:rPr>
        <w:t xml:space="preserve"> Micheletti, 200</w:t>
      </w:r>
      <w:r>
        <w:rPr>
          <w:rFonts w:ascii="Garamond" w:eastAsia="Times New Roman" w:hAnsi="Garamond"/>
          <w:sz w:val="24"/>
          <w:szCs w:val="24"/>
        </w:rPr>
        <w:t>6;</w:t>
      </w:r>
      <w:r w:rsidRPr="0001780A">
        <w:rPr>
          <w:rFonts w:ascii="Garamond" w:eastAsia="Times New Roman" w:hAnsi="Garamond"/>
          <w:sz w:val="24"/>
          <w:szCs w:val="24"/>
        </w:rPr>
        <w:t xml:space="preserve"> Midgley, 2007). The sugar abstention (anti-sa</w:t>
      </w:r>
      <w:r>
        <w:rPr>
          <w:rFonts w:ascii="Garamond" w:eastAsia="Times New Roman" w:hAnsi="Garamond"/>
          <w:sz w:val="24"/>
          <w:szCs w:val="24"/>
        </w:rPr>
        <w:t>ccharite) campaigns of the late-</w:t>
      </w:r>
      <w:r w:rsidRPr="0001780A">
        <w:rPr>
          <w:rFonts w:ascii="Garamond" w:eastAsia="Times New Roman" w:hAnsi="Garamond"/>
          <w:sz w:val="24"/>
          <w:szCs w:val="24"/>
        </w:rPr>
        <w:lastRenderedPageBreak/>
        <w:t>eighteenth century are anachronistically referred to by historians as a consumer boycott.</w:t>
      </w:r>
      <w:r w:rsidRPr="0001780A">
        <w:rPr>
          <w:rFonts w:ascii="Garamond" w:hAnsi="Garamond"/>
          <w:sz w:val="24"/>
          <w:szCs w:val="24"/>
        </w:rPr>
        <w:t xml:space="preserve"> In 1792, the Briti</w:t>
      </w:r>
      <w:r>
        <w:rPr>
          <w:rFonts w:ascii="Garamond" w:hAnsi="Garamond"/>
          <w:sz w:val="24"/>
          <w:szCs w:val="24"/>
        </w:rPr>
        <w:t>sh government received 519 anti</w:t>
      </w:r>
      <w:r w:rsidRPr="0001780A">
        <w:rPr>
          <w:rFonts w:ascii="Garamond" w:hAnsi="Garamond"/>
          <w:sz w:val="24"/>
          <w:szCs w:val="24"/>
        </w:rPr>
        <w:t>slave</w:t>
      </w:r>
      <w:r>
        <w:rPr>
          <w:rFonts w:ascii="Garamond" w:hAnsi="Garamond"/>
          <w:sz w:val="24"/>
          <w:szCs w:val="24"/>
        </w:rPr>
        <w:t>ry</w:t>
      </w:r>
      <w:r w:rsidRPr="0001780A">
        <w:rPr>
          <w:rFonts w:ascii="Garamond" w:hAnsi="Garamond"/>
          <w:sz w:val="24"/>
          <w:szCs w:val="24"/>
        </w:rPr>
        <w:t xml:space="preserve"> trade petitions; when this failed to produce parliamentary action, the boycott was implemented (Davis, 1975). The politicization of sugar consumption by the anti-saccharite campaign was so su</w:t>
      </w:r>
      <w:r>
        <w:rPr>
          <w:rFonts w:ascii="Garamond" w:hAnsi="Garamond"/>
          <w:sz w:val="24"/>
          <w:szCs w:val="24"/>
        </w:rPr>
        <w:t xml:space="preserve">ccessful that </w:t>
      </w:r>
      <w:r w:rsidR="000173D8">
        <w:rPr>
          <w:rFonts w:ascii="Garamond" w:hAnsi="Garamond"/>
          <w:sz w:val="24"/>
          <w:szCs w:val="24"/>
        </w:rPr>
        <w:t xml:space="preserve">between 300,000 and </w:t>
      </w:r>
      <w:r w:rsidRPr="0001780A">
        <w:rPr>
          <w:rFonts w:ascii="Garamond" w:hAnsi="Garamond"/>
          <w:sz w:val="24"/>
          <w:szCs w:val="24"/>
        </w:rPr>
        <w:t>500,000 people across the UK abstained from consuming West Indian sugar between 1791 and 1793 (Midgley, 1996; Sheller, 200</w:t>
      </w:r>
      <w:r>
        <w:rPr>
          <w:rFonts w:ascii="Garamond" w:hAnsi="Garamond"/>
          <w:sz w:val="24"/>
          <w:szCs w:val="24"/>
        </w:rPr>
        <w:t>3;</w:t>
      </w:r>
      <w:r w:rsidRPr="0001780A">
        <w:rPr>
          <w:rFonts w:ascii="Garamond" w:hAnsi="Garamond"/>
          <w:sz w:val="24"/>
          <w:szCs w:val="24"/>
        </w:rPr>
        <w:t xml:space="preserve"> Hochschild, 2005; Davis, 1975). The extra-parliamentary nature of the boycott campaign meant that it only </w:t>
      </w:r>
      <w:r>
        <w:rPr>
          <w:rFonts w:ascii="Garamond" w:hAnsi="Garamond"/>
          <w:sz w:val="24"/>
          <w:szCs w:val="24"/>
        </w:rPr>
        <w:t>received official endorsement from</w:t>
      </w:r>
      <w:r w:rsidRPr="0001780A">
        <w:rPr>
          <w:rFonts w:ascii="Garamond" w:hAnsi="Garamond"/>
          <w:sz w:val="24"/>
          <w:szCs w:val="24"/>
        </w:rPr>
        <w:t xml:space="preserve"> </w:t>
      </w:r>
      <w:r w:rsidRPr="0001780A">
        <w:rPr>
          <w:rFonts w:ascii="Garamond" w:hAnsi="Garamond"/>
          <w:i/>
          <w:sz w:val="24"/>
          <w:szCs w:val="24"/>
        </w:rPr>
        <w:t>The Society for the Abolition of the Slave Trade</w:t>
      </w:r>
      <w:r w:rsidRPr="0001780A">
        <w:rPr>
          <w:rFonts w:ascii="Garamond" w:hAnsi="Garamond"/>
          <w:sz w:val="24"/>
          <w:szCs w:val="24"/>
        </w:rPr>
        <w:t xml:space="preserve"> for a few m</w:t>
      </w:r>
      <w:r>
        <w:rPr>
          <w:rFonts w:ascii="Garamond" w:hAnsi="Garamond"/>
          <w:sz w:val="24"/>
          <w:szCs w:val="24"/>
        </w:rPr>
        <w:t xml:space="preserve">onths in 1793 (Midgley, 2007). </w:t>
      </w:r>
      <w:r w:rsidRPr="0001780A">
        <w:rPr>
          <w:rFonts w:ascii="Garamond" w:hAnsi="Garamond"/>
          <w:sz w:val="24"/>
          <w:szCs w:val="24"/>
        </w:rPr>
        <w:t>For many of the leading abolitionists, including William Wilberforce, the Anglican/Quaker alliance of the boycott movement (headed by the confrontational radical Thomas Clarkson) was too subversive in the context of the French revolution, the weak monarchy and the slave rebellion in San Domingue</w:t>
      </w:r>
      <w:r>
        <w:rPr>
          <w:rFonts w:ascii="Garamond" w:hAnsi="Garamond"/>
          <w:sz w:val="24"/>
          <w:szCs w:val="24"/>
        </w:rPr>
        <w:t>.</w:t>
      </w:r>
      <w:r w:rsidRPr="0001780A">
        <w:rPr>
          <w:rFonts w:ascii="Garamond" w:hAnsi="Garamond"/>
          <w:sz w:val="24"/>
          <w:szCs w:val="24"/>
        </w:rPr>
        <w:t xml:space="preserve"> </w:t>
      </w:r>
      <w:r>
        <w:rPr>
          <w:rFonts w:ascii="Garamond" w:hAnsi="Garamond"/>
          <w:sz w:val="24"/>
          <w:szCs w:val="24"/>
        </w:rPr>
        <w:t>The historiographies of anti</w:t>
      </w:r>
      <w:r w:rsidRPr="0001780A">
        <w:rPr>
          <w:rFonts w:ascii="Garamond" w:hAnsi="Garamond"/>
          <w:sz w:val="24"/>
          <w:szCs w:val="24"/>
        </w:rPr>
        <w:t>slavery and consumer activism suggest several ‘anti-saccharite cultures’ that have informed my interpretation of the BOA and STT's work.</w:t>
      </w:r>
      <w:r w:rsidRPr="0001780A">
        <w:rPr>
          <w:rFonts w:ascii="Garamond" w:eastAsia="Times New Roman" w:hAnsi="Garamond"/>
          <w:i/>
          <w:sz w:val="24"/>
          <w:szCs w:val="24"/>
        </w:rPr>
        <w:t xml:space="preserve"> </w:t>
      </w:r>
    </w:p>
    <w:p w:rsidR="002D22FA" w:rsidRPr="0001780A" w:rsidRDefault="002D22FA" w:rsidP="002D22FA">
      <w:pPr>
        <w:spacing w:after="0" w:line="360" w:lineRule="auto"/>
        <w:ind w:right="-45"/>
        <w:jc w:val="both"/>
        <w:rPr>
          <w:rFonts w:ascii="Garamond" w:eastAsia="Times New Roman" w:hAnsi="Garamond"/>
          <w:i/>
          <w:sz w:val="24"/>
          <w:szCs w:val="24"/>
        </w:rPr>
      </w:pPr>
    </w:p>
    <w:p w:rsidR="002D22FA" w:rsidRPr="00407502" w:rsidRDefault="002D22FA" w:rsidP="002D22FA">
      <w:pPr>
        <w:spacing w:after="0" w:line="360" w:lineRule="auto"/>
        <w:ind w:right="-45"/>
        <w:jc w:val="both"/>
        <w:rPr>
          <w:rFonts w:ascii="Garamond" w:eastAsia="Times New Roman" w:hAnsi="Garamond"/>
          <w:b/>
          <w:i/>
          <w:szCs w:val="24"/>
        </w:rPr>
      </w:pPr>
      <w:r w:rsidRPr="00407502">
        <w:rPr>
          <w:rFonts w:ascii="Garamond" w:eastAsia="Times New Roman" w:hAnsi="Garamond"/>
          <w:b/>
          <w:i/>
          <w:szCs w:val="24"/>
        </w:rPr>
        <w:t>The boycott as humanitarian practice</w:t>
      </w:r>
    </w:p>
    <w:p w:rsidR="002D22FA" w:rsidRPr="0001780A" w:rsidRDefault="002D22FA" w:rsidP="002D22FA">
      <w:pPr>
        <w:spacing w:after="0" w:line="360" w:lineRule="auto"/>
        <w:ind w:right="-45"/>
        <w:jc w:val="both"/>
        <w:rPr>
          <w:rFonts w:ascii="Garamond" w:eastAsia="Times New Roman" w:hAnsi="Garamond"/>
          <w:i/>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eastAsia="Times New Roman" w:hAnsi="Garamond"/>
          <w:sz w:val="24"/>
          <w:szCs w:val="24"/>
        </w:rPr>
        <w:t xml:space="preserve">The first of these anti-saccharite cultures is humanitarianism. </w:t>
      </w:r>
      <w:r w:rsidRPr="0001780A">
        <w:rPr>
          <w:rFonts w:ascii="Garamond" w:hAnsi="Garamond"/>
          <w:sz w:val="24"/>
          <w:szCs w:val="24"/>
        </w:rPr>
        <w:t>Celebrations of the role of middle</w:t>
      </w:r>
      <w:r w:rsidR="000173D8">
        <w:rPr>
          <w:rFonts w:ascii="Garamond" w:hAnsi="Garamond"/>
          <w:sz w:val="24"/>
          <w:szCs w:val="24"/>
        </w:rPr>
        <w:t xml:space="preserve">-class </w:t>
      </w:r>
      <w:r w:rsidRPr="0001780A">
        <w:rPr>
          <w:rFonts w:ascii="Garamond" w:hAnsi="Garamond"/>
          <w:sz w:val="24"/>
          <w:szCs w:val="24"/>
        </w:rPr>
        <w:t>and working-class British abolit</w:t>
      </w:r>
      <w:r>
        <w:rPr>
          <w:rFonts w:ascii="Garamond" w:hAnsi="Garamond"/>
          <w:sz w:val="24"/>
          <w:szCs w:val="24"/>
        </w:rPr>
        <w:t>ionists in lighting the kindle</w:t>
      </w:r>
      <w:r w:rsidRPr="0001780A">
        <w:rPr>
          <w:rFonts w:ascii="Garamond" w:hAnsi="Garamond"/>
          <w:sz w:val="24"/>
          <w:szCs w:val="24"/>
        </w:rPr>
        <w:t xml:space="preserve"> for global humanitarianism</w:t>
      </w:r>
      <w:r w:rsidRPr="0001780A">
        <w:rPr>
          <w:rStyle w:val="FootnoteReference"/>
          <w:rFonts w:ascii="Garamond" w:hAnsi="Garamond"/>
          <w:sz w:val="24"/>
          <w:szCs w:val="24"/>
        </w:rPr>
        <w:footnoteReference w:id="39"/>
      </w:r>
      <w:r w:rsidRPr="0001780A">
        <w:rPr>
          <w:rFonts w:ascii="Garamond" w:hAnsi="Garamond"/>
          <w:sz w:val="24"/>
          <w:szCs w:val="24"/>
        </w:rPr>
        <w:t xml:space="preserve"> have been forwarded by Haskell (</w:t>
      </w:r>
      <w:r>
        <w:rPr>
          <w:rFonts w:ascii="Garamond" w:hAnsi="Garamond"/>
          <w:sz w:val="24"/>
          <w:szCs w:val="24"/>
        </w:rPr>
        <w:t>1985</w:t>
      </w:r>
      <w:r w:rsidRPr="0001780A">
        <w:rPr>
          <w:rFonts w:ascii="Garamond" w:hAnsi="Garamond"/>
          <w:sz w:val="24"/>
          <w:szCs w:val="24"/>
        </w:rPr>
        <w:t>), Drescher (1987), Micheletti (2006), Hochschild (2005) and Barnett (2011). For Adam Hochschild, the wider antislavery movement in which the boycott was situated,</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ind w:left="284" w:right="284"/>
        <w:jc w:val="both"/>
        <w:rPr>
          <w:rFonts w:ascii="Garamond" w:hAnsi="Garamond"/>
          <w:sz w:val="24"/>
        </w:rPr>
      </w:pPr>
      <w:r w:rsidRPr="0001780A">
        <w:rPr>
          <w:rFonts w:ascii="Garamond" w:hAnsi="Garamond"/>
          <w:sz w:val="24"/>
        </w:rPr>
        <w:t>was the first time a large number of people became outraged, and stayed outraged for many years over someone else's rights. And most startling of all the rights of people of another color, on another continent. (2005: 5)</w:t>
      </w:r>
    </w:p>
    <w:p w:rsidR="002D22FA" w:rsidRPr="0001780A" w:rsidRDefault="002D22FA" w:rsidP="002D22FA">
      <w:pPr>
        <w:spacing w:after="0" w:line="360" w:lineRule="auto"/>
        <w:ind w:left="284" w:right="284"/>
        <w:jc w:val="both"/>
        <w:rPr>
          <w:rFonts w:ascii="Garamond" w:hAnsi="Garamond"/>
          <w:sz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Discussions of consumer morality are embedded in contemporary research on</w:t>
      </w:r>
      <w:r w:rsidR="000173D8">
        <w:rPr>
          <w:rFonts w:ascii="Garamond" w:hAnsi="Garamond"/>
          <w:sz w:val="24"/>
          <w:szCs w:val="24"/>
        </w:rPr>
        <w:t xml:space="preserve"> the anti-sweatshop campaigns, such as ‘</w:t>
      </w:r>
      <w:r w:rsidRPr="0001780A">
        <w:rPr>
          <w:rFonts w:ascii="Garamond" w:hAnsi="Garamond"/>
          <w:sz w:val="24"/>
          <w:szCs w:val="24"/>
        </w:rPr>
        <w:t>moral-su</w:t>
      </w:r>
      <w:r w:rsidR="000173D8">
        <w:rPr>
          <w:rFonts w:ascii="Garamond" w:hAnsi="Garamond"/>
          <w:sz w:val="24"/>
          <w:szCs w:val="24"/>
        </w:rPr>
        <w:t>asion' (</w:t>
      </w:r>
      <w:r w:rsidRPr="0001780A">
        <w:rPr>
          <w:rFonts w:ascii="Garamond" w:hAnsi="Garamond"/>
          <w:sz w:val="24"/>
          <w:szCs w:val="24"/>
        </w:rPr>
        <w:t>Micheletti, 2003)</w:t>
      </w:r>
      <w:r w:rsidR="000173D8">
        <w:rPr>
          <w:rFonts w:ascii="Garamond" w:hAnsi="Garamond"/>
          <w:sz w:val="24"/>
          <w:szCs w:val="24"/>
        </w:rPr>
        <w:t>,</w:t>
      </w:r>
      <w:r w:rsidRPr="0001780A">
        <w:rPr>
          <w:rFonts w:ascii="Garamond" w:hAnsi="Garamond"/>
          <w:sz w:val="24"/>
          <w:szCs w:val="24"/>
        </w:rPr>
        <w:t xml:space="preserve"> and the globally responsible consumer who engages in everyday acts</w:t>
      </w:r>
      <w:r>
        <w:rPr>
          <w:rFonts w:ascii="Garamond" w:hAnsi="Garamond"/>
          <w:sz w:val="24"/>
          <w:szCs w:val="24"/>
        </w:rPr>
        <w:t xml:space="preserve"> of 'moral-selving' (Barnett et</w:t>
      </w:r>
      <w:r w:rsidRPr="0001780A">
        <w:rPr>
          <w:rFonts w:ascii="Garamond" w:hAnsi="Garamond"/>
          <w:sz w:val="24"/>
          <w:szCs w:val="24"/>
        </w:rPr>
        <w:t xml:space="preserve"> al., </w:t>
      </w:r>
      <w:r w:rsidRPr="0001780A">
        <w:rPr>
          <w:rFonts w:ascii="Garamond" w:hAnsi="Garamond"/>
          <w:sz w:val="24"/>
          <w:szCs w:val="24"/>
        </w:rPr>
        <w:lastRenderedPageBreak/>
        <w:t>2005; 2011). Subscribers to, and critics of, the humanitarian or 'moral awakening' thesis present a number of competing reasons for the development of antislavery as sentiment in Britain and Pennsylvania in the late</w:t>
      </w:r>
      <w:r>
        <w:rPr>
          <w:rFonts w:ascii="Garamond" w:hAnsi="Garamond"/>
          <w:sz w:val="24"/>
          <w:szCs w:val="24"/>
        </w:rPr>
        <w:t>-</w:t>
      </w:r>
      <w:r w:rsidRPr="0001780A">
        <w:rPr>
          <w:rFonts w:ascii="Garamond" w:hAnsi="Garamond"/>
          <w:sz w:val="24"/>
          <w:szCs w:val="24"/>
        </w:rPr>
        <w:t>eighteenth century. These arguments present ways of thinking about consumer humanitaria</w:t>
      </w:r>
      <w:r>
        <w:rPr>
          <w:rFonts w:ascii="Garamond" w:hAnsi="Garamond"/>
          <w:sz w:val="24"/>
          <w:szCs w:val="24"/>
        </w:rPr>
        <w:t xml:space="preserve">nism that are applicable today. </w:t>
      </w:r>
      <w:r w:rsidRPr="0001780A">
        <w:rPr>
          <w:rFonts w:ascii="Garamond" w:hAnsi="Garamond"/>
          <w:sz w:val="24"/>
          <w:szCs w:val="24"/>
        </w:rPr>
        <w:t>Michael Barnett suggests that enlightenment ideals and religious non-conformism combined to influence prominent abolitionists such as William Wilberforce to take humanitarian action. For Thomas Laqueu</w:t>
      </w:r>
      <w:r>
        <w:rPr>
          <w:rFonts w:ascii="Garamond" w:hAnsi="Garamond"/>
          <w:sz w:val="24"/>
          <w:szCs w:val="24"/>
        </w:rPr>
        <w:t>r (1990), anti</w:t>
      </w:r>
      <w:r w:rsidRPr="0001780A">
        <w:rPr>
          <w:rFonts w:ascii="Garamond" w:hAnsi="Garamond"/>
          <w:sz w:val="24"/>
          <w:szCs w:val="24"/>
        </w:rPr>
        <w:t>slavery humanitarianism derived from an intensified pub</w:t>
      </w:r>
      <w:r w:rsidR="003E49FB">
        <w:rPr>
          <w:rFonts w:ascii="Garamond" w:hAnsi="Garamond"/>
          <w:sz w:val="24"/>
          <w:szCs w:val="24"/>
        </w:rPr>
        <w:t xml:space="preserve">lic sympathy for bodies in pain that </w:t>
      </w:r>
      <w:r w:rsidRPr="0001780A">
        <w:rPr>
          <w:rFonts w:ascii="Garamond" w:hAnsi="Garamond"/>
          <w:sz w:val="24"/>
          <w:szCs w:val="24"/>
        </w:rPr>
        <w:t>percolated society</w:t>
      </w:r>
      <w:r>
        <w:rPr>
          <w:rFonts w:ascii="Garamond" w:hAnsi="Garamond"/>
          <w:sz w:val="24"/>
          <w:szCs w:val="24"/>
        </w:rPr>
        <w:t xml:space="preserve"> through scientific discourse. </w:t>
      </w:r>
      <w:r w:rsidRPr="0001780A">
        <w:rPr>
          <w:rFonts w:ascii="Garamond" w:hAnsi="Garamond"/>
          <w:sz w:val="24"/>
          <w:szCs w:val="24"/>
        </w:rPr>
        <w:t>Biological evidence of maladies and suffering derived from rigorous attempts at objective autopsy reports and from ‘realistic’ documentation of the body and its organs. Laqueur argues that as people of eighteenth c</w:t>
      </w:r>
      <w:r>
        <w:rPr>
          <w:rFonts w:ascii="Garamond" w:hAnsi="Garamond"/>
          <w:sz w:val="24"/>
          <w:szCs w:val="24"/>
        </w:rPr>
        <w:t>entury Britain became more body-</w:t>
      </w:r>
      <w:r w:rsidRPr="0001780A">
        <w:rPr>
          <w:rFonts w:ascii="Garamond" w:hAnsi="Garamond"/>
          <w:sz w:val="24"/>
          <w:szCs w:val="24"/>
        </w:rPr>
        <w:t>literate, they were increasing</w:t>
      </w:r>
      <w:r>
        <w:rPr>
          <w:rFonts w:ascii="Garamond" w:hAnsi="Garamond"/>
          <w:sz w:val="24"/>
          <w:szCs w:val="24"/>
        </w:rPr>
        <w:t>ly able to imagine and sympathiz</w:t>
      </w:r>
      <w:r w:rsidRPr="0001780A">
        <w:rPr>
          <w:rFonts w:ascii="Garamond" w:hAnsi="Garamond"/>
          <w:sz w:val="24"/>
          <w:szCs w:val="24"/>
        </w:rPr>
        <w:t xml:space="preserve">e with the pain of others. Anti-saccharite depictions of the black body in pain or suffering were explicitly geared towards motivating disgust, outrage and pity essential to the mobilization of humanitarian sentiment (Scarry, 1985; Boltanski, 1999). Timothy Morton (2000) argues that the consumer boycott of slave-produced sugar combined an emerging culture of radical food with romanticism to produce a humanitarian discourse on human rights. </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Pr>
          <w:rFonts w:ascii="Garamond" w:hAnsi="Garamond"/>
          <w:sz w:val="24"/>
          <w:szCs w:val="24"/>
        </w:rPr>
        <w:t>Haskell (1985</w:t>
      </w:r>
      <w:r w:rsidRPr="0001780A">
        <w:rPr>
          <w:rFonts w:ascii="Garamond" w:hAnsi="Garamond"/>
          <w:sz w:val="24"/>
          <w:szCs w:val="24"/>
        </w:rPr>
        <w:t xml:space="preserve">) has emphasized the moralistic potential of expanding capitalism itself. His thesis on the relationship between capitalism and humanitarianism asserts that eighteenth century contractual mechanisms for regulating capitalist relations over increasing distances led to a greater understanding of trust and causation between spatially disparate peoples. According to Haskell, </w:t>
      </w:r>
      <w:r>
        <w:rPr>
          <w:rFonts w:ascii="Garamond" w:hAnsi="Garamond"/>
          <w:sz w:val="24"/>
          <w:szCs w:val="24"/>
        </w:rPr>
        <w:t>distanc</w:t>
      </w:r>
      <w:r w:rsidRPr="0001780A">
        <w:rPr>
          <w:rFonts w:ascii="Garamond" w:hAnsi="Garamond"/>
          <w:sz w:val="24"/>
          <w:szCs w:val="24"/>
        </w:rPr>
        <w:t>iated chains of will and responsibility are part of capitalism’s ‘recipe know</w:t>
      </w:r>
      <w:r>
        <w:rPr>
          <w:rFonts w:ascii="Garamond" w:hAnsi="Garamond"/>
          <w:sz w:val="24"/>
          <w:szCs w:val="24"/>
        </w:rPr>
        <w:t>ledge’, a recipe knowledge that</w:t>
      </w:r>
      <w:r w:rsidRPr="0001780A">
        <w:rPr>
          <w:rFonts w:ascii="Garamond" w:hAnsi="Garamond"/>
          <w:sz w:val="24"/>
          <w:szCs w:val="24"/>
        </w:rPr>
        <w:t>, in the right hands, prepared ‘scrupulous’ individuals for humanitarian action (Micheletti, 2006). The writings of the eighteenth century Quaker activists Anthony Benezet and John Woolman partially support Haskell’s thesis.</w:t>
      </w:r>
      <w:r w:rsidRPr="0001780A">
        <w:rPr>
          <w:rStyle w:val="FootnoteReference"/>
          <w:rFonts w:ascii="Garamond" w:hAnsi="Garamond"/>
          <w:sz w:val="24"/>
          <w:szCs w:val="24"/>
        </w:rPr>
        <w:footnoteReference w:id="40"/>
      </w:r>
      <w:r w:rsidRPr="0001780A">
        <w:rPr>
          <w:rFonts w:ascii="Garamond" w:hAnsi="Garamond"/>
          <w:sz w:val="24"/>
          <w:szCs w:val="24"/>
        </w:rPr>
        <w:t xml:space="preserve"> Their proto-abolitionism of the 1760s took two forms that retrospectively</w:t>
      </w:r>
      <w:r>
        <w:rPr>
          <w:rFonts w:ascii="Garamond" w:hAnsi="Garamond"/>
          <w:sz w:val="24"/>
          <w:szCs w:val="24"/>
        </w:rPr>
        <w:t xml:space="preserve"> resemble boycott actions:</w:t>
      </w:r>
      <w:r w:rsidRPr="0001780A">
        <w:rPr>
          <w:rFonts w:ascii="Garamond" w:hAnsi="Garamond"/>
          <w:sz w:val="24"/>
          <w:szCs w:val="24"/>
        </w:rPr>
        <w:t xml:space="preserve"> firstly, both encouraged Quakers to shun slaveholders at Friends gatherings across Penn</w:t>
      </w:r>
      <w:r>
        <w:rPr>
          <w:rFonts w:ascii="Garamond" w:hAnsi="Garamond"/>
          <w:sz w:val="24"/>
          <w:szCs w:val="24"/>
        </w:rPr>
        <w:t>sylvania and the UK;</w:t>
      </w:r>
      <w:r w:rsidRPr="0001780A">
        <w:rPr>
          <w:rFonts w:ascii="Garamond" w:hAnsi="Garamond"/>
          <w:sz w:val="24"/>
          <w:szCs w:val="24"/>
        </w:rPr>
        <w:t xml:space="preserve"> secondly, in a radical move, Woolman urged the shunning of products of slave labour and disengagement from the 'polluting' influence of slavery (H</w:t>
      </w:r>
      <w:r>
        <w:rPr>
          <w:rFonts w:ascii="Garamond" w:hAnsi="Garamond"/>
          <w:sz w:val="24"/>
          <w:szCs w:val="24"/>
        </w:rPr>
        <w:t>askell, 1985</w:t>
      </w:r>
      <w:r w:rsidRPr="0001780A">
        <w:rPr>
          <w:rFonts w:ascii="Garamond" w:hAnsi="Garamond"/>
          <w:sz w:val="24"/>
          <w:szCs w:val="24"/>
        </w:rPr>
        <w:t>; Huzzey, 201</w:t>
      </w:r>
      <w:r>
        <w:rPr>
          <w:rFonts w:ascii="Garamond" w:hAnsi="Garamond"/>
          <w:sz w:val="24"/>
          <w:szCs w:val="24"/>
        </w:rPr>
        <w:t>2</w:t>
      </w:r>
      <w:r w:rsidR="003E49FB">
        <w:rPr>
          <w:rFonts w:ascii="Garamond" w:hAnsi="Garamond"/>
          <w:sz w:val="24"/>
          <w:szCs w:val="24"/>
        </w:rPr>
        <w:t>)</w:t>
      </w:r>
      <w:r w:rsidRPr="0001780A">
        <w:rPr>
          <w:rFonts w:ascii="Garamond" w:hAnsi="Garamond"/>
          <w:sz w:val="24"/>
          <w:szCs w:val="24"/>
        </w:rPr>
        <w:t>. Haskell's thesis on the moral force of capitalism has been given contemporary leverage in Michelle Micheletti's work on the</w:t>
      </w:r>
      <w:r w:rsidR="003E49FB">
        <w:rPr>
          <w:rFonts w:ascii="Garamond" w:hAnsi="Garamond"/>
          <w:sz w:val="24"/>
          <w:szCs w:val="24"/>
        </w:rPr>
        <w:t xml:space="preserve"> anti-sweatshop movement, which</w:t>
      </w:r>
    </w:p>
    <w:p w:rsidR="002D22FA" w:rsidRPr="0001780A" w:rsidRDefault="002D22FA" w:rsidP="002D22FA">
      <w:pPr>
        <w:spacing w:after="0" w:line="360" w:lineRule="auto"/>
        <w:jc w:val="both"/>
        <w:rPr>
          <w:rFonts w:ascii="Garamond" w:hAnsi="Garamond"/>
          <w:sz w:val="24"/>
          <w:szCs w:val="24"/>
        </w:rPr>
      </w:pPr>
    </w:p>
    <w:p w:rsidR="002D22FA" w:rsidRPr="00D819BA" w:rsidRDefault="002D22FA" w:rsidP="002D22FA">
      <w:pPr>
        <w:spacing w:after="0" w:line="360" w:lineRule="auto"/>
        <w:ind w:left="284" w:right="284"/>
        <w:jc w:val="both"/>
        <w:rPr>
          <w:rFonts w:ascii="Garamond" w:hAnsi="Garamond"/>
        </w:rPr>
      </w:pPr>
      <w:r w:rsidRPr="00D819BA">
        <w:rPr>
          <w:rFonts w:ascii="Garamond" w:hAnsi="Garamond"/>
        </w:rPr>
        <w:t xml:space="preserve">concerns the same deep humanitarian values as the anti-slavery movement. It even borrows its language. It uses spectacular vocabulary like chocolate slaves, fruit slaves, and slave labor in its condemnations of corporate policies and practices and to get Western consumers to think twice about their preferences and choices. (2006: 3)  </w:t>
      </w:r>
    </w:p>
    <w:p w:rsidR="002D22FA" w:rsidRPr="0001780A" w:rsidRDefault="002D22FA" w:rsidP="002D22FA">
      <w:pPr>
        <w:spacing w:after="0" w:line="360" w:lineRule="auto"/>
        <w:ind w:left="284" w:right="284"/>
        <w:jc w:val="both"/>
        <w:rPr>
          <w:rFonts w:ascii="Garamond" w:hAnsi="Garamond"/>
          <w:sz w:val="24"/>
        </w:rPr>
      </w:pPr>
    </w:p>
    <w:p w:rsidR="002D22FA" w:rsidRPr="0001780A" w:rsidRDefault="002D22FA" w:rsidP="002D22FA">
      <w:pPr>
        <w:autoSpaceDE w:val="0"/>
        <w:autoSpaceDN w:val="0"/>
        <w:adjustRightInd w:val="0"/>
        <w:spacing w:after="0" w:line="360" w:lineRule="auto"/>
        <w:jc w:val="both"/>
        <w:rPr>
          <w:rFonts w:ascii="Garamond" w:hAnsi="Garamond"/>
          <w:sz w:val="24"/>
          <w:szCs w:val="24"/>
        </w:rPr>
      </w:pPr>
      <w:r w:rsidRPr="0001780A">
        <w:rPr>
          <w:rFonts w:ascii="Garamond" w:hAnsi="Garamond"/>
          <w:sz w:val="24"/>
          <w:szCs w:val="24"/>
        </w:rPr>
        <w:t>For Micheletti, working humanitarianism into consumption practices enables the shaping of cosmopolitan citizenship in Western democracies. The capitalist market is "a breeding ground, hotbed, and trigger for global and universal humanitarianism" (2006:</w:t>
      </w:r>
      <w:r>
        <w:rPr>
          <w:rFonts w:ascii="Garamond" w:hAnsi="Garamond"/>
          <w:sz w:val="24"/>
          <w:szCs w:val="24"/>
        </w:rPr>
        <w:t xml:space="preserve"> </w:t>
      </w:r>
      <w:r w:rsidRPr="0001780A">
        <w:rPr>
          <w:rFonts w:ascii="Garamond" w:hAnsi="Garamond"/>
          <w:sz w:val="24"/>
          <w:szCs w:val="24"/>
        </w:rPr>
        <w:t>23). But both Haskell and Micheletti fail to acknowledge the uneven power relations and geographies constructed through capitalism and humanitarianism. Both scholars reify the 'perfect' free market (of the eighteenth and twenty-first centuries respectively), and omit the placed imperfections of tariffs, structural barriers, nationalisms, inequalities of access, and potentially destructive racial geographical imaginaries associated with both capitalist and humanitarian mechanisms</w:t>
      </w:r>
      <w:r>
        <w:rPr>
          <w:rFonts w:ascii="Garamond" w:hAnsi="Garamond"/>
          <w:sz w:val="24"/>
          <w:szCs w:val="24"/>
        </w:rPr>
        <w:t xml:space="preserve"> (</w:t>
      </w:r>
      <w:r w:rsidRPr="0001780A">
        <w:rPr>
          <w:rFonts w:ascii="Garamond" w:hAnsi="Garamond"/>
          <w:sz w:val="24"/>
          <w:szCs w:val="24"/>
        </w:rPr>
        <w:t>David, 2010; van Liempt, 2011;</w:t>
      </w:r>
      <w:r>
        <w:rPr>
          <w:rFonts w:ascii="Garamond" w:hAnsi="Garamond"/>
          <w:sz w:val="24"/>
          <w:szCs w:val="24"/>
        </w:rPr>
        <w:t xml:space="preserve"> </w:t>
      </w:r>
      <w:r w:rsidRPr="0001780A">
        <w:rPr>
          <w:rFonts w:ascii="Garamond" w:hAnsi="Garamond"/>
          <w:sz w:val="24"/>
          <w:szCs w:val="24"/>
        </w:rPr>
        <w:t>Blackburn, 2011). While Haskell's benevolent thesis towards the moralizing force of capitalism is evidenced through recourse to Woolman's personal moral universalism of the 1760s, it has proven weak for explaining how British abolitionism did not extend its moral geographies beyond the boundaries of the British Empire (Drescher, 1987; Huzzey, 2013</w:t>
      </w:r>
      <w:r w:rsidR="003E49FB">
        <w:rPr>
          <w:rFonts w:ascii="Garamond" w:hAnsi="Garamond"/>
          <w:sz w:val="24"/>
          <w:szCs w:val="24"/>
        </w:rPr>
        <w:t>)</w:t>
      </w:r>
      <w:r w:rsidRPr="0001780A">
        <w:rPr>
          <w:rFonts w:ascii="Garamond" w:hAnsi="Garamond"/>
          <w:sz w:val="24"/>
          <w:szCs w:val="24"/>
        </w:rPr>
        <w:t>. For Brown (2006), Haskell’s conceptual framework merely describes the conditions</w:t>
      </w:r>
      <w:r w:rsidR="003E49FB">
        <w:rPr>
          <w:rFonts w:ascii="Garamond" w:hAnsi="Garamond"/>
          <w:sz w:val="24"/>
          <w:szCs w:val="24"/>
        </w:rPr>
        <w:t xml:space="preserve"> of, rather than </w:t>
      </w:r>
      <w:r>
        <w:rPr>
          <w:rFonts w:ascii="Garamond" w:hAnsi="Garamond"/>
          <w:sz w:val="24"/>
          <w:szCs w:val="24"/>
        </w:rPr>
        <w:t>the causes for</w:t>
      </w:r>
      <w:r w:rsidR="003E49FB">
        <w:rPr>
          <w:rFonts w:ascii="Garamond" w:hAnsi="Garamond"/>
          <w:sz w:val="24"/>
          <w:szCs w:val="24"/>
        </w:rPr>
        <w:t>,</w:t>
      </w:r>
      <w:r>
        <w:rPr>
          <w:rFonts w:ascii="Garamond" w:hAnsi="Garamond"/>
          <w:sz w:val="24"/>
          <w:szCs w:val="24"/>
        </w:rPr>
        <w:t xml:space="preserve"> anti</w:t>
      </w:r>
      <w:r w:rsidRPr="0001780A">
        <w:rPr>
          <w:rFonts w:ascii="Garamond" w:hAnsi="Garamond"/>
          <w:sz w:val="24"/>
          <w:szCs w:val="24"/>
        </w:rPr>
        <w:t xml:space="preserve">slavery activism. Certainly, Eurocentric claims to universal humanitarianism through liberal or market interventions should be treated with suspicion.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407502" w:rsidRDefault="002D22FA"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sidRPr="00407502">
        <w:rPr>
          <w:rFonts w:ascii="Garamond" w:hAnsi="Garamond"/>
          <w:b/>
          <w:i/>
          <w:sz w:val="22"/>
        </w:rPr>
        <w:t>Emotion in humanitarian boycott politics</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spacing w:after="0" w:line="360" w:lineRule="auto"/>
        <w:ind w:right="-45"/>
        <w:jc w:val="both"/>
        <w:rPr>
          <w:rFonts w:ascii="Garamond" w:eastAsia="Times New Roman" w:hAnsi="Garamond"/>
          <w:sz w:val="24"/>
          <w:szCs w:val="24"/>
        </w:rPr>
      </w:pPr>
      <w:r w:rsidRPr="0001780A">
        <w:rPr>
          <w:rFonts w:ascii="Garamond" w:eastAsia="Times New Roman" w:hAnsi="Garamond"/>
          <w:color w:val="000000"/>
          <w:sz w:val="24"/>
          <w:szCs w:val="24"/>
        </w:rPr>
        <w:t xml:space="preserve">As boycotters widen their net across greater distances (both physical and moral), they must increasingly rely on the power of representation and images, and draw support through mediatized channels while engaging people in a </w:t>
      </w:r>
      <w:r>
        <w:rPr>
          <w:rFonts w:ascii="Garamond" w:eastAsia="Times New Roman" w:hAnsi="Garamond"/>
          <w:color w:val="000000"/>
          <w:sz w:val="24"/>
          <w:szCs w:val="24"/>
        </w:rPr>
        <w:t>distanc</w:t>
      </w:r>
      <w:r w:rsidRPr="0001780A">
        <w:rPr>
          <w:rFonts w:ascii="Garamond" w:eastAsia="Times New Roman" w:hAnsi="Garamond"/>
          <w:color w:val="000000"/>
          <w:sz w:val="24"/>
          <w:szCs w:val="24"/>
        </w:rPr>
        <w:t>iated ‘politics of pity’ (Boltanski, 1999). The spatial politics of witness, representation and performance are vital to boycott movements, and boycotters must appeal to audience compassion, sentiments and feelings (Smith, 1990; M</w:t>
      </w:r>
      <w:r w:rsidR="003E49FB">
        <w:rPr>
          <w:rFonts w:ascii="Garamond" w:eastAsia="Times New Roman" w:hAnsi="Garamond"/>
          <w:color w:val="000000"/>
          <w:sz w:val="24"/>
          <w:szCs w:val="24"/>
        </w:rPr>
        <w:t>ichel</w:t>
      </w:r>
      <w:r w:rsidRPr="0001780A">
        <w:rPr>
          <w:rFonts w:ascii="Garamond" w:eastAsia="Times New Roman" w:hAnsi="Garamond"/>
          <w:color w:val="000000"/>
          <w:sz w:val="24"/>
          <w:szCs w:val="24"/>
        </w:rPr>
        <w:t>etti, 200</w:t>
      </w:r>
      <w:r>
        <w:rPr>
          <w:rFonts w:ascii="Garamond" w:eastAsia="Times New Roman" w:hAnsi="Garamond"/>
          <w:color w:val="000000"/>
          <w:sz w:val="24"/>
          <w:szCs w:val="24"/>
        </w:rPr>
        <w:t>3</w:t>
      </w:r>
      <w:r w:rsidR="003E49FB">
        <w:rPr>
          <w:rFonts w:ascii="Garamond" w:eastAsia="Times New Roman" w:hAnsi="Garamond"/>
          <w:color w:val="000000"/>
          <w:sz w:val="24"/>
          <w:szCs w:val="24"/>
        </w:rPr>
        <w:t>)</w:t>
      </w:r>
      <w:r w:rsidRPr="0001780A">
        <w:rPr>
          <w:rFonts w:ascii="Garamond" w:eastAsia="Times New Roman" w:hAnsi="Garamond"/>
          <w:color w:val="000000"/>
          <w:sz w:val="24"/>
          <w:szCs w:val="24"/>
        </w:rPr>
        <w:t xml:space="preserve"> while themselves making consequentialist or deontological moral judgments. </w:t>
      </w:r>
      <w:r w:rsidRPr="0001780A">
        <w:rPr>
          <w:rFonts w:ascii="Garamond" w:eastAsia="Times New Roman" w:hAnsi="Garamond"/>
          <w:sz w:val="24"/>
          <w:szCs w:val="24"/>
        </w:rPr>
        <w:t>Corbridge (1993)</w:t>
      </w:r>
      <w:r>
        <w:rPr>
          <w:rFonts w:ascii="Garamond" w:eastAsia="Times New Roman" w:hAnsi="Garamond"/>
          <w:sz w:val="24"/>
          <w:szCs w:val="24"/>
        </w:rPr>
        <w:t xml:space="preserve">, </w:t>
      </w:r>
      <w:r w:rsidRPr="0001780A">
        <w:rPr>
          <w:rFonts w:ascii="Garamond" w:eastAsia="Times New Roman" w:hAnsi="Garamond"/>
          <w:sz w:val="24"/>
          <w:szCs w:val="24"/>
        </w:rPr>
        <w:t>S</w:t>
      </w:r>
      <w:r>
        <w:rPr>
          <w:rFonts w:ascii="Garamond" w:eastAsia="Times New Roman" w:hAnsi="Garamond"/>
          <w:sz w:val="24"/>
          <w:szCs w:val="24"/>
        </w:rPr>
        <w:t>ilk (2000</w:t>
      </w:r>
      <w:r w:rsidRPr="0001780A">
        <w:rPr>
          <w:rFonts w:ascii="Garamond" w:eastAsia="Times New Roman" w:hAnsi="Garamond"/>
          <w:sz w:val="24"/>
          <w:szCs w:val="24"/>
        </w:rPr>
        <w:t>)</w:t>
      </w:r>
      <w:r>
        <w:rPr>
          <w:rFonts w:ascii="Garamond" w:eastAsia="Times New Roman" w:hAnsi="Garamond"/>
          <w:sz w:val="24"/>
          <w:szCs w:val="24"/>
        </w:rPr>
        <w:t>, and Cottingham (2000)</w:t>
      </w:r>
      <w:r w:rsidRPr="0001780A">
        <w:rPr>
          <w:rFonts w:ascii="Garamond" w:eastAsia="Times New Roman" w:hAnsi="Garamond"/>
          <w:sz w:val="24"/>
          <w:szCs w:val="24"/>
        </w:rPr>
        <w:t xml:space="preserve"> have suggested that geographies of care have been marked by desire for beneficence towards ‘distant others’; beneficence does not decline with topographical distance. </w:t>
      </w:r>
      <w:r w:rsidRPr="0001780A">
        <w:rPr>
          <w:rFonts w:ascii="Garamond" w:eastAsia="Times New Roman" w:hAnsi="Garamond"/>
          <w:sz w:val="24"/>
          <w:szCs w:val="24"/>
        </w:rPr>
        <w:lastRenderedPageBreak/>
        <w:t>J</w:t>
      </w:r>
      <w:r>
        <w:rPr>
          <w:rFonts w:ascii="Garamond" w:eastAsia="Times New Roman" w:hAnsi="Garamond"/>
          <w:sz w:val="24"/>
          <w:szCs w:val="24"/>
        </w:rPr>
        <w:t>ackson (2004</w:t>
      </w:r>
      <w:r w:rsidRPr="0001780A">
        <w:rPr>
          <w:rFonts w:ascii="Garamond" w:eastAsia="Times New Roman" w:hAnsi="Garamond"/>
          <w:sz w:val="24"/>
          <w:szCs w:val="24"/>
        </w:rPr>
        <w:t xml:space="preserve">: 2) </w:t>
      </w:r>
      <w:r>
        <w:rPr>
          <w:rFonts w:ascii="Garamond" w:eastAsia="Times New Roman" w:hAnsi="Garamond"/>
          <w:sz w:val="24"/>
          <w:szCs w:val="24"/>
        </w:rPr>
        <w:t xml:space="preserve">reminds us </w:t>
      </w:r>
      <w:r w:rsidRPr="0001780A">
        <w:rPr>
          <w:rFonts w:ascii="Garamond" w:eastAsia="Times New Roman" w:hAnsi="Garamond"/>
          <w:sz w:val="24"/>
          <w:szCs w:val="24"/>
        </w:rPr>
        <w:t>that</w:t>
      </w:r>
      <w:r>
        <w:rPr>
          <w:rFonts w:ascii="Garamond" w:eastAsia="Times New Roman" w:hAnsi="Garamond"/>
          <w:sz w:val="24"/>
          <w:szCs w:val="24"/>
        </w:rPr>
        <w:t>,</w:t>
      </w:r>
      <w:r w:rsidRPr="0001780A">
        <w:rPr>
          <w:rFonts w:ascii="Garamond" w:eastAsia="Times New Roman" w:hAnsi="Garamond"/>
          <w:sz w:val="24"/>
          <w:szCs w:val="24"/>
        </w:rPr>
        <w:t xml:space="preserve"> “remoteness is socially constructed rather than a consequence of distance</w:t>
      </w:r>
      <w:r>
        <w:rPr>
          <w:rFonts w:ascii="Garamond" w:eastAsia="Times New Roman" w:hAnsi="Garamond"/>
          <w:sz w:val="24"/>
          <w:szCs w:val="24"/>
        </w:rPr>
        <w:t>…</w:t>
      </w:r>
      <w:r w:rsidRPr="0001780A">
        <w:rPr>
          <w:rFonts w:ascii="Garamond" w:eastAsia="Times New Roman" w:hAnsi="Garamond"/>
          <w:sz w:val="24"/>
          <w:szCs w:val="24"/>
        </w:rPr>
        <w:t>we can sometimes be stirred to care for distant strangers more readily than we can be to express concern for people literally on our doorsteps”.</w:t>
      </w:r>
      <w:r w:rsidRPr="0001780A">
        <w:rPr>
          <w:rStyle w:val="FootnoteReference"/>
          <w:rFonts w:ascii="Garamond" w:eastAsia="Times New Roman" w:hAnsi="Garamond"/>
          <w:sz w:val="24"/>
          <w:szCs w:val="24"/>
        </w:rPr>
        <w:footnoteReference w:id="41"/>
      </w:r>
      <w:r w:rsidRPr="0001780A">
        <w:rPr>
          <w:rFonts w:ascii="Garamond" w:eastAsia="Times New Roman" w:hAnsi="Garamond"/>
          <w:sz w:val="24"/>
          <w:szCs w:val="24"/>
        </w:rPr>
        <w:t xml:space="preserve"> As a prerequisite to philanthropic action one must witness suffering, either directly or through a representation or a mediator (Boltanski, 1999). Through a human mediator the suffering must be communicated in the public sphere through conversation, performance and embodiment  (ibid., 1999). In some instances, new recruits to boycott movements consume a relational ‘politics of pity’, defined by staged acts of suffering (Boltanski, 1999).</w:t>
      </w:r>
      <w:r w:rsidRPr="0001780A">
        <w:rPr>
          <w:rFonts w:ascii="Garamond" w:eastAsia="Times New Roman" w:hAnsi="Garamond"/>
          <w:b/>
          <w:bCs/>
          <w:sz w:val="24"/>
          <w:szCs w:val="24"/>
        </w:rPr>
        <w:t xml:space="preserve"> </w:t>
      </w:r>
      <w:r w:rsidRPr="0001780A">
        <w:rPr>
          <w:rFonts w:ascii="Garamond" w:eastAsia="Times New Roman" w:hAnsi="Garamond"/>
          <w:sz w:val="24"/>
          <w:szCs w:val="24"/>
        </w:rPr>
        <w:t>The boycotters must produce performances that are then consumed. Arendt and Boltanski identify the difference between compassion and pity as being an issue about scale and place. In Arendt’s view, compass</w:t>
      </w:r>
      <w:r w:rsidR="003E49FB">
        <w:rPr>
          <w:rFonts w:ascii="Garamond" w:eastAsia="Times New Roman" w:hAnsi="Garamond"/>
          <w:sz w:val="24"/>
          <w:szCs w:val="24"/>
        </w:rPr>
        <w:t>ion for a sufferer is felt face-to-</w:t>
      </w:r>
      <w:r w:rsidRPr="0001780A">
        <w:rPr>
          <w:rFonts w:ascii="Garamond" w:eastAsia="Times New Roman" w:hAnsi="Garamond"/>
          <w:sz w:val="24"/>
          <w:szCs w:val="24"/>
        </w:rPr>
        <w:t xml:space="preserve">face in a local phenomenological encounter, it is practical and “consists in gestures and expressions of countenance rather than words... and is not talkative or argumentative” (1990: 86). Contrast this with Boltanski’s definition of pity which “generalises in order to deal with distance, and in order to generalise becomes eloquent, recognizing and discovering itself as emotion and feeling” (1999: 6). Pity is distanced and mediated through witnesses. It is therefore political; it is represented, staged and argumentative.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407502" w:rsidRDefault="002D22FA" w:rsidP="002D22FA">
      <w:pPr>
        <w:autoSpaceDE w:val="0"/>
        <w:autoSpaceDN w:val="0"/>
        <w:adjustRightInd w:val="0"/>
        <w:spacing w:after="0" w:line="360" w:lineRule="auto"/>
        <w:jc w:val="both"/>
        <w:rPr>
          <w:rFonts w:ascii="Garamond" w:hAnsi="Garamond"/>
          <w:b/>
          <w:i/>
          <w:szCs w:val="24"/>
        </w:rPr>
      </w:pPr>
      <w:r w:rsidRPr="00407502">
        <w:rPr>
          <w:rFonts w:ascii="Garamond" w:hAnsi="Garamond"/>
          <w:b/>
          <w:i/>
          <w:szCs w:val="24"/>
        </w:rPr>
        <w:t xml:space="preserve">Moral capital and moral geographies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Histories that situate the boycotting consumer in national, religious and cultural traditions provide more complex and realistic accounts of how consumer morality was expressed over distance. </w:t>
      </w:r>
      <w:r w:rsidRPr="0001780A">
        <w:rPr>
          <w:rFonts w:ascii="Garamond" w:hAnsi="Garamond"/>
          <w:color w:val="000000"/>
        </w:rPr>
        <w:t>The anti-saccharite abstinence campaign was contextualized by Methodist and Quaker narratives of self purging, saving souls, complicity, denial and sacrifice (Midgle</w:t>
      </w:r>
      <w:r>
        <w:rPr>
          <w:rFonts w:ascii="Garamond" w:hAnsi="Garamond"/>
          <w:color w:val="000000"/>
        </w:rPr>
        <w:t>y, 1996</w:t>
      </w:r>
      <w:r w:rsidRPr="0001780A">
        <w:rPr>
          <w:rFonts w:ascii="Garamond" w:hAnsi="Garamond"/>
          <w:color w:val="000000"/>
        </w:rPr>
        <w:t xml:space="preserve">; Brown, 2006; David, 2007), and by the moral crisis and sense of corruption and introspection regarding Britain’s global role that followed American independence in 1783 (Hilton, 2003). </w:t>
      </w:r>
      <w:r w:rsidRPr="0001780A">
        <w:rPr>
          <w:rFonts w:ascii="Garamond" w:hAnsi="Garamond"/>
        </w:rPr>
        <w:t xml:space="preserve"> In </w:t>
      </w:r>
      <w:r w:rsidRPr="0001780A">
        <w:rPr>
          <w:rFonts w:ascii="Garamond" w:hAnsi="Garamond"/>
          <w:i/>
        </w:rPr>
        <w:t xml:space="preserve">Moral Capital: Foundations of British Abolitionism, </w:t>
      </w:r>
      <w:r w:rsidRPr="0001780A">
        <w:rPr>
          <w:rFonts w:ascii="Garamond" w:hAnsi="Garamond"/>
        </w:rPr>
        <w:t>Christopher Brown argues that a variety of political actors felt that they could accrue 'moral capital' from framing “anti-slavery initiatives as an emblem of national character” (2006:</w:t>
      </w:r>
      <w:r>
        <w:rPr>
          <w:rFonts w:ascii="Garamond" w:hAnsi="Garamond"/>
        </w:rPr>
        <w:t xml:space="preserve"> </w:t>
      </w:r>
      <w:r w:rsidRPr="0001780A">
        <w:rPr>
          <w:rFonts w:ascii="Garamond" w:hAnsi="Garamond"/>
        </w:rPr>
        <w:t xml:space="preserve">27), and thereby sustain the reputation of an empire perceived to be declining following the American war of independence. Inspired by Arrighi (1994) and Braudel’s (1979) work on the long </w:t>
      </w:r>
      <w:r w:rsidRPr="0001780A">
        <w:rPr>
          <w:rFonts w:ascii="Garamond" w:hAnsi="Garamond"/>
          <w:bCs/>
          <w:iCs/>
        </w:rPr>
        <w:t>durée</w:t>
      </w:r>
      <w:r w:rsidRPr="0001780A">
        <w:rPr>
          <w:rFonts w:ascii="Garamond" w:hAnsi="Garamond"/>
        </w:rPr>
        <w:t xml:space="preserve"> and hegemonic cycles of capital, Brown suggests that creating moral capital by vindicating British liberty was a seductive way of extending the British hegemony of capitalist relations before the transition to the American cycle of </w:t>
      </w:r>
      <w:r w:rsidRPr="0001780A">
        <w:rPr>
          <w:rFonts w:ascii="Garamond" w:hAnsi="Garamond"/>
        </w:rPr>
        <w:lastRenderedPageBreak/>
        <w:t>dominance (comparisons can be made today with contemporary applications of US 'moral capital' as a means of extending hegemony). Brown demonstrates that moral capital worked on many scales across anti-saccharite networks, and was bounded by kinships and nationalisms. The 'clean hands' rhetoric of the abo</w:t>
      </w:r>
      <w:r w:rsidR="00D819BA">
        <w:rPr>
          <w:rFonts w:ascii="Garamond" w:hAnsi="Garamond"/>
        </w:rPr>
        <w:t>litionists, Richard Huzzey (2012</w:t>
      </w:r>
      <w:r w:rsidRPr="0001780A">
        <w:rPr>
          <w:rFonts w:ascii="Garamond" w:hAnsi="Garamond"/>
        </w:rPr>
        <w:t>) adds, was "infused with the moral geography of empire a</w:t>
      </w:r>
      <w:r w:rsidR="00D819BA">
        <w:rPr>
          <w:rFonts w:ascii="Garamond" w:hAnsi="Garamond"/>
        </w:rPr>
        <w:t>nd with national identity" (2012</w:t>
      </w:r>
      <w:r w:rsidRPr="0001780A">
        <w:rPr>
          <w:rFonts w:ascii="Garamond" w:hAnsi="Garamond"/>
        </w:rPr>
        <w:t>: 116). The transfer of guilt from West Indian planter to British consumer occurred "within a closed market of protective tariffs", and abolitionists like William Fox "condemned racial slavery by Britons, rather than offering a mandate for transnational action" (ibid.:117). For Huzzey and Brown, the hu</w:t>
      </w:r>
      <w:r>
        <w:rPr>
          <w:rFonts w:ascii="Garamond" w:hAnsi="Garamond"/>
        </w:rPr>
        <w:t>manitarian impulses of the anti</w:t>
      </w:r>
      <w:r w:rsidRPr="0001780A">
        <w:rPr>
          <w:rFonts w:ascii="Garamond" w:hAnsi="Garamond"/>
        </w:rPr>
        <w:t xml:space="preserve">slavery boycott were largely driven by self-interest and by concerns closer to home than the abolition of African chattel slavery. This historical work on the boundaries to humanitarianism and the national pathways for the transfer of guilt has contemporary resonance, I suggest. They are influential in my approach both to the celebration of British abolitionism present in STT's chocolate activism and to the types of nationalist guilt that permeated Dutch anti-apartheid activism.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spacing w:after="0" w:line="360" w:lineRule="auto"/>
        <w:ind w:right="-45"/>
        <w:jc w:val="both"/>
        <w:rPr>
          <w:rFonts w:ascii="Garamond" w:eastAsia="Times New Roman" w:hAnsi="Garamond"/>
          <w:sz w:val="24"/>
          <w:szCs w:val="24"/>
        </w:rPr>
      </w:pPr>
      <w:r w:rsidRPr="0001780A">
        <w:rPr>
          <w:rFonts w:ascii="Garamond" w:eastAsia="Times New Roman" w:hAnsi="Garamond"/>
          <w:sz w:val="24"/>
          <w:szCs w:val="24"/>
        </w:rPr>
        <w:t xml:space="preserve">Research on contemporary comparisons to historical boycotts is prone to making unsubstantiated claims on current boycott activisms. For example Micheletti (2003) positions anti-sweatshop boycotts as direct applications of anti-saccharite ethics and eighteenth century market thinking. </w:t>
      </w:r>
      <w:r>
        <w:rPr>
          <w:rFonts w:ascii="Garamond" w:eastAsia="Times New Roman" w:hAnsi="Garamond"/>
          <w:sz w:val="24"/>
          <w:szCs w:val="24"/>
        </w:rPr>
        <w:t xml:space="preserve"> Huzzey (2012</w:t>
      </w:r>
      <w:r w:rsidRPr="0001780A">
        <w:rPr>
          <w:rFonts w:ascii="Garamond" w:eastAsia="Times New Roman" w:hAnsi="Garamond"/>
          <w:sz w:val="24"/>
          <w:szCs w:val="24"/>
        </w:rPr>
        <w:t xml:space="preserve">) argues that modern boycotts are less influenced by removing national geographies of guilt than those of eighteenth and nineteenth century abolitionism. For Margaret Hope-Bacon (1994) contemporary boycott activisms are economic acts devoid of social complexities. In her wonderful discussion of the persuasive tactics used by the Quaker abolitionist John Woolman on his travels around the plantation estates of Virginia, Hope-Bacon draws a line between the motives of Woolman and those of modern boycotters: </w:t>
      </w:r>
    </w:p>
    <w:p w:rsidR="002D22FA" w:rsidRPr="0001780A" w:rsidRDefault="002D22FA" w:rsidP="002D22FA">
      <w:pPr>
        <w:spacing w:after="0" w:line="360" w:lineRule="auto"/>
        <w:ind w:right="-45"/>
        <w:jc w:val="both"/>
        <w:rPr>
          <w:rFonts w:ascii="Garamond" w:eastAsia="Times New Roman" w:hAnsi="Garamond"/>
          <w:sz w:val="24"/>
          <w:szCs w:val="24"/>
        </w:rPr>
      </w:pPr>
    </w:p>
    <w:p w:rsidR="002D22FA" w:rsidRPr="00D819BA" w:rsidRDefault="002D22FA" w:rsidP="002D22FA">
      <w:pPr>
        <w:spacing w:after="0" w:line="360" w:lineRule="auto"/>
        <w:ind w:left="425" w:right="661"/>
        <w:jc w:val="both"/>
        <w:rPr>
          <w:rFonts w:ascii="Garamond" w:eastAsia="Times New Roman" w:hAnsi="Garamond"/>
        </w:rPr>
      </w:pPr>
      <w:r w:rsidRPr="00D819BA">
        <w:rPr>
          <w:rFonts w:ascii="Garamond" w:eastAsia="Times New Roman" w:hAnsi="Garamond"/>
        </w:rPr>
        <w:t>Whenever he visited a household where slaves were used as servant, he preferred to sleep outside on the ground or to pay for his lodging, much to the discomfiture of his host. His refusal to benefit from slave labor or slave products was based not so much on the idea of exerting economic pressure on his opponent (as in the modern concept of the non violent boycott) as it was in his desire to remain himself clear and free from complicity in slavery. (Hope-Bacon, 1994: 276)</w:t>
      </w:r>
    </w:p>
    <w:p w:rsidR="002D22FA" w:rsidRPr="0001780A" w:rsidRDefault="002D22FA" w:rsidP="002D22FA">
      <w:pPr>
        <w:spacing w:after="0" w:line="360" w:lineRule="auto"/>
        <w:ind w:left="425" w:right="661"/>
        <w:jc w:val="both"/>
        <w:rPr>
          <w:rFonts w:ascii="Garamond" w:eastAsia="Times New Roman" w:hAnsi="Garamond"/>
          <w:sz w:val="24"/>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In contrast, contemporary political consumption literature is replete with references to boycotters engaging in complex emotional expressions of their individuality. In an </w:t>
      </w:r>
      <w:r w:rsidRPr="0001780A">
        <w:rPr>
          <w:rFonts w:ascii="Garamond" w:hAnsi="Garamond"/>
        </w:rPr>
        <w:lastRenderedPageBreak/>
        <w:t xml:space="preserve">anachronistically entitled paper, </w:t>
      </w:r>
      <w:r w:rsidRPr="0001780A">
        <w:rPr>
          <w:rFonts w:ascii="Garamond" w:hAnsi="Garamond"/>
          <w:i/>
          <w:iCs/>
        </w:rPr>
        <w:t>Ensouling Consumption: A Netographic Exploration of the Meaning of Boycotting Behaviour</w:t>
      </w:r>
      <w:r w:rsidRPr="0001780A">
        <w:rPr>
          <w:rFonts w:ascii="Garamond" w:hAnsi="Garamond"/>
        </w:rPr>
        <w:t xml:space="preserve">, </w:t>
      </w:r>
      <w:r w:rsidRPr="0001780A">
        <w:rPr>
          <w:rStyle w:val="FootnoteReference"/>
          <w:rFonts w:ascii="Garamond" w:hAnsi="Garamond"/>
        </w:rPr>
        <w:footnoteReference w:id="42"/>
      </w:r>
      <w:r w:rsidRPr="0001780A">
        <w:rPr>
          <w:rFonts w:ascii="Garamond" w:hAnsi="Garamond"/>
        </w:rPr>
        <w:t xml:space="preserve"> Kozinets and Handleman (1998) discuss an empirical study of boycott motivations and conclude that boycotters engage in morally transforming behavior, where they “inscribe morality into the minute actio</w:t>
      </w:r>
      <w:r w:rsidR="00D819BA">
        <w:rPr>
          <w:rFonts w:ascii="Garamond" w:hAnsi="Garamond"/>
        </w:rPr>
        <w:t>ns of their daily lives” (ibid.</w:t>
      </w:r>
      <w:r w:rsidRPr="0001780A">
        <w:rPr>
          <w:rFonts w:ascii="Garamond" w:hAnsi="Garamond"/>
        </w:rPr>
        <w:t>: 478) and partake “in a form of awakening...(and) self sacrifice... in an urge to reclaim capitalism” (ibid</w:t>
      </w:r>
      <w:r w:rsidR="00D819BA">
        <w:rPr>
          <w:rFonts w:ascii="Garamond" w:hAnsi="Garamond"/>
        </w:rPr>
        <w:t>.</w:t>
      </w:r>
      <w:r w:rsidRPr="0001780A">
        <w:rPr>
          <w:rFonts w:ascii="Garamond" w:hAnsi="Garamond"/>
        </w:rPr>
        <w:t xml:space="preserve">: 477-8). Moreover, the boycott interviewees in the study expressed a contemporary desire to remain </w:t>
      </w:r>
      <w:r w:rsidRPr="0001780A">
        <w:rPr>
          <w:rFonts w:ascii="Garamond" w:hAnsi="Garamond"/>
          <w:i/>
          <w:iCs/>
        </w:rPr>
        <w:t xml:space="preserve">clear and free from complicity </w:t>
      </w:r>
      <w:r w:rsidRPr="0001780A">
        <w:rPr>
          <w:rFonts w:ascii="Garamond" w:hAnsi="Garamond"/>
        </w:rPr>
        <w:t xml:space="preserve">of what they understood to be aggressive and violent forms of capitalism. These modern boycotters engaged in psychological and corporeal cleansing through acts of non-consumption.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Thus, historical approaches that situate boycott activisms in faith networks and political and cultural economies have much to offer current work on ethical consumption. In her work on Quakers, Elizabeth Isichei (1970) demonstrates how capitalism and Quaker faith and practice were mutually productive. Quakers, well versed in the refinements of self-sacrifice and denial, </w:t>
      </w:r>
      <w:r w:rsidRPr="0001780A">
        <w:rPr>
          <w:rFonts w:ascii="Garamond" w:hAnsi="Garamond"/>
          <w:color w:val="000000"/>
          <w:sz w:val="24"/>
          <w:szCs w:val="24"/>
        </w:rPr>
        <w:t>encouraged an economy out of thriftiness and morality, and carefully fostered an “environment of mutual trust and confidence in which a private invisible hand could accommodate the advantages of each member with the benefit of all” (1970: 183).</w:t>
      </w:r>
      <w:r w:rsidRPr="0001780A">
        <w:rPr>
          <w:rFonts w:ascii="Garamond" w:hAnsi="Garamond"/>
          <w:sz w:val="24"/>
          <w:szCs w:val="24"/>
        </w:rPr>
        <w:t xml:space="preserve"> </w:t>
      </w:r>
      <w:r w:rsidRPr="0001780A">
        <w:rPr>
          <w:rFonts w:ascii="Garamond" w:hAnsi="Garamond"/>
          <w:sz w:val="24"/>
          <w:szCs w:val="24"/>
          <w:shd w:val="clear" w:color="auto" w:fill="FFFFFF"/>
        </w:rPr>
        <w:t>Quaker networks were “religious-cum-kinships groups”, which comprised of many entrepreneurial individuals who had received a lifetime of training in self-denial and “rigid abstinence from all luxury and self-indulgence” (Cadbury, 1909, in Isichei, 1970: 183).</w:t>
      </w:r>
      <w:r w:rsidRPr="0001780A">
        <w:rPr>
          <w:rFonts w:ascii="Garamond" w:hAnsi="Garamond"/>
          <w:sz w:val="24"/>
          <w:shd w:val="clear" w:color="auto" w:fill="FFFFFF"/>
        </w:rPr>
        <w:t> </w:t>
      </w:r>
      <w:r w:rsidRPr="0001780A">
        <w:rPr>
          <w:rFonts w:ascii="Garamond" w:hAnsi="Garamond"/>
          <w:sz w:val="24"/>
          <w:szCs w:val="24"/>
        </w:rPr>
        <w:t>Brown (2006) and Huw David (2007) show that the transition of Quaker politics from quietism and isolation to activism and public recognition in the 1780s enabled the anti-saccharite boycott. The Quaker transition relied on the identification and accruement of moral capital within Friends</w:t>
      </w:r>
      <w:r w:rsidR="009C3F75">
        <w:rPr>
          <w:rFonts w:ascii="Garamond" w:hAnsi="Garamond"/>
          <w:sz w:val="24"/>
          <w:szCs w:val="24"/>
        </w:rPr>
        <w:t>’</w:t>
      </w:r>
      <w:r w:rsidRPr="0001780A">
        <w:rPr>
          <w:rFonts w:ascii="Garamond" w:hAnsi="Garamond"/>
          <w:sz w:val="24"/>
          <w:szCs w:val="24"/>
        </w:rPr>
        <w:t xml:space="preserve"> networks based on both sides of the Atlantic, and in relation to outside governments, networks and faiths.</w:t>
      </w:r>
      <w:r w:rsidRPr="0001780A">
        <w:rPr>
          <w:rStyle w:val="FootnoteReference"/>
          <w:rFonts w:ascii="Garamond" w:hAnsi="Garamond"/>
          <w:sz w:val="24"/>
          <w:szCs w:val="24"/>
        </w:rPr>
        <w:footnoteReference w:id="43"/>
      </w:r>
      <w:r w:rsidRPr="0001780A">
        <w:rPr>
          <w:rFonts w:ascii="Garamond" w:hAnsi="Garamond"/>
          <w:sz w:val="24"/>
          <w:szCs w:val="24"/>
        </w:rPr>
        <w:t xml:space="preserve"> These scholars show that </w:t>
      </w:r>
      <w:r w:rsidRPr="0001780A">
        <w:rPr>
          <w:rFonts w:ascii="Garamond" w:hAnsi="Garamond"/>
          <w:color w:val="000000"/>
          <w:sz w:val="24"/>
          <w:szCs w:val="24"/>
        </w:rPr>
        <w:t>Quakers and Methodists sutured the purity and wellbeing of the soul to consumption practices.</w:t>
      </w:r>
      <w:r w:rsidRPr="0001780A">
        <w:rPr>
          <w:rFonts w:ascii="Garamond" w:hAnsi="Garamond"/>
          <w:sz w:val="24"/>
          <w:szCs w:val="24"/>
        </w:rPr>
        <w:t xml:space="preserve">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Across this project, I show that the metaphysical and material frameworks for activism provided by various applications of Christianity were part of Dutch anti-apartheid boycotts and STT's anti-trafficking chocolate activism. But it is important to state that faith-based consumer activisms often work across, within, or against markets that also </w:t>
      </w:r>
      <w:r w:rsidRPr="0001780A">
        <w:rPr>
          <w:rFonts w:ascii="Garamond" w:hAnsi="Garamond"/>
          <w:sz w:val="24"/>
          <w:szCs w:val="24"/>
        </w:rPr>
        <w:lastRenderedPageBreak/>
        <w:t xml:space="preserve">operate under the influence of faith-based politics. As mentioned earlier, the dominance of Hindu nationalism across Swadeshi politics led to the oppression of Muslim elements in Bengal at the start of the twentieth century. The Dutch Reformed Church played a leading role in providing a political theology for apartheid racisms in twentieth century South Africa, while at the same time it produced several of the most vociferous white critics of apartheid. While European colonialism drew power from the 'moral' work of Christian missionaries to discipline indigenous populations (Stoler, 1995; Losurdo, 2011), Christian missionaries reported on slave conditions in Sao Tome at the start of the twentieth century and contributed to a call for Cadburys to boycott Portuguese produced cocoa (Satre, 2005). </w:t>
      </w:r>
    </w:p>
    <w:p w:rsidR="002D22FA" w:rsidRPr="0001780A" w:rsidRDefault="002D22FA" w:rsidP="002D22FA">
      <w:pPr>
        <w:spacing w:after="0" w:line="360" w:lineRule="auto"/>
        <w:jc w:val="both"/>
        <w:rPr>
          <w:rFonts w:ascii="Garamond" w:hAnsi="Garamond"/>
          <w:sz w:val="24"/>
          <w:szCs w:val="24"/>
        </w:rPr>
      </w:pPr>
    </w:p>
    <w:p w:rsidR="002D22FA" w:rsidRPr="00407502" w:rsidRDefault="002D22FA" w:rsidP="002D22FA">
      <w:pPr>
        <w:spacing w:after="0" w:line="360" w:lineRule="auto"/>
        <w:jc w:val="both"/>
        <w:rPr>
          <w:rFonts w:ascii="Garamond" w:hAnsi="Garamond"/>
          <w:b/>
          <w:i/>
          <w:szCs w:val="24"/>
        </w:rPr>
      </w:pPr>
      <w:r w:rsidRPr="00407502">
        <w:rPr>
          <w:rFonts w:ascii="Garamond" w:hAnsi="Garamond"/>
          <w:b/>
          <w:i/>
          <w:szCs w:val="24"/>
        </w:rPr>
        <w:t>The modern consumer, markets and morality</w:t>
      </w:r>
    </w:p>
    <w:p w:rsidR="002D22FA" w:rsidRPr="0001780A" w:rsidRDefault="002D22FA" w:rsidP="002D22FA">
      <w:pPr>
        <w:spacing w:after="0" w:line="360" w:lineRule="auto"/>
        <w:jc w:val="both"/>
        <w:rPr>
          <w:rFonts w:ascii="Garamond" w:hAnsi="Garamond"/>
          <w:i/>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Political and cultural economy approaches foster a healthy suspicion of consumption led narratives that position 'good' faith-based activisms against the free market, or consumer moralities against capitalist nihilism (Guthman, 2010). Frank Trentmann neatly summarizes this scepticism:</w:t>
      </w:r>
    </w:p>
    <w:p w:rsidR="002D22FA" w:rsidRPr="0001780A" w:rsidRDefault="002D22FA" w:rsidP="002D22FA">
      <w:pPr>
        <w:spacing w:after="0" w:line="360" w:lineRule="auto"/>
        <w:jc w:val="both"/>
        <w:rPr>
          <w:rFonts w:ascii="Garamond" w:hAnsi="Garamond"/>
          <w:sz w:val="24"/>
          <w:szCs w:val="24"/>
        </w:rPr>
      </w:pPr>
    </w:p>
    <w:p w:rsidR="002D22FA" w:rsidRPr="00D819BA" w:rsidRDefault="002D22FA" w:rsidP="002D22FA">
      <w:pPr>
        <w:autoSpaceDE w:val="0"/>
        <w:autoSpaceDN w:val="0"/>
        <w:adjustRightInd w:val="0"/>
        <w:spacing w:after="0" w:line="360" w:lineRule="auto"/>
        <w:ind w:left="284" w:right="284"/>
        <w:jc w:val="both"/>
        <w:rPr>
          <w:rFonts w:ascii="Garamond" w:hAnsi="Garamond" w:cs="AdvT001"/>
        </w:rPr>
      </w:pPr>
      <w:r w:rsidRPr="00D819BA">
        <w:rPr>
          <w:rFonts w:ascii="Garamond" w:hAnsi="Garamond" w:cs="AdvT001"/>
        </w:rPr>
        <w:t>The literature on fair trade runs the risk of adopting the dualism charac</w:t>
      </w:r>
      <w:r w:rsidR="009C3F75">
        <w:rPr>
          <w:rFonts w:ascii="Garamond" w:hAnsi="Garamond" w:cs="AdvT001"/>
        </w:rPr>
        <w:t xml:space="preserve">teristic of earlier studies on </w:t>
      </w:r>
      <w:r w:rsidR="009C3F75" w:rsidRPr="00D819BA">
        <w:rPr>
          <w:rFonts w:ascii="Garamond" w:hAnsi="Garamond" w:cs="AdvT001"/>
        </w:rPr>
        <w:t>'</w:t>
      </w:r>
      <w:r w:rsidRPr="00D819BA">
        <w:rPr>
          <w:rFonts w:ascii="Garamond" w:hAnsi="Garamond" w:cs="AdvT001"/>
        </w:rPr>
        <w:t>moral economy', contrasting morals and markets as if they were part of a larger system of community and care versus one of modernity and indiff</w:t>
      </w:r>
      <w:r w:rsidR="009C3F75">
        <w:rPr>
          <w:rFonts w:ascii="Garamond" w:hAnsi="Garamond" w:cs="AdvT001"/>
        </w:rPr>
        <w:t xml:space="preserve">erence... Far from being newly </w:t>
      </w:r>
      <w:r w:rsidR="009C3F75" w:rsidRPr="00D819BA">
        <w:rPr>
          <w:rFonts w:ascii="Garamond" w:hAnsi="Garamond" w:cs="AdvT001"/>
        </w:rPr>
        <w:t>'</w:t>
      </w:r>
      <w:r w:rsidRPr="00D819BA">
        <w:rPr>
          <w:rFonts w:ascii="Garamond" w:hAnsi="Garamond" w:cs="AdvT001"/>
        </w:rPr>
        <w:t>reflexive' individuals who discovered agency and morality only in recent battles for fair trade, consumers and social movements have throughout modern history played an integral role in the creation of global markets and imperial systems. (2007: 1079-1102)</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All markets have ethics, as Pamela Richardson-Ngwenya (2009) concurs in her thesis on Caribbean sugar. Markets highlight ethical relationships and are also shaped by ethical orientations (Sayer, 2000; Richardson-Ngwenya, 2009). The dualism between markets and morality is problematic and unhelpful and "the tendency to see markets as devoid of ethics is dependent on a narrow modernist understanding of human subjectivity that elevates individualism and rationality and separates 'economy' from 'culture'" (Richardson-Ngwenya, 2009: 3). Richardson-Ngwenya's concerns over limited understandings of human subjectivity are reflected in populist approaches to the commodity boycott in the West that, as I explain below, derive from neoclassical economics </w:t>
      </w:r>
      <w:r w:rsidRPr="0001780A">
        <w:rPr>
          <w:rFonts w:ascii="Garamond" w:hAnsi="Garamond"/>
          <w:i/>
          <w:sz w:val="24"/>
          <w:szCs w:val="24"/>
        </w:rPr>
        <w:t>and</w:t>
      </w:r>
      <w:r w:rsidRPr="0001780A">
        <w:rPr>
          <w:rFonts w:ascii="Garamond" w:hAnsi="Garamond"/>
          <w:sz w:val="24"/>
          <w:szCs w:val="24"/>
        </w:rPr>
        <w:t xml:space="preserve"> from apocalyptic sociological critiques of the 'liquid' or postmodern consumer. Where the former approach tends to reify the market, the latter approach </w:t>
      </w:r>
      <w:r w:rsidRPr="0001780A">
        <w:rPr>
          <w:rFonts w:ascii="Garamond" w:hAnsi="Garamond"/>
          <w:sz w:val="24"/>
          <w:szCs w:val="24"/>
        </w:rPr>
        <w:lastRenderedPageBreak/>
        <w:t xml:space="preserve">tends to reify morality. In both cases the separation removes the consumer from material process in favour of idealism.   </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Celebrations of the 'newly-reflexive' activist-consumer in political and ethical consumption scholarship are widespread:</w:t>
      </w:r>
    </w:p>
    <w:p w:rsidR="002D22FA" w:rsidRPr="0001780A" w:rsidRDefault="002D22FA" w:rsidP="002D22FA">
      <w:pPr>
        <w:spacing w:after="0" w:line="360" w:lineRule="auto"/>
        <w:jc w:val="both"/>
        <w:rPr>
          <w:rFonts w:ascii="Garamond" w:hAnsi="Garamond"/>
          <w:sz w:val="24"/>
          <w:szCs w:val="24"/>
        </w:rPr>
      </w:pPr>
    </w:p>
    <w:p w:rsidR="002D22FA" w:rsidRPr="00D819BA" w:rsidRDefault="002D22FA" w:rsidP="002D22FA">
      <w:pPr>
        <w:spacing w:after="0" w:line="360" w:lineRule="auto"/>
        <w:ind w:left="284" w:right="284"/>
        <w:jc w:val="both"/>
        <w:rPr>
          <w:rFonts w:ascii="Garamond" w:hAnsi="Garamond" w:cs="StoneSerif"/>
        </w:rPr>
      </w:pPr>
      <w:r w:rsidRPr="00D819BA">
        <w:rPr>
          <w:rFonts w:ascii="Garamond" w:hAnsi="Garamond" w:cs="StoneSerif"/>
        </w:rPr>
        <w:t xml:space="preserve">The consumer as activist struggles daily to redefine the notion of progress and quality of life... Crucially, it is the consumer as activist who confronts consumption, explicitly seeking to alter its meaning and to redefine the cultural dynamic of goods by reintroducing the validity of the idea of needs and wants... The consumer as activist seems to be the great absentee from many celebrations of contemporary consumer culture. This absence has left discussions on the subject seriously impoverished. (Gabriel </w:t>
      </w:r>
      <w:r w:rsidR="00F152DB">
        <w:rPr>
          <w:rFonts w:ascii="Garamond" w:hAnsi="Garamond" w:cs="StoneSerif"/>
        </w:rPr>
        <w:t>and</w:t>
      </w:r>
      <w:r w:rsidRPr="00D819BA">
        <w:rPr>
          <w:rFonts w:ascii="Garamond" w:hAnsi="Garamond" w:cs="StoneSerif"/>
        </w:rPr>
        <w:t xml:space="preserve"> Lang, 2006: 170) </w:t>
      </w:r>
    </w:p>
    <w:p w:rsidR="002D22FA" w:rsidRPr="0001780A" w:rsidRDefault="002D22FA" w:rsidP="002D22FA">
      <w:pPr>
        <w:spacing w:after="0" w:line="360" w:lineRule="auto"/>
        <w:ind w:left="284" w:right="284"/>
        <w:jc w:val="both"/>
        <w:rPr>
          <w:rFonts w:ascii="Garamond" w:hAnsi="Garamond"/>
          <w:sz w:val="24"/>
        </w:rPr>
      </w:pPr>
    </w:p>
    <w:p w:rsidR="002D22FA" w:rsidRPr="0001780A" w:rsidRDefault="002D22FA" w:rsidP="002D22FA">
      <w:pPr>
        <w:spacing w:after="0" w:line="360" w:lineRule="auto"/>
        <w:jc w:val="both"/>
        <w:rPr>
          <w:rFonts w:ascii="Garamond" w:hAnsi="Garamond"/>
          <w:bCs/>
          <w:iCs/>
          <w:sz w:val="24"/>
          <w:szCs w:val="24"/>
        </w:rPr>
      </w:pPr>
      <w:r w:rsidRPr="0001780A">
        <w:rPr>
          <w:rFonts w:ascii="Garamond" w:hAnsi="Garamond"/>
          <w:sz w:val="24"/>
          <w:szCs w:val="24"/>
        </w:rPr>
        <w:t xml:space="preserve">Celebrating the consumer-activist risks obscuring the reality of ethical practices already occurring in markets. </w:t>
      </w:r>
      <w:r w:rsidRPr="0001780A">
        <w:rPr>
          <w:rFonts w:ascii="Garamond" w:hAnsi="Garamond"/>
          <w:bCs/>
          <w:iCs/>
          <w:sz w:val="24"/>
          <w:szCs w:val="24"/>
        </w:rPr>
        <w:t xml:space="preserve">In December 2012 I listened to 'Call You </w:t>
      </w:r>
      <w:r w:rsidR="00F152DB">
        <w:rPr>
          <w:rFonts w:ascii="Garamond" w:hAnsi="Garamond"/>
          <w:bCs/>
          <w:iCs/>
          <w:sz w:val="24"/>
          <w:szCs w:val="24"/>
        </w:rPr>
        <w:t>and</w:t>
      </w:r>
      <w:r w:rsidRPr="0001780A">
        <w:rPr>
          <w:rFonts w:ascii="Garamond" w:hAnsi="Garamond"/>
          <w:bCs/>
          <w:iCs/>
          <w:sz w:val="24"/>
          <w:szCs w:val="24"/>
        </w:rPr>
        <w:t xml:space="preserve"> Yours', a BBC radio four programme that hosted Rob Harrison, co-author of </w:t>
      </w:r>
      <w:r w:rsidRPr="0001780A">
        <w:rPr>
          <w:rFonts w:ascii="Garamond" w:hAnsi="Garamond"/>
          <w:bCs/>
          <w:i/>
          <w:iCs/>
          <w:sz w:val="24"/>
          <w:szCs w:val="24"/>
        </w:rPr>
        <w:t xml:space="preserve">The Ethical Consumer </w:t>
      </w:r>
      <w:r w:rsidRPr="0001780A">
        <w:rPr>
          <w:rFonts w:ascii="Garamond" w:hAnsi="Garamond"/>
          <w:bCs/>
          <w:iCs/>
          <w:sz w:val="24"/>
          <w:szCs w:val="24"/>
        </w:rPr>
        <w:t>(2005) and editor of the Ethical Consumer magazine. I was left feeling frustrated by the discussion on what commodity boycotts could 'actually' achieve. This became particularly apparent when the host, Julian Worricker, suggested that it might be impossible to know if anti-apartheid boycotts achieved tangible success. There were two aspects to the programme that concerned me: firstly</w:t>
      </w:r>
      <w:r w:rsidR="009C3F75">
        <w:rPr>
          <w:rFonts w:ascii="Garamond" w:hAnsi="Garamond"/>
          <w:bCs/>
          <w:iCs/>
          <w:sz w:val="24"/>
          <w:szCs w:val="24"/>
        </w:rPr>
        <w:t>,</w:t>
      </w:r>
      <w:r w:rsidRPr="0001780A">
        <w:rPr>
          <w:rFonts w:ascii="Garamond" w:hAnsi="Garamond"/>
          <w:bCs/>
          <w:iCs/>
          <w:sz w:val="24"/>
          <w:szCs w:val="24"/>
        </w:rPr>
        <w:t xml:space="preserve"> the boycott emerged as an economic activity producing purely economic effects; and secondly, the programme encouraged the view that a boycott's success should be measured solely through economic damage achieved to its target. Following Richardson-Ngwenya's (2009) assertion that a 'narrow modernist perception of human subjectivity' turns the relationship between ethics and economies into something resembling the equivalence of oil and water, I believe that the temptation to interpret the boycott as devoid of complex subjectivities and cultural efficacy, or as irrational and unproductive, is influenced by neoclassical economic thinking on individuality and consumer sovereignty. </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ind w:right="95"/>
        <w:jc w:val="both"/>
        <w:rPr>
          <w:rFonts w:ascii="Garamond" w:hAnsi="Garamond"/>
          <w:sz w:val="24"/>
          <w:szCs w:val="24"/>
        </w:rPr>
      </w:pPr>
      <w:r w:rsidRPr="0001780A">
        <w:rPr>
          <w:rFonts w:ascii="Garamond" w:eastAsia="Times New Roman" w:hAnsi="Garamond"/>
          <w:sz w:val="24"/>
          <w:szCs w:val="24"/>
        </w:rPr>
        <w:t>Neoclassical economic approaches to commodity boycotts usually focus on the potential damage that commodity boycotts can cause instrumentally to company sales, their ability to achieve corporate change (Innes, 2006), and their power to stop trade (</w:t>
      </w:r>
      <w:r w:rsidRPr="0001780A">
        <w:rPr>
          <w:rFonts w:ascii="Garamond" w:eastAsia="Times New Roman" w:hAnsi="Garamond"/>
          <w:i/>
          <w:sz w:val="24"/>
          <w:szCs w:val="24"/>
        </w:rPr>
        <w:t>Routledge Dictionary of Economics</w:t>
      </w:r>
      <w:r w:rsidRPr="0001780A">
        <w:rPr>
          <w:rFonts w:ascii="Garamond" w:eastAsia="Times New Roman" w:hAnsi="Garamond"/>
          <w:sz w:val="24"/>
          <w:szCs w:val="24"/>
        </w:rPr>
        <w:t>, 1995). The idea is that the market can be used as an instrument of change by the consumer expressing their sovereignty (</w:t>
      </w:r>
      <w:r>
        <w:rPr>
          <w:rFonts w:ascii="Garamond" w:eastAsia="Times New Roman" w:hAnsi="Garamond"/>
          <w:sz w:val="24"/>
          <w:szCs w:val="24"/>
        </w:rPr>
        <w:t>Micheletti et</w:t>
      </w:r>
      <w:r w:rsidRPr="0001780A">
        <w:rPr>
          <w:rFonts w:ascii="Garamond" w:eastAsia="Times New Roman" w:hAnsi="Garamond"/>
          <w:sz w:val="24"/>
          <w:szCs w:val="24"/>
        </w:rPr>
        <w:t xml:space="preserve"> al. 2006). However, neoclassical economics merely theorizes change in terms of </w:t>
      </w:r>
      <w:r w:rsidRPr="0001780A">
        <w:rPr>
          <w:rFonts w:ascii="Garamond" w:eastAsia="Times New Roman" w:hAnsi="Garamond"/>
          <w:sz w:val="24"/>
          <w:szCs w:val="24"/>
        </w:rPr>
        <w:lastRenderedPageBreak/>
        <w:t xml:space="preserve">maximizing individual utility through profits made from rational choice theory rather than in terms of social or political implications (Milonakis </w:t>
      </w:r>
      <w:r w:rsidR="00F152DB">
        <w:rPr>
          <w:rFonts w:ascii="Garamond" w:eastAsia="Times New Roman" w:hAnsi="Garamond"/>
          <w:sz w:val="24"/>
          <w:szCs w:val="24"/>
        </w:rPr>
        <w:t>and</w:t>
      </w:r>
      <w:r w:rsidRPr="0001780A">
        <w:rPr>
          <w:rFonts w:ascii="Garamond" w:eastAsia="Times New Roman" w:hAnsi="Garamond"/>
          <w:sz w:val="24"/>
          <w:szCs w:val="24"/>
        </w:rPr>
        <w:t xml:space="preserve"> Fine, 2009). According to neoclassical theory all consumer purchases boil down to rational calculations of self-interest. </w:t>
      </w:r>
      <w:r w:rsidRPr="0001780A">
        <w:rPr>
          <w:rFonts w:ascii="Garamond" w:hAnsi="Garamond"/>
          <w:sz w:val="24"/>
          <w:szCs w:val="24"/>
        </w:rPr>
        <w:t xml:space="preserve">Craig Smith shows that the logic of neoclassical consumer sovereignty is drawn equally from Adam Smith’s premise that the individual’s pursuit of self interest results in the </w:t>
      </w:r>
      <w:r w:rsidRPr="0001780A">
        <w:rPr>
          <w:rFonts w:ascii="Garamond" w:hAnsi="Garamond"/>
          <w:i/>
          <w:iCs/>
          <w:sz w:val="24"/>
          <w:szCs w:val="24"/>
        </w:rPr>
        <w:t>invisible hand</w:t>
      </w:r>
      <w:r w:rsidRPr="0001780A">
        <w:rPr>
          <w:rFonts w:ascii="Garamond" w:hAnsi="Garamond"/>
          <w:sz w:val="24"/>
          <w:szCs w:val="24"/>
        </w:rPr>
        <w:t xml:space="preserve"> promoting ‘greater goods’, and from arguments on individual liberty by John Stuart Mill:</w:t>
      </w:r>
    </w:p>
    <w:p w:rsidR="002D22FA" w:rsidRPr="0001780A" w:rsidRDefault="002D22FA" w:rsidP="002D22FA">
      <w:pPr>
        <w:spacing w:after="0" w:line="360" w:lineRule="auto"/>
        <w:ind w:right="95"/>
        <w:jc w:val="both"/>
        <w:rPr>
          <w:rFonts w:ascii="Garamond" w:hAnsi="Garamond"/>
          <w:sz w:val="24"/>
          <w:szCs w:val="24"/>
        </w:rPr>
      </w:pPr>
    </w:p>
    <w:p w:rsidR="002D22FA" w:rsidRPr="00D819BA" w:rsidRDefault="002D22FA" w:rsidP="00D819BA">
      <w:pPr>
        <w:spacing w:after="0" w:line="360" w:lineRule="auto"/>
        <w:ind w:left="283" w:right="379"/>
        <w:jc w:val="both"/>
        <w:rPr>
          <w:rFonts w:ascii="Garamond" w:hAnsi="Garamond" w:cs="Times New Roman"/>
        </w:rPr>
      </w:pPr>
      <w:r w:rsidRPr="00D819BA">
        <w:rPr>
          <w:rFonts w:ascii="Garamond" w:hAnsi="Garamond" w:cs="Times New Roman"/>
        </w:rPr>
        <w:t>The only purpose for which power can be rightfully exercised over any member of civilised community, against his will, is to prevent harm to others. His own good, either physical or moral, is not a sufficient warrant... over himself the individual is sovereign.</w:t>
      </w:r>
      <w:r w:rsidR="00D819BA" w:rsidRPr="00D819BA">
        <w:rPr>
          <w:rFonts w:ascii="Garamond" w:hAnsi="Garamond" w:cs="Times New Roman"/>
        </w:rPr>
        <w:t xml:space="preserve"> </w:t>
      </w:r>
      <w:r w:rsidRPr="00D819BA">
        <w:rPr>
          <w:rFonts w:ascii="Garamond" w:hAnsi="Garamond" w:cs="Times New Roman"/>
        </w:rPr>
        <w:t>(J.S Mill in Craig Smith, 1990: 28)</w:t>
      </w:r>
    </w:p>
    <w:p w:rsidR="002D22FA" w:rsidRPr="0001780A" w:rsidRDefault="002D22FA" w:rsidP="002D22FA">
      <w:pPr>
        <w:spacing w:after="0" w:line="360" w:lineRule="auto"/>
        <w:ind w:left="283" w:right="379"/>
        <w:jc w:val="both"/>
        <w:rPr>
          <w:rFonts w:ascii="Garamond" w:hAnsi="Garamond" w:cs="Times New Roman"/>
          <w:sz w:val="24"/>
        </w:rPr>
      </w:pPr>
    </w:p>
    <w:p w:rsidR="002D22FA" w:rsidRDefault="002D22FA" w:rsidP="002D22FA">
      <w:pPr>
        <w:tabs>
          <w:tab w:val="left" w:pos="9025"/>
        </w:tabs>
        <w:spacing w:after="0" w:line="360" w:lineRule="auto"/>
        <w:jc w:val="both"/>
        <w:rPr>
          <w:rFonts w:ascii="Garamond" w:eastAsia="Times New Roman" w:hAnsi="Garamond"/>
          <w:sz w:val="24"/>
          <w:szCs w:val="24"/>
        </w:rPr>
      </w:pPr>
      <w:r w:rsidRPr="0001780A">
        <w:rPr>
          <w:rFonts w:ascii="Garamond" w:eastAsia="Times New Roman" w:hAnsi="Garamond"/>
          <w:sz w:val="24"/>
          <w:szCs w:val="24"/>
        </w:rPr>
        <w:t xml:space="preserve">Neoclassical economists believe that engagements through the market made in self-interest always result in the greater good for society (Mises, 1948; Friedman, 1962; Hayek, 1944), and they argue that with the gradual abolition of institutions hindering the mechanisms of the market economy since the middle ages (Mises, 1948), the device for expressing individualism has become the market. </w:t>
      </w:r>
      <w:r w:rsidRPr="0001780A">
        <w:rPr>
          <w:rFonts w:ascii="Garamond" w:hAnsi="Garamond"/>
          <w:sz w:val="24"/>
          <w:szCs w:val="24"/>
        </w:rPr>
        <w:t xml:space="preserve">Historians and political scientists critique more recent exponents of neoclassical economics, such as Milton Friedman, for the ‘egregious misrepresentation’ or ‘hijacking’ of Adam Smith as a one dimensional advocate for self-interest (Fine, 2004). Whereas the classical economics of Adam Smith considered the welfare of people to be part of the material progress of market engagement, Craig Smith points out that Friedman’s neoclassical argument declares equality impossible due to the unfairness of life. </w:t>
      </w:r>
      <w:r w:rsidRPr="0001780A">
        <w:rPr>
          <w:rFonts w:ascii="Garamond" w:eastAsia="Times New Roman" w:hAnsi="Garamond"/>
          <w:sz w:val="24"/>
          <w:szCs w:val="24"/>
        </w:rPr>
        <w:t xml:space="preserve">Such neoclassical thinking proposes that commodity boycotts can never be a positive force for social change. Progress is dependent on voting within the market, rather than disengaging from it. This perhaps explains why with the merging of the Western State with neoliberal governmentality in the last thirty years (Peck </w:t>
      </w:r>
      <w:r w:rsidR="00F152DB">
        <w:rPr>
          <w:rFonts w:ascii="Garamond" w:eastAsia="Times New Roman" w:hAnsi="Garamond"/>
          <w:sz w:val="24"/>
          <w:szCs w:val="24"/>
        </w:rPr>
        <w:t>and</w:t>
      </w:r>
      <w:r w:rsidRPr="0001780A">
        <w:rPr>
          <w:rFonts w:ascii="Garamond" w:eastAsia="Times New Roman" w:hAnsi="Garamond"/>
          <w:sz w:val="24"/>
          <w:szCs w:val="24"/>
        </w:rPr>
        <w:t xml:space="preserve"> Tickell, 2002; Harvey, 2005; Springer, 2012), the commodity boycott is increasingly discouraged by political leaders and civil society NGOs alike (witness Prime Minister, David Cameron's specific critique of market disengagement in response to boycotting Israeli goods and the 2014 Winter Olympics in Russia).</w:t>
      </w:r>
    </w:p>
    <w:p w:rsidR="002D22FA" w:rsidRPr="0001780A" w:rsidRDefault="002D22FA" w:rsidP="002D22FA">
      <w:pPr>
        <w:tabs>
          <w:tab w:val="left" w:pos="9025"/>
        </w:tabs>
        <w:spacing w:after="0" w:line="360" w:lineRule="auto"/>
        <w:jc w:val="both"/>
        <w:rPr>
          <w:rFonts w:ascii="Garamond" w:eastAsia="Times New Roman" w:hAnsi="Garamond"/>
          <w:sz w:val="24"/>
          <w:szCs w:val="24"/>
        </w:rPr>
      </w:pPr>
    </w:p>
    <w:p w:rsidR="002D22FA" w:rsidRPr="0001780A" w:rsidRDefault="002D22FA" w:rsidP="002D22FA">
      <w:pPr>
        <w:tabs>
          <w:tab w:val="left" w:pos="9025"/>
        </w:tabs>
        <w:spacing w:after="0" w:line="360" w:lineRule="auto"/>
        <w:jc w:val="both"/>
        <w:rPr>
          <w:rFonts w:ascii="Garamond" w:eastAsia="Times New Roman" w:hAnsi="Garamond"/>
          <w:sz w:val="24"/>
          <w:szCs w:val="24"/>
        </w:rPr>
      </w:pPr>
      <w:r w:rsidRPr="0001780A">
        <w:rPr>
          <w:rFonts w:ascii="Garamond" w:eastAsia="Times New Roman" w:hAnsi="Garamond"/>
          <w:sz w:val="24"/>
          <w:szCs w:val="24"/>
        </w:rPr>
        <w:lastRenderedPageBreak/>
        <w:t xml:space="preserve">As a tool for theorizing consumer and boycotter desires and motivations, the neoclassical model has many critics. In </w:t>
      </w:r>
      <w:r w:rsidRPr="0001780A">
        <w:rPr>
          <w:rFonts w:ascii="Garamond" w:eastAsia="Times New Roman" w:hAnsi="Garamond"/>
          <w:i/>
          <w:iCs/>
          <w:sz w:val="24"/>
          <w:szCs w:val="24"/>
        </w:rPr>
        <w:t xml:space="preserve">Consumer Culture </w:t>
      </w:r>
      <w:r w:rsidRPr="0001780A">
        <w:rPr>
          <w:rFonts w:ascii="Garamond" w:eastAsia="Times New Roman" w:hAnsi="Garamond"/>
          <w:sz w:val="24"/>
          <w:szCs w:val="24"/>
        </w:rPr>
        <w:t>(2007), Sassatelli suggests that the neoclassical model has imperialist tendencies:</w:t>
      </w:r>
    </w:p>
    <w:p w:rsidR="002D22FA" w:rsidRPr="0001780A" w:rsidRDefault="002D22FA" w:rsidP="002D22FA">
      <w:pPr>
        <w:tabs>
          <w:tab w:val="left" w:pos="9025"/>
        </w:tabs>
        <w:spacing w:after="0" w:line="360" w:lineRule="auto"/>
        <w:jc w:val="both"/>
        <w:rPr>
          <w:rFonts w:ascii="Garamond" w:eastAsia="Times New Roman" w:hAnsi="Garamond"/>
          <w:sz w:val="24"/>
          <w:szCs w:val="24"/>
        </w:rPr>
      </w:pPr>
    </w:p>
    <w:p w:rsidR="002D22FA" w:rsidRPr="00D819BA" w:rsidRDefault="002D22FA" w:rsidP="002D22FA">
      <w:pPr>
        <w:spacing w:after="0" w:line="360" w:lineRule="auto"/>
        <w:ind w:left="283" w:right="520"/>
        <w:jc w:val="both"/>
        <w:rPr>
          <w:rFonts w:ascii="Garamond" w:hAnsi="Garamond"/>
        </w:rPr>
      </w:pPr>
      <w:r w:rsidRPr="00D819BA">
        <w:rPr>
          <w:rFonts w:ascii="Garamond" w:hAnsi="Garamond"/>
        </w:rPr>
        <w:t>Consumption itself is reduced and taken back to an abstract act of acquisition seen essentially as an instrumental decision of what to buy according to the utility of available goods, no matter how much might be filtered through the variables of personal and social capital. Lost are the myriad different and contradictory relationships which people can build with objects and among themselves through objects. Neoclassical views cannot pin down these relationships. (2007: 61)</w:t>
      </w:r>
    </w:p>
    <w:p w:rsidR="002D22FA" w:rsidRPr="0001780A" w:rsidRDefault="002D22FA" w:rsidP="002D22FA">
      <w:pPr>
        <w:spacing w:after="0" w:line="360" w:lineRule="auto"/>
        <w:ind w:left="283" w:right="520"/>
        <w:jc w:val="both"/>
        <w:rPr>
          <w:rFonts w:ascii="Garamond" w:hAnsi="Garamond"/>
          <w:sz w:val="24"/>
        </w:rPr>
      </w:pPr>
    </w:p>
    <w:p w:rsidR="002D22FA" w:rsidRPr="0001780A" w:rsidRDefault="002D22FA" w:rsidP="002D22FA">
      <w:pPr>
        <w:tabs>
          <w:tab w:val="left" w:pos="9025"/>
        </w:tabs>
        <w:spacing w:after="0" w:line="360" w:lineRule="auto"/>
        <w:jc w:val="both"/>
        <w:rPr>
          <w:rFonts w:ascii="Garamond" w:hAnsi="Garamond"/>
          <w:sz w:val="24"/>
          <w:szCs w:val="24"/>
        </w:rPr>
      </w:pPr>
      <w:r w:rsidRPr="0001780A">
        <w:rPr>
          <w:rFonts w:ascii="Garamond" w:hAnsi="Garamond"/>
          <w:sz w:val="24"/>
          <w:szCs w:val="24"/>
        </w:rPr>
        <w:t xml:space="preserve">There are two core outcomes to the neoclassical economic approach to the commodity boycott: firstly, when other choices are presented for the consumer to 'vote' elsewhere (e.g. fair trade), the consumer is often celebrated as an actor of progress; secondly, when disengagement with whole markets are threatened, the boycott becomes irrational because there is no sphere of intentionality or influence outside of the market. A neoclassical economic approach to commodity boycotts provides little scope for assessing the meanings and identities of commodities beyond their represented utility function and material properties (Fine, 2004). There is no sense of the individualized projections of feeling and identity that commodities accumulate when they are de-commodified (Sayer, 2003) and re-appropriated for placed and culturally specific uses (Jackson, 2001). </w:t>
      </w:r>
    </w:p>
    <w:p w:rsidR="002D22FA" w:rsidRPr="0001780A" w:rsidRDefault="002D22FA" w:rsidP="002D22FA">
      <w:pPr>
        <w:tabs>
          <w:tab w:val="left" w:pos="9025"/>
        </w:tabs>
        <w:spacing w:after="0" w:line="360" w:lineRule="auto"/>
        <w:jc w:val="both"/>
        <w:rPr>
          <w:rFonts w:ascii="Garamond" w:hAnsi="Garamond"/>
          <w:sz w:val="24"/>
          <w:szCs w:val="24"/>
        </w:rPr>
      </w:pPr>
    </w:p>
    <w:p w:rsidR="002D22FA" w:rsidRDefault="002D22FA" w:rsidP="002D22FA">
      <w:pPr>
        <w:spacing w:after="0" w:line="360" w:lineRule="auto"/>
        <w:ind w:right="95"/>
        <w:jc w:val="both"/>
        <w:rPr>
          <w:rFonts w:ascii="Garamond" w:hAnsi="Garamond"/>
          <w:sz w:val="24"/>
          <w:szCs w:val="24"/>
        </w:rPr>
      </w:pPr>
      <w:r w:rsidRPr="0001780A">
        <w:rPr>
          <w:rFonts w:ascii="Garamond" w:hAnsi="Garamond"/>
          <w:sz w:val="24"/>
          <w:szCs w:val="24"/>
        </w:rPr>
        <w:t>A similar critique of encouraging morality/market dualisms can be levelled at sociologist Zygmunt Bauman's work. Across his series of monographs on liquid modernity, Bauman has related a perceived decline in the moral fabric and quality of life in the West (including increased inequality, the demise of loving relationships, wrecked marriages and work instability) to the rise of the postmodern liquid co</w:t>
      </w:r>
      <w:r>
        <w:rPr>
          <w:rFonts w:ascii="Garamond" w:hAnsi="Garamond"/>
          <w:sz w:val="24"/>
          <w:szCs w:val="24"/>
        </w:rPr>
        <w:t>nsumer (Bauman, 1998; 1999</w:t>
      </w:r>
      <w:r w:rsidRPr="0001780A">
        <w:rPr>
          <w:rFonts w:ascii="Garamond" w:hAnsi="Garamond"/>
          <w:sz w:val="24"/>
          <w:szCs w:val="24"/>
        </w:rPr>
        <w:t xml:space="preserve">; 2007). In </w:t>
      </w:r>
      <w:r w:rsidRPr="0001780A">
        <w:rPr>
          <w:rFonts w:ascii="Garamond" w:hAnsi="Garamond"/>
          <w:i/>
          <w:sz w:val="24"/>
          <w:szCs w:val="24"/>
        </w:rPr>
        <w:t xml:space="preserve">Liquid Modernity </w:t>
      </w:r>
      <w:r>
        <w:rPr>
          <w:rFonts w:ascii="Garamond" w:hAnsi="Garamond"/>
          <w:sz w:val="24"/>
          <w:szCs w:val="24"/>
        </w:rPr>
        <w:t>(1999</w:t>
      </w:r>
      <w:r w:rsidRPr="0001780A">
        <w:rPr>
          <w:rFonts w:ascii="Garamond" w:hAnsi="Garamond"/>
          <w:sz w:val="24"/>
          <w:szCs w:val="24"/>
        </w:rPr>
        <w:t>) Bauman developed his conception of the liquid modern as being characterized by a fluid and mobile form of identity that throws into the wind old social bonds of religion, community and family. Bauman charts the shift between a solid, spatially territorialized and nation-orientated modernity to a more liquid condition of “globalisation, migration, nomadism, tourism, the effects of worldwide webs and internets, socket-free phones and texters” (Pollock, 2003</w:t>
      </w:r>
      <w:r w:rsidR="009C3F75">
        <w:rPr>
          <w:rFonts w:ascii="Garamond" w:hAnsi="Garamond"/>
          <w:sz w:val="24"/>
          <w:szCs w:val="24"/>
        </w:rPr>
        <w:t>: 5</w:t>
      </w:r>
      <w:r w:rsidRPr="0001780A">
        <w:rPr>
          <w:rFonts w:ascii="Garamond" w:hAnsi="Garamond"/>
          <w:sz w:val="24"/>
          <w:szCs w:val="24"/>
        </w:rPr>
        <w:t xml:space="preserve">). In a review of </w:t>
      </w:r>
      <w:r w:rsidRPr="0001780A">
        <w:rPr>
          <w:rFonts w:ascii="Garamond" w:hAnsi="Garamond"/>
          <w:i/>
          <w:sz w:val="24"/>
          <w:szCs w:val="24"/>
        </w:rPr>
        <w:t xml:space="preserve">Liquid Modernity, </w:t>
      </w:r>
      <w:r w:rsidRPr="0001780A">
        <w:rPr>
          <w:rFonts w:ascii="Garamond" w:hAnsi="Garamond"/>
          <w:sz w:val="24"/>
          <w:szCs w:val="24"/>
        </w:rPr>
        <w:t xml:space="preserve">the literary critic Amardeep Singh states that:    </w:t>
      </w:r>
    </w:p>
    <w:p w:rsidR="002D22FA" w:rsidRPr="0001780A" w:rsidRDefault="002D22FA" w:rsidP="002D22FA">
      <w:pPr>
        <w:spacing w:after="0" w:line="360" w:lineRule="auto"/>
        <w:ind w:right="95"/>
        <w:jc w:val="both"/>
        <w:rPr>
          <w:rFonts w:ascii="Garamond" w:hAnsi="Garamond"/>
          <w:sz w:val="24"/>
          <w:szCs w:val="24"/>
        </w:rPr>
      </w:pPr>
    </w:p>
    <w:p w:rsidR="002D22FA" w:rsidRPr="00D819BA" w:rsidRDefault="002D22FA" w:rsidP="002D22FA">
      <w:pPr>
        <w:spacing w:after="0" w:line="360" w:lineRule="auto"/>
        <w:ind w:left="284" w:right="379"/>
        <w:jc w:val="both"/>
        <w:rPr>
          <w:rFonts w:ascii="Garamond" w:hAnsi="Garamond"/>
        </w:rPr>
      </w:pPr>
      <w:r w:rsidRPr="00D819BA">
        <w:rPr>
          <w:rFonts w:ascii="Garamond" w:hAnsi="Garamond"/>
        </w:rPr>
        <w:lastRenderedPageBreak/>
        <w:t>Bauman himself is guilty of thinking about globalization's effect on space and time from the international airport (or worse, from the hotel swimming pool), rather than from the city street or the impoverished farms of the world's rural hinterlands. For people without money, without a visa, etc. modernity is not liquid, it's hard.</w:t>
      </w:r>
      <w:r w:rsidR="009C3F75">
        <w:rPr>
          <w:rFonts w:ascii="Garamond" w:hAnsi="Garamond"/>
        </w:rPr>
        <w:t xml:space="preserve"> (2004)</w:t>
      </w:r>
    </w:p>
    <w:p w:rsidR="002D22FA" w:rsidRPr="0001780A" w:rsidRDefault="002D22FA" w:rsidP="002D22FA">
      <w:pPr>
        <w:spacing w:after="0" w:line="360" w:lineRule="auto"/>
        <w:ind w:left="284" w:right="379"/>
        <w:jc w:val="both"/>
        <w:rPr>
          <w:rFonts w:ascii="Garamond" w:hAnsi="Garamond"/>
          <w:sz w:val="24"/>
        </w:rPr>
      </w:pPr>
    </w:p>
    <w:p w:rsidR="002D22FA" w:rsidRDefault="002D22FA" w:rsidP="002D22FA">
      <w:pPr>
        <w:spacing w:after="0" w:line="360" w:lineRule="auto"/>
        <w:ind w:right="95"/>
        <w:jc w:val="both"/>
        <w:rPr>
          <w:rFonts w:ascii="Garamond" w:hAnsi="Garamond"/>
          <w:sz w:val="24"/>
          <w:szCs w:val="24"/>
        </w:rPr>
      </w:pPr>
      <w:r w:rsidRPr="0001780A">
        <w:rPr>
          <w:rFonts w:ascii="Garamond" w:hAnsi="Garamond"/>
          <w:sz w:val="24"/>
          <w:szCs w:val="24"/>
        </w:rPr>
        <w:t xml:space="preserve">In </w:t>
      </w:r>
      <w:r w:rsidRPr="0001780A">
        <w:rPr>
          <w:rFonts w:ascii="Garamond" w:hAnsi="Garamond"/>
          <w:i/>
          <w:sz w:val="24"/>
          <w:szCs w:val="24"/>
        </w:rPr>
        <w:t xml:space="preserve">Consuming Life </w:t>
      </w:r>
      <w:r w:rsidRPr="0001780A">
        <w:rPr>
          <w:rFonts w:ascii="Garamond" w:hAnsi="Garamond"/>
          <w:sz w:val="24"/>
          <w:szCs w:val="24"/>
        </w:rPr>
        <w:t xml:space="preserve">(2007), Bauman reduces commodity culture to the ways in which a system of ‘light’ or post-Fordist capitalism inscribes meaning on the bodies of individuals. The subtle and intricate ways in which particular sets of people are commoditized are wonderfully documented, and the potential for commodity culture to “do violence” to these physical bodies and their social and familial relationships is at the crux of his thesis. However Bauman does not acknowledge the limitations to this theory of socialization. The individual is presented with little or no agency over choosing from a myriad of options presented to them by liquid life: “freedom is the new obligation... subjectivity itself becomes a commodity to be bought and sold in the market” (2007: 78, 120). In </w:t>
      </w:r>
      <w:r w:rsidRPr="0001780A">
        <w:rPr>
          <w:rFonts w:ascii="Garamond" w:hAnsi="Garamond"/>
          <w:i/>
          <w:sz w:val="24"/>
          <w:szCs w:val="24"/>
        </w:rPr>
        <w:t xml:space="preserve">Consuming Life, </w:t>
      </w:r>
      <w:r w:rsidRPr="0001780A">
        <w:rPr>
          <w:rFonts w:ascii="Garamond" w:hAnsi="Garamond"/>
          <w:sz w:val="24"/>
          <w:szCs w:val="24"/>
        </w:rPr>
        <w:t xml:space="preserve">the body is consumed and the mind is colonized, neither offer resistance. There is little sense of mediation between the individual and commodity forms and practices; people are like bees in a swarm. Bauman draws from </w:t>
      </w:r>
      <w:r w:rsidR="009C3F75">
        <w:rPr>
          <w:rFonts w:ascii="Garamond" w:hAnsi="Garamond"/>
          <w:sz w:val="24"/>
          <w:szCs w:val="24"/>
        </w:rPr>
        <w:t xml:space="preserve">Baudrillardian </w:t>
      </w:r>
      <w:r w:rsidRPr="0001780A">
        <w:rPr>
          <w:rFonts w:ascii="Garamond" w:hAnsi="Garamond"/>
          <w:sz w:val="24"/>
          <w:szCs w:val="24"/>
        </w:rPr>
        <w:t xml:space="preserve">themes of representation: “they can be visualised best as Warhol’s endlessly copied images with no original” (ibid.; 77). The liquid individual is deprived of tactics (tactics belong only to the outcasts of consumer life, the ‘vagabonds’ or the ‘underclass’), transgressions are impossible and, perhaps most unfortunately of all, the liquid individual is unable to love or be loved. In direct contrast to Daniel Miller’s (1998) thesis </w:t>
      </w:r>
      <w:r w:rsidR="009C3F75">
        <w:rPr>
          <w:rFonts w:ascii="Garamond" w:hAnsi="Garamond"/>
          <w:sz w:val="24"/>
          <w:szCs w:val="24"/>
        </w:rPr>
        <w:t>on shopping in which he emphasiz</w:t>
      </w:r>
      <w:r w:rsidRPr="0001780A">
        <w:rPr>
          <w:rFonts w:ascii="Garamond" w:hAnsi="Garamond"/>
          <w:sz w:val="24"/>
          <w:szCs w:val="24"/>
        </w:rPr>
        <w:t xml:space="preserve">es through empirical research that relationships, care and love are expressed and mediated through the purchasing of commodities, Bauman suggests that “no lasting bonds emerge in the activity of consumption”(ibid.; 78). Consumer activism is blanched of political possibility because it is channelled through neoliberal markets and commodity networks. </w:t>
      </w:r>
    </w:p>
    <w:p w:rsidR="002D22FA" w:rsidRDefault="002D22FA" w:rsidP="002D22FA">
      <w:pPr>
        <w:spacing w:after="0" w:line="360" w:lineRule="auto"/>
        <w:ind w:right="95"/>
        <w:jc w:val="both"/>
        <w:rPr>
          <w:rFonts w:ascii="Garamond" w:hAnsi="Garamond"/>
          <w:sz w:val="24"/>
          <w:szCs w:val="24"/>
        </w:rPr>
      </w:pPr>
    </w:p>
    <w:p w:rsidR="002D22FA" w:rsidRPr="0001780A" w:rsidRDefault="002D22FA" w:rsidP="002D22FA">
      <w:pPr>
        <w:spacing w:after="0" w:line="360" w:lineRule="auto"/>
        <w:ind w:right="95"/>
        <w:jc w:val="both"/>
        <w:rPr>
          <w:rFonts w:ascii="Garamond" w:hAnsi="Garamond"/>
          <w:sz w:val="24"/>
          <w:szCs w:val="24"/>
        </w:rPr>
      </w:pPr>
      <w:r w:rsidRPr="0001780A">
        <w:rPr>
          <w:rFonts w:ascii="Garamond" w:hAnsi="Garamond"/>
          <w:sz w:val="24"/>
          <w:szCs w:val="24"/>
        </w:rPr>
        <w:t>The narrowing of the political subjectivities of the boycotting consumer by both the neoclassical economic approach and overly pessimistic forms of Marxist sociological critique are potentially disabling to research on the politics of commodity boycotts. Neither point to the diverse cultural practices of consumers, to the dynamics of hard and fluid modernities, to anti-colonial politics of consumption, or to the work of activist organizations in structuring fields of ethics and engagement. Both approaches reach remarkably similar Eurocentric conclusions: the consumer acts out of individual self-</w:t>
      </w:r>
      <w:r w:rsidRPr="0001780A">
        <w:rPr>
          <w:rFonts w:ascii="Garamond" w:hAnsi="Garamond"/>
          <w:sz w:val="24"/>
          <w:szCs w:val="24"/>
        </w:rPr>
        <w:lastRenderedPageBreak/>
        <w:t>interest, and attempts to exert political influence by disengaging from the market are futile. Whils</w:t>
      </w:r>
      <w:r w:rsidR="009C3F75">
        <w:rPr>
          <w:rFonts w:ascii="Garamond" w:hAnsi="Garamond"/>
          <w:sz w:val="24"/>
          <w:szCs w:val="24"/>
        </w:rPr>
        <w:t xml:space="preserve">t incorporating some emphases – </w:t>
      </w:r>
      <w:r w:rsidRPr="0001780A">
        <w:rPr>
          <w:rFonts w:ascii="Garamond" w:hAnsi="Garamond"/>
          <w:sz w:val="24"/>
          <w:szCs w:val="24"/>
        </w:rPr>
        <w:t>Bauman's preoccupation with the violence 'liquid' consumption does to bodies and ecologies is never far below the surface of this project – my general approach has been to contest this reductionist reading of consumer activism.</w:t>
      </w:r>
    </w:p>
    <w:p w:rsidR="002D22FA" w:rsidRPr="0001780A" w:rsidRDefault="002D22FA" w:rsidP="002D22FA">
      <w:pPr>
        <w:spacing w:after="0" w:line="360" w:lineRule="auto"/>
        <w:ind w:right="95"/>
        <w:jc w:val="both"/>
        <w:rPr>
          <w:rFonts w:ascii="Garamond" w:hAnsi="Garamond"/>
          <w:sz w:val="24"/>
          <w:szCs w:val="24"/>
        </w:rPr>
      </w:pPr>
    </w:p>
    <w:p w:rsidR="002D22FA" w:rsidRPr="0001780A" w:rsidRDefault="002D22FA" w:rsidP="002D22FA">
      <w:pPr>
        <w:spacing w:after="0" w:line="360" w:lineRule="auto"/>
        <w:ind w:right="95"/>
        <w:jc w:val="both"/>
        <w:rPr>
          <w:rFonts w:ascii="Garamond" w:hAnsi="Garamond"/>
          <w:i/>
          <w:sz w:val="24"/>
          <w:szCs w:val="24"/>
        </w:rPr>
      </w:pPr>
      <w:r w:rsidRPr="0001780A">
        <w:rPr>
          <w:rFonts w:ascii="Garamond" w:hAnsi="Garamond"/>
          <w:i/>
          <w:sz w:val="24"/>
          <w:szCs w:val="24"/>
        </w:rPr>
        <w:t>Embedding the boycotting consumer in cultural practice</w:t>
      </w:r>
    </w:p>
    <w:p w:rsidR="002D22FA" w:rsidRPr="0001780A" w:rsidRDefault="002D22FA" w:rsidP="002D22FA">
      <w:pPr>
        <w:spacing w:after="0" w:line="360" w:lineRule="auto"/>
        <w:ind w:right="95"/>
        <w:jc w:val="both"/>
        <w:rPr>
          <w:rFonts w:ascii="Garamond" w:hAnsi="Garamond"/>
          <w:i/>
          <w:sz w:val="24"/>
          <w:szCs w:val="24"/>
        </w:rPr>
      </w:pPr>
    </w:p>
    <w:p w:rsidR="002D22FA" w:rsidRPr="0001780A" w:rsidRDefault="009C3F75" w:rsidP="002D22FA">
      <w:pPr>
        <w:spacing w:after="0" w:line="360" w:lineRule="auto"/>
        <w:ind w:right="95"/>
        <w:jc w:val="both"/>
        <w:rPr>
          <w:rFonts w:ascii="Garamond" w:hAnsi="Garamond"/>
          <w:sz w:val="24"/>
          <w:szCs w:val="24"/>
        </w:rPr>
      </w:pPr>
      <w:r>
        <w:rPr>
          <w:rFonts w:ascii="Garamond" w:hAnsi="Garamond"/>
          <w:sz w:val="24"/>
          <w:szCs w:val="24"/>
        </w:rPr>
        <w:t>My</w:t>
      </w:r>
      <w:r w:rsidR="002D22FA" w:rsidRPr="0001780A">
        <w:rPr>
          <w:rFonts w:ascii="Garamond" w:hAnsi="Garamond"/>
          <w:sz w:val="24"/>
          <w:szCs w:val="24"/>
        </w:rPr>
        <w:t xml:space="preserve"> approach chimes with recent scholarship on 'new' forms of ethical consumption (notably Barnett et al., 2011). This work sits within a wider move t</w:t>
      </w:r>
      <w:r>
        <w:rPr>
          <w:rFonts w:ascii="Garamond" w:hAnsi="Garamond"/>
          <w:sz w:val="24"/>
          <w:szCs w:val="24"/>
        </w:rPr>
        <w:t>o focus on consumer ‘practices’;</w:t>
      </w:r>
      <w:r w:rsidR="002D22FA" w:rsidRPr="0001780A">
        <w:rPr>
          <w:rFonts w:ascii="Garamond" w:hAnsi="Garamond"/>
          <w:sz w:val="24"/>
          <w:szCs w:val="24"/>
        </w:rPr>
        <w:t xml:space="preserve"> reflecting on what consumers do,</w:t>
      </w:r>
      <w:r w:rsidR="00311B5B">
        <w:rPr>
          <w:rFonts w:ascii="Garamond" w:hAnsi="Garamond"/>
          <w:sz w:val="24"/>
          <w:szCs w:val="24"/>
        </w:rPr>
        <w:t xml:space="preserve"> the importance of organizational practices</w:t>
      </w:r>
      <w:r w:rsidR="002D22FA" w:rsidRPr="0001780A">
        <w:rPr>
          <w:rFonts w:ascii="Garamond" w:hAnsi="Garamond"/>
          <w:sz w:val="24"/>
          <w:szCs w:val="24"/>
        </w:rPr>
        <w:t xml:space="preserve"> and the role of consumption within everyday routines and habits (Shove, 2003; Warde, 2005; Barnett et al., 2011).</w:t>
      </w:r>
      <w:r w:rsidR="002D22FA" w:rsidRPr="0001780A">
        <w:rPr>
          <w:rStyle w:val="FootnoteReference"/>
          <w:rFonts w:ascii="Garamond" w:hAnsi="Garamond"/>
          <w:sz w:val="24"/>
          <w:szCs w:val="24"/>
        </w:rPr>
        <w:footnoteReference w:id="44"/>
      </w:r>
      <w:r w:rsidR="002D22FA" w:rsidRPr="0001780A">
        <w:rPr>
          <w:rFonts w:ascii="Garamond" w:hAnsi="Garamond"/>
          <w:sz w:val="24"/>
          <w:szCs w:val="24"/>
        </w:rPr>
        <w:t xml:space="preserve"> In the conclusion to </w:t>
      </w:r>
      <w:r w:rsidR="002D22FA" w:rsidRPr="0001780A">
        <w:rPr>
          <w:rFonts w:ascii="Garamond" w:hAnsi="Garamond"/>
          <w:i/>
          <w:sz w:val="24"/>
          <w:szCs w:val="24"/>
        </w:rPr>
        <w:t xml:space="preserve">Globalizing Responsibility </w:t>
      </w:r>
      <w:r w:rsidR="002D22FA" w:rsidRPr="0001780A">
        <w:rPr>
          <w:rFonts w:ascii="Garamond" w:hAnsi="Garamond"/>
          <w:sz w:val="24"/>
          <w:szCs w:val="24"/>
        </w:rPr>
        <w:t>(2011) Barnett et al</w:t>
      </w:r>
      <w:r>
        <w:rPr>
          <w:rFonts w:ascii="Garamond" w:hAnsi="Garamond"/>
          <w:sz w:val="24"/>
          <w:szCs w:val="24"/>
        </w:rPr>
        <w:t>.</w:t>
      </w:r>
      <w:r w:rsidR="002D22FA" w:rsidRPr="0001780A">
        <w:rPr>
          <w:rFonts w:ascii="Garamond" w:hAnsi="Garamond"/>
          <w:sz w:val="24"/>
          <w:szCs w:val="24"/>
        </w:rPr>
        <w:t xml:space="preserve"> write:</w:t>
      </w:r>
    </w:p>
    <w:p w:rsidR="002D22FA" w:rsidRPr="0001780A" w:rsidRDefault="002D22FA" w:rsidP="002D22FA">
      <w:pPr>
        <w:spacing w:after="0" w:line="360" w:lineRule="auto"/>
        <w:ind w:right="95"/>
        <w:jc w:val="both"/>
        <w:rPr>
          <w:rFonts w:ascii="Garamond" w:hAnsi="Garamond"/>
          <w:sz w:val="24"/>
          <w:szCs w:val="24"/>
        </w:rPr>
      </w:pPr>
    </w:p>
    <w:p w:rsidR="002D22FA" w:rsidRPr="00F44C33" w:rsidRDefault="002D22FA" w:rsidP="002D22FA">
      <w:pPr>
        <w:spacing w:after="0" w:line="360" w:lineRule="auto"/>
        <w:ind w:left="284" w:right="284"/>
        <w:jc w:val="both"/>
        <w:rPr>
          <w:rFonts w:ascii="Garamond" w:hAnsi="Garamond"/>
        </w:rPr>
      </w:pPr>
      <w:r w:rsidRPr="00F44C33">
        <w:rPr>
          <w:rFonts w:ascii="Garamond" w:hAnsi="Garamond"/>
        </w:rPr>
        <w:t>Our emphasis has been on elaborating on how ethical consumption campaigning extends beyond the usual scenes of consumerism (the high street, the shopping mall, the supermarket) and addresses a host of actors beyond the much celebrated and much maligned 'consumer'. The emergence and evolution of ethical consumption campaigning illustrates the shared sense amongst diverse campaign organizations that changing the ways in which markets work involves more than simply changing people's consumer behavior: it requires concerted political action. (2011: 199)</w:t>
      </w:r>
    </w:p>
    <w:p w:rsidR="002D22FA" w:rsidRPr="0001780A" w:rsidRDefault="002D22FA" w:rsidP="002D22FA">
      <w:pPr>
        <w:spacing w:after="0" w:line="360" w:lineRule="auto"/>
        <w:ind w:left="284" w:right="284"/>
        <w:jc w:val="both"/>
        <w:rPr>
          <w:rFonts w:ascii="Garamond" w:hAnsi="Garamond"/>
          <w:sz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The authors suggest that ethical consumption campaigns work on different strategic levels and link up local and international campaigns, "serving as mediators </w:t>
      </w:r>
      <w:r w:rsidR="00A1744E">
        <w:rPr>
          <w:rFonts w:ascii="Garamond" w:hAnsi="Garamond"/>
          <w:sz w:val="24"/>
          <w:szCs w:val="24"/>
        </w:rPr>
        <w:t xml:space="preserve">for the nascent development of </w:t>
      </w:r>
      <w:r w:rsidRPr="0001780A">
        <w:rPr>
          <w:rFonts w:ascii="Garamond" w:hAnsi="Garamond"/>
          <w:sz w:val="24"/>
          <w:szCs w:val="24"/>
        </w:rPr>
        <w:t>global citizenship" (ibid.:</w:t>
      </w:r>
      <w:r w:rsidR="009C3F75">
        <w:rPr>
          <w:rFonts w:ascii="Garamond" w:hAnsi="Garamond"/>
          <w:sz w:val="24"/>
          <w:szCs w:val="24"/>
        </w:rPr>
        <w:t xml:space="preserve"> </w:t>
      </w:r>
      <w:r w:rsidRPr="0001780A">
        <w:rPr>
          <w:rFonts w:ascii="Garamond" w:hAnsi="Garamond"/>
          <w:sz w:val="24"/>
          <w:szCs w:val="24"/>
        </w:rPr>
        <w:t>199). They argue that the turn to thinking about practices "throws the dynamics of ethical consumption campaigning into a new light" (ibid.: 201), and shows how ethical consumption campaigns enrol people into other forms of activism. Pre-existing dispositions towards "care, concern and solidarity" (ibid.: 201) are embedded into various activisms by ethical consumption campaigns. In this thesis I will show that if contemporary 'ethical consumption campaigns' are substituted by 'commodity boycott campaigns' from the 1970s, very similar conclusions can be made. In short, I question the novelty</w:t>
      </w:r>
      <w:r w:rsidRPr="0001780A">
        <w:rPr>
          <w:rFonts w:ascii="Garamond" w:hAnsi="Garamond"/>
          <w:sz w:val="24"/>
        </w:rPr>
        <w:t xml:space="preserve"> </w:t>
      </w:r>
      <w:r w:rsidRPr="0001780A">
        <w:rPr>
          <w:rFonts w:ascii="Garamond" w:hAnsi="Garamond"/>
          <w:sz w:val="24"/>
          <w:szCs w:val="24"/>
        </w:rPr>
        <w:t xml:space="preserve">of the practices of </w:t>
      </w:r>
      <w:r w:rsidRPr="0001780A">
        <w:rPr>
          <w:rFonts w:ascii="Garamond" w:hAnsi="Garamond"/>
          <w:sz w:val="24"/>
          <w:szCs w:val="24"/>
        </w:rPr>
        <w:lastRenderedPageBreak/>
        <w:t>ethical consumption campaigning applauded by Barnett et al. The novelty, I suggest, is better located in Barnett et al.’s mode of analysis, which works Foucauldian conceptions of ethical problematization and governmentality into ethical consumption and ties consumers to broader political and social netwo</w:t>
      </w:r>
      <w:r>
        <w:rPr>
          <w:rFonts w:ascii="Garamond" w:hAnsi="Garamond"/>
          <w:sz w:val="24"/>
          <w:szCs w:val="24"/>
        </w:rPr>
        <w:t>rks (</w:t>
      </w:r>
      <w:r w:rsidRPr="0001780A">
        <w:rPr>
          <w:rFonts w:ascii="Garamond" w:hAnsi="Garamond"/>
          <w:sz w:val="24"/>
          <w:szCs w:val="24"/>
        </w:rPr>
        <w:t xml:space="preserve">Goodman, 2013). The organizational and practice-based foci of </w:t>
      </w:r>
      <w:r w:rsidRPr="0001780A">
        <w:rPr>
          <w:rFonts w:ascii="Garamond" w:hAnsi="Garamond"/>
          <w:i/>
          <w:sz w:val="24"/>
          <w:szCs w:val="24"/>
        </w:rPr>
        <w:t xml:space="preserve">Globalizing Responsibility </w:t>
      </w:r>
      <w:r w:rsidRPr="0001780A">
        <w:rPr>
          <w:rFonts w:ascii="Garamond" w:hAnsi="Garamond"/>
          <w:sz w:val="24"/>
          <w:szCs w:val="24"/>
        </w:rPr>
        <w:t>combined with Barnett et al.’s previous publications on consumer moralities (2005; 2007) had a profound effect on the genesis of this project. I hope to build on their research and more widely situate the politics of globalizing responsibility. In other words</w:t>
      </w:r>
      <w:r w:rsidR="008D6027">
        <w:rPr>
          <w:rFonts w:ascii="Garamond" w:hAnsi="Garamond"/>
          <w:sz w:val="24"/>
          <w:szCs w:val="24"/>
        </w:rPr>
        <w:t>,</w:t>
      </w:r>
      <w:r w:rsidRPr="0001780A">
        <w:rPr>
          <w:rFonts w:ascii="Garamond" w:hAnsi="Garamond"/>
          <w:sz w:val="24"/>
          <w:szCs w:val="24"/>
        </w:rPr>
        <w:t xml:space="preserve"> I choose to consider what Mike Goodman argues they omit:  </w:t>
      </w:r>
    </w:p>
    <w:p w:rsidR="002D22FA" w:rsidRPr="0001780A" w:rsidRDefault="002D22FA" w:rsidP="002D22FA">
      <w:pPr>
        <w:spacing w:after="0" w:line="360" w:lineRule="auto"/>
        <w:jc w:val="both"/>
        <w:rPr>
          <w:rFonts w:ascii="Garamond" w:hAnsi="Garamond"/>
          <w:sz w:val="24"/>
          <w:szCs w:val="24"/>
        </w:rPr>
      </w:pPr>
    </w:p>
    <w:p w:rsidR="002D22FA" w:rsidRPr="00F44C33" w:rsidRDefault="002D22FA" w:rsidP="002D22FA">
      <w:pPr>
        <w:spacing w:after="0" w:line="360" w:lineRule="auto"/>
        <w:ind w:left="284" w:right="284"/>
        <w:jc w:val="both"/>
        <w:rPr>
          <w:rFonts w:ascii="Garamond" w:hAnsi="Garamond"/>
          <w:i/>
        </w:rPr>
      </w:pPr>
      <w:r w:rsidRPr="00F44C33">
        <w:rPr>
          <w:rFonts w:ascii="Garamond" w:hAnsi="Garamond"/>
        </w:rPr>
        <w:t xml:space="preserve">There is unfortunately little here on the ways that the practices of ethical consumption are considered citizenly actions by those doing these practices or the ‘real world’ material outcomes of politicised ethical consumption. (2013: 258)   </w:t>
      </w:r>
      <w:r w:rsidRPr="00F44C33">
        <w:rPr>
          <w:rFonts w:ascii="Garamond" w:hAnsi="Garamond"/>
          <w:i/>
        </w:rPr>
        <w:t xml:space="preserve"> </w:t>
      </w:r>
    </w:p>
    <w:p w:rsidR="002D22FA" w:rsidRPr="0001780A" w:rsidRDefault="002D22FA" w:rsidP="002D22FA">
      <w:pPr>
        <w:spacing w:after="0" w:line="360" w:lineRule="auto"/>
        <w:ind w:left="284" w:right="284"/>
        <w:jc w:val="both"/>
        <w:rPr>
          <w:rFonts w:ascii="Garamond" w:hAnsi="Garamond"/>
          <w:i/>
          <w:sz w:val="24"/>
        </w:rPr>
      </w:pPr>
    </w:p>
    <w:p w:rsidR="002D22FA" w:rsidRPr="0001780A" w:rsidRDefault="002D22FA" w:rsidP="002D22FA">
      <w:pPr>
        <w:spacing w:after="0" w:line="360" w:lineRule="auto"/>
        <w:ind w:right="95"/>
        <w:jc w:val="both"/>
        <w:rPr>
          <w:rFonts w:ascii="Garamond" w:hAnsi="Garamond"/>
          <w:sz w:val="24"/>
          <w:szCs w:val="24"/>
        </w:rPr>
      </w:pPr>
      <w:r w:rsidRPr="0001780A">
        <w:rPr>
          <w:rFonts w:ascii="Garamond" w:hAnsi="Garamond"/>
          <w:sz w:val="24"/>
          <w:szCs w:val="24"/>
        </w:rPr>
        <w:t xml:space="preserve">Reading </w:t>
      </w:r>
      <w:r w:rsidRPr="0001780A">
        <w:rPr>
          <w:rFonts w:ascii="Garamond" w:hAnsi="Garamond"/>
          <w:i/>
          <w:sz w:val="24"/>
          <w:szCs w:val="24"/>
        </w:rPr>
        <w:t xml:space="preserve">Globalizing Responsibility </w:t>
      </w:r>
      <w:r w:rsidRPr="0001780A">
        <w:rPr>
          <w:rFonts w:ascii="Garamond" w:hAnsi="Garamond"/>
          <w:sz w:val="24"/>
          <w:szCs w:val="24"/>
        </w:rPr>
        <w:t xml:space="preserve">is akin to digesting a sophisticated activist manual on third-space interactions between NGOs, consumers and other dispersed actors across systems of provisioning. Everything is too rational, too neat, too compact. </w:t>
      </w:r>
      <w:r w:rsidR="008D6027">
        <w:rPr>
          <w:rFonts w:ascii="Garamond" w:hAnsi="Garamond"/>
          <w:sz w:val="24"/>
          <w:szCs w:val="24"/>
        </w:rPr>
        <w:t xml:space="preserve">Responding to Goodman, Barnett et al. suggest that this ‘neatness’ </w:t>
      </w:r>
      <w:r w:rsidRPr="0001780A">
        <w:rPr>
          <w:rFonts w:ascii="Garamond" w:hAnsi="Garamond"/>
          <w:sz w:val="24"/>
          <w:szCs w:val="24"/>
        </w:rPr>
        <w:t>may have resulted from</w:t>
      </w:r>
    </w:p>
    <w:p w:rsidR="002D22FA" w:rsidRPr="0001780A" w:rsidRDefault="002D22FA" w:rsidP="002D22FA">
      <w:pPr>
        <w:spacing w:after="0" w:line="360" w:lineRule="auto"/>
        <w:ind w:right="95"/>
        <w:jc w:val="both"/>
        <w:rPr>
          <w:rFonts w:ascii="Garamond" w:hAnsi="Garamond"/>
          <w:sz w:val="24"/>
          <w:szCs w:val="24"/>
        </w:rPr>
      </w:pPr>
    </w:p>
    <w:p w:rsidR="002D22FA" w:rsidRPr="00F44C33" w:rsidRDefault="008D6027" w:rsidP="008D6027">
      <w:pPr>
        <w:spacing w:after="0" w:line="360" w:lineRule="auto"/>
        <w:ind w:left="284" w:right="284"/>
        <w:jc w:val="both"/>
        <w:rPr>
          <w:rFonts w:ascii="Garamond" w:hAnsi="Garamond"/>
        </w:rPr>
      </w:pPr>
      <w:r>
        <w:rPr>
          <w:rFonts w:ascii="Garamond" w:hAnsi="Garamond"/>
        </w:rPr>
        <w:t>‘</w:t>
      </w:r>
      <w:r w:rsidR="002D22FA" w:rsidRPr="00F44C33">
        <w:rPr>
          <w:rFonts w:ascii="Garamond" w:hAnsi="Garamond"/>
        </w:rPr>
        <w:t>applying</w:t>
      </w:r>
      <w:r>
        <w:rPr>
          <w:rFonts w:ascii="Garamond" w:hAnsi="Garamond"/>
        </w:rPr>
        <w:t>’</w:t>
      </w:r>
      <w:r w:rsidR="002D22FA" w:rsidRPr="00F44C33">
        <w:rPr>
          <w:rFonts w:ascii="Garamond" w:hAnsi="Garamond"/>
        </w:rPr>
        <w:t xml:space="preserve"> the concep</w:t>
      </w:r>
      <w:r>
        <w:rPr>
          <w:rFonts w:ascii="Garamond" w:hAnsi="Garamond"/>
        </w:rPr>
        <w:t>tual frame of practice theory to</w:t>
      </w:r>
      <w:r w:rsidR="002D22FA" w:rsidRPr="00F44C33">
        <w:rPr>
          <w:rFonts w:ascii="Garamond" w:hAnsi="Garamond"/>
        </w:rPr>
        <w:t xml:space="preserve"> a field</w:t>
      </w:r>
      <w:r>
        <w:rPr>
          <w:rFonts w:ascii="Garamond" w:hAnsi="Garamond"/>
        </w:rPr>
        <w:t xml:space="preserve"> in</w:t>
      </w:r>
      <w:r w:rsidR="002D22FA" w:rsidRPr="00F44C33">
        <w:rPr>
          <w:rFonts w:ascii="Garamond" w:hAnsi="Garamond"/>
        </w:rPr>
        <w:t xml:space="preserve"> which this same frame already seemed to be applied</w:t>
      </w:r>
      <w:r>
        <w:rPr>
          <w:rFonts w:ascii="Garamond" w:hAnsi="Garamond"/>
        </w:rPr>
        <w:t xml:space="preserve"> by strategic actors. (2013: 261</w:t>
      </w:r>
      <w:r w:rsidR="002D22FA" w:rsidRPr="00F44C33">
        <w:rPr>
          <w:rFonts w:ascii="Garamond" w:hAnsi="Garamond"/>
        </w:rPr>
        <w:t>)</w:t>
      </w:r>
    </w:p>
    <w:p w:rsidR="002D22FA" w:rsidRPr="0001780A" w:rsidRDefault="002D22FA" w:rsidP="002D22FA">
      <w:pPr>
        <w:spacing w:after="0" w:line="360" w:lineRule="auto"/>
        <w:ind w:left="284" w:right="284"/>
        <w:jc w:val="both"/>
        <w:rPr>
          <w:rFonts w:ascii="Garamond" w:hAnsi="Garamond"/>
          <w:sz w:val="24"/>
        </w:rPr>
      </w:pPr>
    </w:p>
    <w:p w:rsidR="002D22FA" w:rsidRPr="0001780A" w:rsidRDefault="002D22FA" w:rsidP="002D22FA">
      <w:pPr>
        <w:spacing w:after="0" w:line="360" w:lineRule="auto"/>
        <w:ind w:right="95"/>
        <w:jc w:val="both"/>
        <w:rPr>
          <w:rFonts w:ascii="Garamond" w:hAnsi="Garamond" w:cs="AdvPSBEM"/>
          <w:sz w:val="24"/>
          <w:szCs w:val="24"/>
        </w:rPr>
      </w:pPr>
      <w:r w:rsidRPr="0001780A">
        <w:rPr>
          <w:rFonts w:ascii="Garamond" w:hAnsi="Garamond"/>
          <w:sz w:val="24"/>
          <w:szCs w:val="24"/>
        </w:rPr>
        <w:t>The reluctance of Barnett et al. to embrace frames of analysis aside from practice theory derives from not wanting to "mis-describe what is going on the field" (2013: 264). I agree with Goodman's (2013) claim that the authors fail to convincingly situate 'lay', 'everyday' and 'ordinary' types of consumption: in this they risk replicating the neoclassical trend to assume that everyone has equality of access to markets and their politics. Both the consumer-activist and the new cultures of ethical problematization are roundly celebrated and the wider outcomes of their politics are not questioned. The culture of cele</w:t>
      </w:r>
      <w:r>
        <w:rPr>
          <w:rFonts w:ascii="Garamond" w:hAnsi="Garamond"/>
          <w:sz w:val="24"/>
          <w:szCs w:val="24"/>
        </w:rPr>
        <w:t xml:space="preserve">bration extends to Harrison et </w:t>
      </w:r>
      <w:r w:rsidRPr="0001780A">
        <w:rPr>
          <w:rFonts w:ascii="Garamond" w:hAnsi="Garamond"/>
          <w:sz w:val="24"/>
          <w:szCs w:val="24"/>
        </w:rPr>
        <w:t>al</w:t>
      </w:r>
      <w:r>
        <w:rPr>
          <w:rFonts w:ascii="Garamond" w:hAnsi="Garamond"/>
          <w:sz w:val="24"/>
          <w:szCs w:val="24"/>
        </w:rPr>
        <w:t>. (2007</w:t>
      </w:r>
      <w:r w:rsidR="00285EEC">
        <w:rPr>
          <w:rFonts w:ascii="Garamond" w:hAnsi="Garamond"/>
          <w:sz w:val="24"/>
          <w:szCs w:val="24"/>
        </w:rPr>
        <w:t xml:space="preserve">) and Gabriel </w:t>
      </w:r>
      <w:r w:rsidR="00F152DB">
        <w:rPr>
          <w:rFonts w:ascii="Garamond" w:hAnsi="Garamond"/>
          <w:sz w:val="24"/>
          <w:szCs w:val="24"/>
        </w:rPr>
        <w:t>and</w:t>
      </w:r>
      <w:r>
        <w:rPr>
          <w:rFonts w:ascii="Garamond" w:hAnsi="Garamond"/>
          <w:sz w:val="24"/>
          <w:szCs w:val="24"/>
        </w:rPr>
        <w:t xml:space="preserve"> Lang's (2005</w:t>
      </w:r>
      <w:r w:rsidRPr="0001780A">
        <w:rPr>
          <w:rFonts w:ascii="Garamond" w:hAnsi="Garamond"/>
          <w:sz w:val="24"/>
          <w:szCs w:val="24"/>
        </w:rPr>
        <w:t>) work on ethical consumption. The latter positions the consumer-activist as acting out a type of neoliberal governmentality;</w:t>
      </w:r>
      <w:r w:rsidRPr="0001780A">
        <w:rPr>
          <w:rStyle w:val="FootnoteReference"/>
          <w:rFonts w:ascii="Garamond" w:hAnsi="Garamond"/>
          <w:sz w:val="24"/>
          <w:szCs w:val="24"/>
        </w:rPr>
        <w:footnoteReference w:id="45"/>
      </w:r>
      <w:r w:rsidRPr="0001780A">
        <w:rPr>
          <w:rFonts w:ascii="Garamond" w:hAnsi="Garamond"/>
          <w:sz w:val="24"/>
          <w:szCs w:val="24"/>
        </w:rPr>
        <w:t xml:space="preserve"> at stake is "redefining the notion of progress" and </w:t>
      </w:r>
      <w:r w:rsidRPr="0001780A">
        <w:rPr>
          <w:rFonts w:ascii="Garamond" w:hAnsi="Garamond"/>
          <w:sz w:val="24"/>
          <w:szCs w:val="24"/>
        </w:rPr>
        <w:lastRenderedPageBreak/>
        <w:t>"reintroducing the validity of the idea of needs and wants" (ibid.:170). Neoliberal governmentality routinizes and embeds the consumer as a political actor in ways "</w:t>
      </w:r>
      <w:r w:rsidRPr="0001780A">
        <w:rPr>
          <w:rFonts w:ascii="Garamond" w:hAnsi="Garamond" w:cs="AdvPSBEM"/>
          <w:sz w:val="24"/>
          <w:szCs w:val="24"/>
        </w:rPr>
        <w:t>that allow for the de-centring</w:t>
      </w:r>
      <w:r w:rsidRPr="0001780A">
        <w:rPr>
          <w:rFonts w:ascii="Garamond" w:hAnsi="Garamond"/>
          <w:sz w:val="24"/>
          <w:szCs w:val="24"/>
        </w:rPr>
        <w:t xml:space="preserve"> </w:t>
      </w:r>
      <w:r w:rsidRPr="0001780A">
        <w:rPr>
          <w:rFonts w:ascii="Garamond" w:hAnsi="Garamond" w:cs="AdvPSBEM"/>
          <w:sz w:val="24"/>
          <w:szCs w:val="24"/>
        </w:rPr>
        <w:t>of government through the active role of auto-regulated, auto-correcting selves" (Springer, 2010: 1033). Neoclassical roots are apparent in the proposed model of rational choice theory that consumers use to negotiate costs and benefits of potential purchases (</w:t>
      </w:r>
      <w:r w:rsidRPr="0001780A">
        <w:rPr>
          <w:rFonts w:ascii="Garamond" w:hAnsi="Garamond"/>
          <w:sz w:val="24"/>
          <w:szCs w:val="24"/>
        </w:rPr>
        <w:t xml:space="preserve">Scott, 2000). </w:t>
      </w:r>
      <w:r w:rsidRPr="0001780A">
        <w:rPr>
          <w:rFonts w:ascii="Garamond" w:hAnsi="Garamond" w:cs="AdvPSBEM"/>
          <w:sz w:val="24"/>
          <w:szCs w:val="24"/>
        </w:rPr>
        <w:t>Consumer choice</w:t>
      </w:r>
      <w:r w:rsidR="00285EEC">
        <w:rPr>
          <w:rFonts w:ascii="Garamond" w:hAnsi="Garamond" w:cs="AdvPSBEM"/>
          <w:sz w:val="24"/>
          <w:szCs w:val="24"/>
        </w:rPr>
        <w:t>,</w:t>
      </w:r>
      <w:r w:rsidRPr="0001780A">
        <w:rPr>
          <w:rFonts w:ascii="Garamond" w:hAnsi="Garamond" w:cs="AdvPSBEM"/>
          <w:sz w:val="24"/>
          <w:szCs w:val="24"/>
        </w:rPr>
        <w:t xml:space="preserve"> as Barnett et al. write, has been governmentalized as a "vector of responsibility... and among key agents in the splicing together of choice and responsibility are activist and campaign organizations (2011:70). This process needs to be situated in broader socio-economic shifts occurring across the UK. In </w:t>
      </w:r>
      <w:r>
        <w:rPr>
          <w:rFonts w:ascii="Garamond" w:hAnsi="Garamond" w:cs="AdvPSBEM"/>
          <w:sz w:val="24"/>
          <w:szCs w:val="24"/>
        </w:rPr>
        <w:t>Chapter Four and Chapter Five,</w:t>
      </w:r>
      <w:r w:rsidRPr="0001780A">
        <w:rPr>
          <w:rFonts w:ascii="Garamond" w:hAnsi="Garamond" w:cs="AdvPSBEM"/>
          <w:sz w:val="24"/>
          <w:szCs w:val="24"/>
        </w:rPr>
        <w:t xml:space="preserve"> I show how this politics dovetails with the decentring of governance and the privatization of anti-trafficking responsibilities in the UK. I show how geographies of fair trade are bound by national imaginations, and I frame STT's activist methods as persuasive rather than as a process of 'extending ethical choices' to the consumer.</w:t>
      </w:r>
      <w:r w:rsidRPr="0001780A">
        <w:rPr>
          <w:rStyle w:val="FootnoteReference"/>
          <w:rFonts w:ascii="Garamond" w:hAnsi="Garamond" w:cs="AdvPSBEM"/>
          <w:sz w:val="24"/>
          <w:szCs w:val="24"/>
        </w:rPr>
        <w:footnoteReference w:id="46"/>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F44C33" w:rsidRPr="00F44C33" w:rsidRDefault="002D22FA" w:rsidP="002D22FA">
      <w:pPr>
        <w:pStyle w:val="Heading2"/>
      </w:pPr>
      <w:bookmarkStart w:id="268" w:name="_Toc244453629"/>
      <w:bookmarkStart w:id="269" w:name="_Toc244454146"/>
      <w:bookmarkStart w:id="270" w:name="_Toc244469593"/>
      <w:bookmarkStart w:id="271" w:name="_Toc244508049"/>
      <w:bookmarkStart w:id="272" w:name="_Toc244535743"/>
      <w:bookmarkStart w:id="273" w:name="_Toc244578375"/>
      <w:bookmarkStart w:id="274" w:name="_Toc244578759"/>
      <w:bookmarkStart w:id="275" w:name="_Toc263452009"/>
      <w:bookmarkStart w:id="276" w:name="_Toc263510927"/>
      <w:r w:rsidRPr="00F44C33">
        <w:t>Three: The political relationship between ethical consumption and commodity boycotts</w:t>
      </w:r>
      <w:bookmarkEnd w:id="268"/>
      <w:bookmarkEnd w:id="269"/>
      <w:bookmarkEnd w:id="270"/>
      <w:bookmarkEnd w:id="271"/>
      <w:bookmarkEnd w:id="272"/>
      <w:bookmarkEnd w:id="273"/>
      <w:bookmarkEnd w:id="274"/>
      <w:bookmarkEnd w:id="275"/>
      <w:bookmarkEnd w:id="276"/>
      <w:r w:rsidRPr="00F44C33">
        <w:tab/>
      </w:r>
    </w:p>
    <w:p w:rsidR="002D22FA" w:rsidRPr="00F44C33" w:rsidRDefault="002D22FA" w:rsidP="00F44C33"/>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Studies of ethical consumption are broadly interested in the often contradictory and value laden decision-making processes that consumers perform in purchasing, or withdrawing from purchasing, commodities (Barnett et al.</w:t>
      </w:r>
      <w:r>
        <w:rPr>
          <w:rFonts w:ascii="Garamond" w:hAnsi="Garamond"/>
          <w:sz w:val="24"/>
          <w:szCs w:val="24"/>
        </w:rPr>
        <w:t xml:space="preserve"> 2005; Harrison et al.</w:t>
      </w:r>
      <w:r w:rsidRPr="0001780A">
        <w:rPr>
          <w:rFonts w:ascii="Garamond" w:hAnsi="Garamond"/>
          <w:sz w:val="24"/>
          <w:szCs w:val="24"/>
        </w:rPr>
        <w:t xml:space="preserve"> 2005, Clarke, 2007). The ethical consumer is usually seen as making decisions within consequentialist or deontological fields of moral philosophy: the former defining ‘good’ ethics based on outcomes or conse</w:t>
      </w:r>
      <w:r>
        <w:rPr>
          <w:rFonts w:ascii="Garamond" w:hAnsi="Garamond"/>
          <w:sz w:val="24"/>
          <w:szCs w:val="24"/>
        </w:rPr>
        <w:t>quences of actions (Singer, 1993</w:t>
      </w:r>
      <w:r w:rsidRPr="0001780A">
        <w:rPr>
          <w:rFonts w:ascii="Garamond" w:hAnsi="Garamond"/>
          <w:sz w:val="24"/>
          <w:szCs w:val="24"/>
        </w:rPr>
        <w:t>); and the lat</w:t>
      </w:r>
      <w:r>
        <w:rPr>
          <w:rFonts w:ascii="Garamond" w:hAnsi="Garamond"/>
          <w:sz w:val="24"/>
          <w:szCs w:val="24"/>
        </w:rPr>
        <w:t xml:space="preserve">ter deriving from Rawls’ </w:t>
      </w:r>
      <w:r w:rsidRPr="0001780A">
        <w:rPr>
          <w:rFonts w:ascii="Garamond" w:hAnsi="Garamond"/>
          <w:sz w:val="24"/>
          <w:szCs w:val="24"/>
        </w:rPr>
        <w:t>theories of rights, where rights are prioritized over the good “as a means of ensuring that definitions of the collective good do not come at the cost of basic individual liberties” (Barnett, Cafaro, Newholm, 2005: 13). Labour boycotts are historically deontological (ensuring worker’s rights), while commodity boycotts over, say, the use of animal testing for cosmetics are based on consequentialist arguments (avoiding the consequence of harm to sentient beings). Recent studies of the ethical consumer have further suggested that all purchases are ‘ordinarily ethical’ and that consumption, and non-consumption, is performed as a form of ‘moral selving’, where the act of shopping becomes an opportunity to create a better mo</w:t>
      </w:r>
      <w:r>
        <w:rPr>
          <w:rFonts w:ascii="Garamond" w:hAnsi="Garamond"/>
          <w:sz w:val="24"/>
          <w:szCs w:val="24"/>
        </w:rPr>
        <w:t xml:space="preserve">ral self (Barnett et al. </w:t>
      </w:r>
      <w:r w:rsidRPr="0001780A">
        <w:rPr>
          <w:rFonts w:ascii="Garamond" w:hAnsi="Garamond"/>
          <w:sz w:val="24"/>
          <w:szCs w:val="24"/>
        </w:rPr>
        <w:t xml:space="preserve">2007).  Within political and ethical </w:t>
      </w:r>
      <w:r w:rsidRPr="0001780A">
        <w:rPr>
          <w:rFonts w:ascii="Garamond" w:hAnsi="Garamond"/>
          <w:sz w:val="24"/>
          <w:szCs w:val="24"/>
        </w:rPr>
        <w:lastRenderedPageBreak/>
        <w:t>consumption studies the most commonly quoted commodity boycott definition is Monroe Friedman’s suggestion:</w:t>
      </w:r>
    </w:p>
    <w:p w:rsidR="002D22FA" w:rsidRPr="0001780A" w:rsidRDefault="002D22FA" w:rsidP="002D22FA">
      <w:pPr>
        <w:spacing w:after="0" w:line="360" w:lineRule="auto"/>
        <w:ind w:right="-45"/>
        <w:jc w:val="both"/>
        <w:rPr>
          <w:rFonts w:ascii="Garamond" w:hAnsi="Garamond"/>
          <w:sz w:val="24"/>
          <w:szCs w:val="24"/>
        </w:rPr>
      </w:pPr>
    </w:p>
    <w:p w:rsidR="002D22FA" w:rsidRPr="00F44C33" w:rsidRDefault="002D22FA" w:rsidP="002D22FA">
      <w:pPr>
        <w:spacing w:after="0" w:line="360" w:lineRule="auto"/>
        <w:ind w:left="425" w:right="1088"/>
        <w:jc w:val="both"/>
        <w:rPr>
          <w:rFonts w:ascii="Garamond" w:hAnsi="Garamond"/>
        </w:rPr>
      </w:pPr>
      <w:r w:rsidRPr="00F44C33">
        <w:rPr>
          <w:rFonts w:ascii="Garamond" w:hAnsi="Garamond"/>
        </w:rPr>
        <w:t>An attempt by one or more parties to achieve certain objectives by urging individual consumers to refrain from making selected purchases in the marketplace. (1999: 4)</w:t>
      </w:r>
    </w:p>
    <w:p w:rsidR="002D22FA" w:rsidRPr="0001780A" w:rsidRDefault="002D22FA" w:rsidP="002D22FA">
      <w:pPr>
        <w:spacing w:after="0" w:line="360" w:lineRule="auto"/>
        <w:ind w:left="425" w:right="1088"/>
        <w:jc w:val="both"/>
        <w:rPr>
          <w:rFonts w:ascii="Garamond" w:hAnsi="Garamond"/>
          <w:sz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Gulyas (2008) neatly summarizes three important parts within this definition: firstly, Friedman focuses on individual consumers instead of organizational structures; secondly, he emphasizes the use of marketplace means to attain what may or may not be marketplace ends; thirdly, individuals are urged to withdraw </w:t>
      </w:r>
      <w:r w:rsidRPr="0001780A">
        <w:rPr>
          <w:rFonts w:ascii="Garamond" w:hAnsi="Garamond"/>
          <w:i/>
          <w:iCs/>
          <w:sz w:val="24"/>
          <w:szCs w:val="24"/>
        </w:rPr>
        <w:t>selectively</w:t>
      </w:r>
      <w:r w:rsidRPr="0001780A">
        <w:rPr>
          <w:rFonts w:ascii="Garamond" w:hAnsi="Garamond"/>
          <w:sz w:val="24"/>
          <w:szCs w:val="24"/>
        </w:rPr>
        <w:t xml:space="preserve"> from the marketplace. In a paper on strategic responses to commodity boycotts, Yuksel and Myrteza (2009) rework Friedman’s definition:</w:t>
      </w:r>
    </w:p>
    <w:p w:rsidR="002D22FA" w:rsidRPr="0001780A" w:rsidRDefault="002D22FA" w:rsidP="002D22FA">
      <w:pPr>
        <w:spacing w:after="0" w:line="360" w:lineRule="auto"/>
        <w:ind w:right="-45"/>
        <w:jc w:val="both"/>
        <w:rPr>
          <w:rFonts w:ascii="Garamond" w:hAnsi="Garamond"/>
          <w:sz w:val="24"/>
          <w:szCs w:val="24"/>
        </w:rPr>
      </w:pPr>
    </w:p>
    <w:p w:rsidR="002D22FA" w:rsidRPr="00F44C33" w:rsidRDefault="002D22FA" w:rsidP="002D22FA">
      <w:pPr>
        <w:spacing w:after="0" w:line="360" w:lineRule="auto"/>
        <w:ind w:left="425" w:right="661"/>
        <w:jc w:val="both"/>
        <w:rPr>
          <w:rFonts w:ascii="Garamond" w:hAnsi="Garamond"/>
        </w:rPr>
      </w:pPr>
      <w:r w:rsidRPr="00F44C33">
        <w:rPr>
          <w:rFonts w:ascii="Garamond" w:hAnsi="Garamond"/>
        </w:rPr>
        <w:t>A commodity boycott is the collective act of forgoing or withholding consumption in response to perceived wrongdoing by a company, or perceived flaws in the product itself, in order to achie</w:t>
      </w:r>
      <w:r w:rsidR="00285EEC">
        <w:rPr>
          <w:rFonts w:ascii="Garamond" w:hAnsi="Garamond"/>
        </w:rPr>
        <w:t>ve certain instrumental or non-</w:t>
      </w:r>
      <w:r w:rsidRPr="00F44C33">
        <w:rPr>
          <w:rFonts w:ascii="Garamond" w:hAnsi="Garamond"/>
        </w:rPr>
        <w:t>instrumental objectives. (2009: 249)</w:t>
      </w:r>
    </w:p>
    <w:p w:rsidR="002D22FA" w:rsidRPr="0001780A" w:rsidRDefault="002D22FA" w:rsidP="002D22FA">
      <w:pPr>
        <w:spacing w:after="0" w:line="360" w:lineRule="auto"/>
        <w:ind w:left="425" w:right="661"/>
        <w:jc w:val="both"/>
        <w:rPr>
          <w:rFonts w:ascii="Garamond" w:hAnsi="Garamond"/>
          <w:sz w:val="24"/>
        </w:rPr>
      </w:pPr>
    </w:p>
    <w:p w:rsidR="002D22FA" w:rsidRPr="0001780A" w:rsidRDefault="002D22FA" w:rsidP="002D22FA">
      <w:pPr>
        <w:tabs>
          <w:tab w:val="left" w:pos="9025"/>
        </w:tabs>
        <w:spacing w:after="0" w:line="360" w:lineRule="auto"/>
        <w:ind w:right="-45"/>
        <w:jc w:val="both"/>
        <w:rPr>
          <w:rFonts w:ascii="Garamond" w:hAnsi="Garamond"/>
          <w:sz w:val="24"/>
          <w:szCs w:val="24"/>
        </w:rPr>
      </w:pPr>
      <w:r w:rsidRPr="0001780A">
        <w:rPr>
          <w:rFonts w:ascii="Garamond" w:hAnsi="Garamond"/>
          <w:sz w:val="24"/>
          <w:szCs w:val="24"/>
        </w:rPr>
        <w:t xml:space="preserve">In highlighting </w:t>
      </w:r>
      <w:r w:rsidRPr="0001780A">
        <w:rPr>
          <w:rFonts w:ascii="Garamond" w:hAnsi="Garamond"/>
          <w:i/>
          <w:iCs/>
          <w:sz w:val="24"/>
          <w:szCs w:val="24"/>
        </w:rPr>
        <w:t>non-instrumental objectives</w:t>
      </w:r>
      <w:r w:rsidRPr="0001780A">
        <w:rPr>
          <w:rFonts w:ascii="Garamond" w:hAnsi="Garamond"/>
          <w:sz w:val="24"/>
          <w:szCs w:val="24"/>
        </w:rPr>
        <w:t>, this definition hints at the expressive function of boycotts. For recent studies in political and ethical consumption this distinction allows for critical engagement with the social aspects of boycotting behaviour; it creates an opening for a geographical evaluation of the politics of ‘</w:t>
      </w:r>
      <w:r>
        <w:rPr>
          <w:rFonts w:ascii="Garamond" w:hAnsi="Garamond"/>
          <w:sz w:val="24"/>
          <w:szCs w:val="24"/>
        </w:rPr>
        <w:t>glamour’ (Thrift, 2010</w:t>
      </w:r>
      <w:r w:rsidRPr="0001780A">
        <w:rPr>
          <w:rFonts w:ascii="Garamond" w:hAnsi="Garamond"/>
          <w:sz w:val="24"/>
          <w:szCs w:val="24"/>
        </w:rPr>
        <w:t>), hospitality (Clarke, 2005), celebrity (Goodman, 2010), social status, taste, self-realization, and ‘alt</w:t>
      </w:r>
      <w:r>
        <w:rPr>
          <w:rFonts w:ascii="Garamond" w:hAnsi="Garamond"/>
          <w:sz w:val="24"/>
          <w:szCs w:val="24"/>
        </w:rPr>
        <w:t xml:space="preserve">ernative hedonisms’ (Soper </w:t>
      </w:r>
      <w:r w:rsidR="00F152DB">
        <w:rPr>
          <w:rFonts w:ascii="Garamond" w:hAnsi="Garamond"/>
          <w:sz w:val="24"/>
          <w:szCs w:val="24"/>
        </w:rPr>
        <w:t>and</w:t>
      </w:r>
      <w:r>
        <w:rPr>
          <w:rFonts w:ascii="Garamond" w:hAnsi="Garamond"/>
          <w:sz w:val="24"/>
          <w:szCs w:val="24"/>
        </w:rPr>
        <w:t xml:space="preserve"> Thomas, 2006</w:t>
      </w:r>
      <w:r w:rsidRPr="0001780A">
        <w:rPr>
          <w:rFonts w:ascii="Garamond" w:hAnsi="Garamond"/>
          <w:sz w:val="24"/>
          <w:szCs w:val="24"/>
        </w:rPr>
        <w:t>) amongst boycotters.</w:t>
      </w:r>
    </w:p>
    <w:p w:rsidR="002D22FA" w:rsidRPr="0001780A" w:rsidRDefault="002D22FA" w:rsidP="002D22FA">
      <w:pPr>
        <w:tabs>
          <w:tab w:val="left" w:pos="9025"/>
        </w:tabs>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In </w:t>
      </w:r>
      <w:r w:rsidRPr="0001780A">
        <w:rPr>
          <w:rFonts w:ascii="Garamond" w:hAnsi="Garamond"/>
          <w:i/>
          <w:iCs/>
          <w:sz w:val="24"/>
          <w:szCs w:val="24"/>
        </w:rPr>
        <w:t>Morality and the Market</w:t>
      </w:r>
      <w:r w:rsidRPr="0001780A">
        <w:rPr>
          <w:rFonts w:ascii="Garamond" w:hAnsi="Garamond"/>
          <w:sz w:val="24"/>
          <w:szCs w:val="24"/>
        </w:rPr>
        <w:t xml:space="preserve"> (1990), Smith suggests that boycotts are a type of ethical consumption. This is mirrored in recent work on the geographies of ethical and political consumption where the boycott is theorized as one of many available 'ethical' practices available to the cons</w:t>
      </w:r>
      <w:r>
        <w:rPr>
          <w:rFonts w:ascii="Garamond" w:hAnsi="Garamond"/>
          <w:sz w:val="24"/>
          <w:szCs w:val="24"/>
        </w:rPr>
        <w:t>umer (Clarke, 2007; Harrison et</w:t>
      </w:r>
      <w:r w:rsidRPr="0001780A">
        <w:rPr>
          <w:rFonts w:ascii="Garamond" w:hAnsi="Garamond"/>
          <w:sz w:val="24"/>
          <w:szCs w:val="24"/>
        </w:rPr>
        <w:t xml:space="preserve"> al</w:t>
      </w:r>
      <w:r>
        <w:rPr>
          <w:rFonts w:ascii="Garamond" w:hAnsi="Garamond"/>
          <w:sz w:val="24"/>
          <w:szCs w:val="24"/>
        </w:rPr>
        <w:t>.</w:t>
      </w:r>
      <w:r w:rsidRPr="0001780A">
        <w:rPr>
          <w:rFonts w:ascii="Garamond" w:hAnsi="Garamond"/>
          <w:sz w:val="24"/>
          <w:szCs w:val="24"/>
        </w:rPr>
        <w:t>, 2005; Barnett et al., 2011):</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F44C33" w:rsidRDefault="002D22FA" w:rsidP="002D22FA">
      <w:pPr>
        <w:autoSpaceDE w:val="0"/>
        <w:autoSpaceDN w:val="0"/>
        <w:adjustRightInd w:val="0"/>
        <w:spacing w:after="0" w:line="360" w:lineRule="auto"/>
        <w:ind w:left="284" w:right="284"/>
        <w:jc w:val="both"/>
        <w:rPr>
          <w:rFonts w:ascii="Garamond" w:hAnsi="Garamond"/>
        </w:rPr>
      </w:pPr>
      <w:r w:rsidRPr="00F44C33">
        <w:rPr>
          <w:rFonts w:ascii="Garamond" w:hAnsi="Garamond"/>
        </w:rPr>
        <w:t>The diversity of objects and practices that might constitute ethical consumption is underscored by considering the diversity of ethical forms that might be defined in this category: ethical trading organizations, lobby groups, fair trade campaign organizations, cooperative movements, commodity boycott campaigns, 'No Logo' anti-globalization campaigns, local food markets and charity shops. (Barnett et al. 2011: 15)</w:t>
      </w:r>
    </w:p>
    <w:p w:rsidR="002D22FA" w:rsidRPr="0001780A" w:rsidRDefault="002D22FA" w:rsidP="002D22FA">
      <w:pPr>
        <w:autoSpaceDE w:val="0"/>
        <w:autoSpaceDN w:val="0"/>
        <w:adjustRightInd w:val="0"/>
        <w:spacing w:after="0" w:line="360" w:lineRule="auto"/>
        <w:ind w:left="284" w:right="284"/>
        <w:jc w:val="both"/>
        <w:rPr>
          <w:rFonts w:ascii="Garamond" w:hAnsi="Garamond"/>
          <w:sz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Boycotts are increasingly situated within wider literatures on ethical consumption; here the politics of boycotting has been somewhat marginalized in favour of foci such as fair and ethical trade, re-localization and charity retailing.</w:t>
      </w:r>
      <w:r w:rsidRPr="0001780A">
        <w:rPr>
          <w:rFonts w:ascii="Garamond" w:hAnsi="Garamond"/>
          <w:sz w:val="24"/>
        </w:rPr>
        <w:t xml:space="preserve"> </w:t>
      </w:r>
      <w:r w:rsidRPr="0001780A">
        <w:rPr>
          <w:rFonts w:ascii="Garamond" w:hAnsi="Garamond"/>
          <w:sz w:val="24"/>
          <w:szCs w:val="24"/>
        </w:rPr>
        <w:t xml:space="preserve"> In Nicholls et al.'s (2005) </w:t>
      </w:r>
      <w:r w:rsidRPr="0001780A">
        <w:rPr>
          <w:rFonts w:ascii="Garamond" w:hAnsi="Garamond"/>
          <w:i/>
          <w:sz w:val="24"/>
          <w:szCs w:val="24"/>
        </w:rPr>
        <w:t xml:space="preserve">Fair trade: Market Driven Ethical Consumption </w:t>
      </w:r>
      <w:r w:rsidRPr="0001780A">
        <w:rPr>
          <w:rFonts w:ascii="Garamond" w:hAnsi="Garamond"/>
          <w:sz w:val="24"/>
          <w:szCs w:val="24"/>
        </w:rPr>
        <w:t xml:space="preserve">the word boycott is printed five times. Boycott appears seven times in the text of Raynolds et al.’s (2007) </w:t>
      </w:r>
      <w:r w:rsidRPr="0001780A">
        <w:rPr>
          <w:rFonts w:ascii="Garamond" w:hAnsi="Garamond"/>
          <w:i/>
          <w:sz w:val="24"/>
          <w:szCs w:val="24"/>
        </w:rPr>
        <w:t>Fair Trade: The Challenges of Transforming Globalization</w:t>
      </w:r>
      <w:r w:rsidRPr="0001780A">
        <w:rPr>
          <w:rFonts w:ascii="Garamond" w:hAnsi="Garamond"/>
          <w:sz w:val="24"/>
          <w:szCs w:val="24"/>
        </w:rPr>
        <w:t xml:space="preserve">. Throughout </w:t>
      </w:r>
      <w:r w:rsidRPr="0001780A">
        <w:rPr>
          <w:rFonts w:ascii="Garamond" w:hAnsi="Garamond"/>
          <w:i/>
          <w:sz w:val="24"/>
          <w:szCs w:val="24"/>
        </w:rPr>
        <w:t xml:space="preserve">Globalizing Responsibility: The Political Rationalities of Consumption, </w:t>
      </w:r>
      <w:r w:rsidRPr="0001780A">
        <w:rPr>
          <w:rFonts w:ascii="Garamond" w:hAnsi="Garamond"/>
          <w:sz w:val="24"/>
          <w:szCs w:val="24"/>
        </w:rPr>
        <w:t>Barnett et al.'s (2011) comprehensive study on the 'grammars, routines and problematizations' of consuming politically, the verb appears nine times.</w:t>
      </w:r>
      <w:r w:rsidRPr="0001780A">
        <w:rPr>
          <w:rStyle w:val="FootnoteReference"/>
          <w:rFonts w:ascii="Garamond" w:hAnsi="Garamond"/>
          <w:sz w:val="24"/>
          <w:szCs w:val="24"/>
        </w:rPr>
        <w:footnoteReference w:id="47"/>
      </w:r>
      <w:r w:rsidRPr="0001780A">
        <w:rPr>
          <w:rFonts w:ascii="Garamond" w:hAnsi="Garamond"/>
          <w:sz w:val="24"/>
          <w:szCs w:val="24"/>
        </w:rPr>
        <w:t xml:space="preserve"> </w:t>
      </w:r>
    </w:p>
    <w:p w:rsidR="002D22FA" w:rsidRPr="0001780A" w:rsidRDefault="002D22FA" w:rsidP="002D22FA">
      <w:pPr>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 xml:space="preserve">In this literature there is little focus on how boycotts are practiced by organizations. The commodity boycott is theorized as a means for consumers to vote with their purses. With the notable exceptions of Micheletti (2002) and Sassatelli (2007), the commodity boycott of ethical consumption accounts is neoclassical economic theory in practice; boycotting is made through rational choice across a universal marketplace with no barriers to entry (Hawkins, 2010). As a tactic available to ethical consumers the commodity boycott has come to mean no more or less than the application of consumer sovereignty. </w:t>
      </w:r>
    </w:p>
    <w:p w:rsidR="002D22FA" w:rsidRPr="0001780A" w:rsidRDefault="002D22FA" w:rsidP="002D22FA">
      <w:pPr>
        <w:spacing w:after="0" w:line="360" w:lineRule="auto"/>
        <w:ind w:right="-45"/>
        <w:jc w:val="both"/>
        <w:rPr>
          <w:rFonts w:ascii="Garamond" w:hAnsi="Garamond"/>
          <w:sz w:val="24"/>
        </w:rPr>
      </w:pPr>
    </w:p>
    <w:p w:rsidR="002D22FA" w:rsidRPr="0001780A" w:rsidRDefault="002D22FA" w:rsidP="002D22FA">
      <w:pPr>
        <w:autoSpaceDE w:val="0"/>
        <w:autoSpaceDN w:val="0"/>
        <w:adjustRightInd w:val="0"/>
        <w:spacing w:after="0" w:line="360" w:lineRule="auto"/>
        <w:jc w:val="both"/>
        <w:rPr>
          <w:rFonts w:ascii="Garamond" w:hAnsi="Garamond"/>
          <w:sz w:val="24"/>
          <w:szCs w:val="24"/>
        </w:rPr>
      </w:pPr>
      <w:r w:rsidRPr="0001780A">
        <w:rPr>
          <w:rFonts w:ascii="Garamond" w:hAnsi="Garamond"/>
          <w:sz w:val="24"/>
          <w:szCs w:val="24"/>
        </w:rPr>
        <w:t>While ethical consumption scholarship tends to reduce commodity boycotts to voting through the market, many ethical consumption organizations avoid referring to the practice of boycotting altogether. As a publicly known, and potentially unmanageable expression of political discontent, the commodity boycott is a bugbear of fair trade advocacy groups. Fair trade activists tend to refrain from linking their activism with boycotts because of the boycott's perceived ability to economically damage producers. The antagonistic politics of boycotting are framed as 'negative' and potentially unruly. Activist Bill Crowther's</w:t>
      </w:r>
      <w:r w:rsidRPr="0001780A">
        <w:rPr>
          <w:rStyle w:val="FootnoteReference"/>
          <w:rFonts w:ascii="Garamond" w:hAnsi="Garamond"/>
          <w:sz w:val="24"/>
          <w:szCs w:val="24"/>
        </w:rPr>
        <w:footnoteReference w:id="48"/>
      </w:r>
      <w:r w:rsidRPr="0001780A">
        <w:rPr>
          <w:rFonts w:ascii="Garamond" w:hAnsi="Garamond"/>
          <w:sz w:val="24"/>
          <w:szCs w:val="24"/>
        </w:rPr>
        <w:t xml:space="preserve"> description of the </w:t>
      </w:r>
      <w:r w:rsidR="00285EEC">
        <w:rPr>
          <w:rFonts w:ascii="Garamond" w:hAnsi="Garamond"/>
          <w:i/>
          <w:sz w:val="24"/>
          <w:szCs w:val="24"/>
        </w:rPr>
        <w:t>Fair</w:t>
      </w:r>
      <w:r w:rsidRPr="0001780A">
        <w:rPr>
          <w:rFonts w:ascii="Garamond" w:hAnsi="Garamond"/>
          <w:i/>
          <w:sz w:val="24"/>
          <w:szCs w:val="24"/>
        </w:rPr>
        <w:t>trade Foundation</w:t>
      </w:r>
      <w:r w:rsidRPr="0001780A">
        <w:rPr>
          <w:rFonts w:ascii="Garamond" w:hAnsi="Garamond"/>
          <w:sz w:val="24"/>
          <w:szCs w:val="24"/>
        </w:rPr>
        <w:t xml:space="preserve"> exemplifies this position:</w:t>
      </w:r>
    </w:p>
    <w:p w:rsidR="002D22FA" w:rsidRPr="0001780A" w:rsidRDefault="002D22FA" w:rsidP="002D22FA">
      <w:pPr>
        <w:autoSpaceDE w:val="0"/>
        <w:autoSpaceDN w:val="0"/>
        <w:adjustRightInd w:val="0"/>
        <w:spacing w:after="0" w:line="360" w:lineRule="auto"/>
        <w:jc w:val="both"/>
        <w:rPr>
          <w:rFonts w:ascii="Garamond" w:hAnsi="Garamond"/>
          <w:sz w:val="24"/>
        </w:rPr>
      </w:pPr>
    </w:p>
    <w:p w:rsidR="002D22FA" w:rsidRPr="00F44C33" w:rsidRDefault="002D22FA" w:rsidP="002D22FA">
      <w:pPr>
        <w:autoSpaceDE w:val="0"/>
        <w:autoSpaceDN w:val="0"/>
        <w:adjustRightInd w:val="0"/>
        <w:spacing w:after="0" w:line="360" w:lineRule="auto"/>
        <w:ind w:left="284" w:right="284"/>
        <w:jc w:val="both"/>
        <w:rPr>
          <w:rFonts w:ascii="Garamond" w:hAnsi="Garamond" w:cs="Bembo"/>
        </w:rPr>
      </w:pPr>
      <w:r w:rsidRPr="00F44C33">
        <w:rPr>
          <w:rFonts w:ascii="Garamond" w:hAnsi="Garamond" w:cs="Bembo"/>
        </w:rPr>
        <w:t xml:space="preserve">People see it as charity, but it is not, it is justice. We have to get rid of the charity way of thinking. I see Fair Trade as doing two things: one, it is helping people immediately and changing their lives; then, there is the bigger picture where it is a protest tool, a way of registering your vote. But now we are not boycotting something, we are supporting something positive. (Crowther, 2003 in Nicholls et al., 2005)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01780A" w:rsidRDefault="002D22FA" w:rsidP="002D22FA">
      <w:pPr>
        <w:autoSpaceDE w:val="0"/>
        <w:autoSpaceDN w:val="0"/>
        <w:adjustRightInd w:val="0"/>
        <w:spacing w:after="0" w:line="360" w:lineRule="auto"/>
        <w:jc w:val="both"/>
        <w:rPr>
          <w:rFonts w:ascii="Garamond" w:hAnsi="Garamond"/>
          <w:sz w:val="24"/>
          <w:szCs w:val="24"/>
        </w:rPr>
      </w:pPr>
      <w:r w:rsidRPr="0001780A">
        <w:rPr>
          <w:rFonts w:ascii="Garamond" w:hAnsi="Garamond"/>
          <w:sz w:val="24"/>
          <w:szCs w:val="24"/>
        </w:rPr>
        <w:lastRenderedPageBreak/>
        <w:t xml:space="preserve">Crowther suggests that Fair Trade is about achieving justice through the ethically responsible sovereign consumer. The antagonistic politics of boycotting are considered too negative and do not fit into fair trade attempts to cultivate 'something positive'.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01780A" w:rsidRDefault="002D22FA" w:rsidP="002D22FA">
      <w:pPr>
        <w:autoSpaceDE w:val="0"/>
        <w:autoSpaceDN w:val="0"/>
        <w:adjustRightInd w:val="0"/>
        <w:spacing w:after="0" w:line="360" w:lineRule="auto"/>
        <w:jc w:val="both"/>
        <w:rPr>
          <w:rFonts w:ascii="Garamond" w:hAnsi="Garamond"/>
          <w:sz w:val="24"/>
          <w:szCs w:val="24"/>
        </w:rPr>
      </w:pPr>
      <w:r w:rsidRPr="0001780A">
        <w:rPr>
          <w:rFonts w:ascii="Garamond" w:hAnsi="Garamond"/>
          <w:sz w:val="24"/>
          <w:szCs w:val="24"/>
        </w:rPr>
        <w:t xml:space="preserve">Despite the twin disassociation of boycotting from fair </w:t>
      </w:r>
      <w:r w:rsidR="00285EEC">
        <w:rPr>
          <w:rFonts w:ascii="Garamond" w:hAnsi="Garamond"/>
          <w:sz w:val="24"/>
          <w:szCs w:val="24"/>
        </w:rPr>
        <w:t xml:space="preserve">trade NGO practice and ethical </w:t>
      </w:r>
      <w:r w:rsidRPr="0001780A">
        <w:rPr>
          <w:rFonts w:ascii="Garamond" w:hAnsi="Garamond"/>
          <w:sz w:val="24"/>
          <w:szCs w:val="24"/>
        </w:rPr>
        <w:t xml:space="preserve">consumption scholarship, the commodity boycott remains integral to the ways ethical consumption is understood by consumers. In a 2004 survey by the Co-operative Group on 'Shopping With Attitude', sixty percent of 30,000 consumers claimed that they would "actively boycott unethical products" </w:t>
      </w:r>
      <w:r>
        <w:rPr>
          <w:rFonts w:ascii="Garamond" w:hAnsi="Garamond"/>
          <w:sz w:val="24"/>
          <w:szCs w:val="24"/>
        </w:rPr>
        <w:t>(Nicholls et</w:t>
      </w:r>
      <w:r w:rsidRPr="0001780A">
        <w:rPr>
          <w:rFonts w:ascii="Garamond" w:hAnsi="Garamond"/>
          <w:sz w:val="24"/>
          <w:szCs w:val="24"/>
        </w:rPr>
        <w:t xml:space="preserve"> al</w:t>
      </w:r>
      <w:r>
        <w:rPr>
          <w:rFonts w:ascii="Garamond" w:hAnsi="Garamond"/>
          <w:sz w:val="24"/>
          <w:szCs w:val="24"/>
        </w:rPr>
        <w:t>.</w:t>
      </w:r>
      <w:r w:rsidRPr="0001780A">
        <w:rPr>
          <w:rFonts w:ascii="Garamond" w:hAnsi="Garamond"/>
          <w:sz w:val="24"/>
          <w:szCs w:val="24"/>
        </w:rPr>
        <w:t>, 2005: 183). The prac</w:t>
      </w:r>
      <w:r w:rsidR="00285EEC">
        <w:rPr>
          <w:rFonts w:ascii="Garamond" w:hAnsi="Garamond"/>
          <w:sz w:val="24"/>
          <w:szCs w:val="24"/>
        </w:rPr>
        <w:t xml:space="preserve">tices of buying fair trade </w:t>
      </w:r>
      <w:r w:rsidRPr="0001780A">
        <w:rPr>
          <w:rFonts w:ascii="Garamond" w:hAnsi="Garamond"/>
          <w:sz w:val="24"/>
          <w:szCs w:val="24"/>
        </w:rPr>
        <w:t>could equally be conceived as a form of boycott; as 'procotting' (Smith, 1990) or 'buycotting' (</w:t>
      </w:r>
      <w:r>
        <w:rPr>
          <w:rFonts w:ascii="Garamond" w:hAnsi="Garamond"/>
          <w:sz w:val="24"/>
          <w:szCs w:val="24"/>
        </w:rPr>
        <w:t>Friedman, 1999; Micheletti, 2003</w:t>
      </w:r>
      <w:r w:rsidRPr="0001780A">
        <w:rPr>
          <w:rFonts w:ascii="Garamond" w:hAnsi="Garamond"/>
          <w:sz w:val="24"/>
          <w:szCs w:val="24"/>
        </w:rPr>
        <w:t>). The boycott of Israeli goods is at the centre of the tra</w:t>
      </w:r>
      <w:r w:rsidR="00AE09DA">
        <w:rPr>
          <w:rFonts w:ascii="Garamond" w:hAnsi="Garamond"/>
          <w:sz w:val="24"/>
          <w:szCs w:val="24"/>
        </w:rPr>
        <w:t>nsnational BDS campaign (Jevtic, 2014</w:t>
      </w:r>
      <w:r w:rsidRPr="0001780A">
        <w:rPr>
          <w:rFonts w:ascii="Garamond" w:hAnsi="Garamond"/>
          <w:sz w:val="24"/>
          <w:szCs w:val="24"/>
        </w:rPr>
        <w:t xml:space="preserve"> forthcoming), and in the summer of 2013 a transatlantic commodity boycott of Russian vodka was practiced in solidarity with Russia's opp</w:t>
      </w:r>
      <w:r w:rsidR="00285EEC">
        <w:rPr>
          <w:rFonts w:ascii="Garamond" w:hAnsi="Garamond"/>
          <w:sz w:val="24"/>
          <w:szCs w:val="24"/>
        </w:rPr>
        <w:t>ressed lesbian and gay communities</w:t>
      </w:r>
      <w:r w:rsidRPr="0001780A">
        <w:rPr>
          <w:rFonts w:ascii="Garamond" w:hAnsi="Garamond"/>
          <w:sz w:val="24"/>
          <w:szCs w:val="24"/>
        </w:rPr>
        <w:t xml:space="preserve">. Across both these examples the commodity boycott is practiced as a conduit for transnational forms of solidarity. </w:t>
      </w:r>
    </w:p>
    <w:p w:rsidR="002D22FA" w:rsidRPr="0001780A" w:rsidRDefault="002D22FA" w:rsidP="002D22FA">
      <w:pPr>
        <w:autoSpaceDE w:val="0"/>
        <w:autoSpaceDN w:val="0"/>
        <w:adjustRightInd w:val="0"/>
        <w:spacing w:after="0" w:line="360" w:lineRule="auto"/>
        <w:jc w:val="both"/>
        <w:rPr>
          <w:rFonts w:ascii="Garamond" w:hAnsi="Garamond"/>
          <w:sz w:val="24"/>
          <w:szCs w:val="24"/>
        </w:rPr>
      </w:pPr>
    </w:p>
    <w:p w:rsidR="002D22FA" w:rsidRPr="0001780A" w:rsidRDefault="002D22FA" w:rsidP="002D22FA">
      <w:pPr>
        <w:autoSpaceDE w:val="0"/>
        <w:autoSpaceDN w:val="0"/>
        <w:adjustRightInd w:val="0"/>
        <w:spacing w:after="0" w:line="360" w:lineRule="auto"/>
        <w:jc w:val="both"/>
        <w:rPr>
          <w:rFonts w:ascii="Garamond" w:hAnsi="Garamond"/>
          <w:sz w:val="24"/>
          <w:szCs w:val="24"/>
        </w:rPr>
      </w:pPr>
      <w:r w:rsidRPr="0001780A">
        <w:rPr>
          <w:rFonts w:ascii="Garamond" w:hAnsi="Garamond"/>
          <w:sz w:val="24"/>
          <w:szCs w:val="24"/>
        </w:rPr>
        <w:t>The difference between ethical consumption and commodity boycotts has been theoriz</w:t>
      </w:r>
      <w:r>
        <w:rPr>
          <w:rFonts w:ascii="Garamond" w:hAnsi="Garamond"/>
          <w:sz w:val="24"/>
          <w:szCs w:val="24"/>
        </w:rPr>
        <w:t>ed by sociologist Emile Guly</w:t>
      </w:r>
      <w:r w:rsidRPr="0001780A">
        <w:rPr>
          <w:rFonts w:ascii="Garamond" w:hAnsi="Garamond"/>
          <w:sz w:val="24"/>
          <w:szCs w:val="24"/>
        </w:rPr>
        <w:t xml:space="preserve">as (2008) as a distinction based on scale and diversity. For Gulyas, boycotters are usually engaged in a relationship with a single economic agent (usually a producer or state), whereas fair trade forms of non-consumption reflect a dissatisfaction on a more global scale with the environmental and social issues of consumption. Gulyas makes a similar distinction between positive buycotts and fair trade shopping where the buycott is limited to a single product and issue, and fair trade is more pluralistic in both its motivations and target commodities. However, using scale and diversity to delineate between boycotts and fair trade non-consumption is problematic. Firstly, boycotter motivations are often varied and can equally reflect global concerns over environmentalism or more individualized concerns over status and identity. In </w:t>
      </w:r>
      <w:r w:rsidRPr="0001780A">
        <w:rPr>
          <w:rFonts w:ascii="Garamond" w:hAnsi="Garamond"/>
          <w:i/>
          <w:iCs/>
          <w:sz w:val="24"/>
          <w:szCs w:val="24"/>
        </w:rPr>
        <w:t>Morality and the Market</w:t>
      </w:r>
      <w:r w:rsidRPr="0001780A">
        <w:rPr>
          <w:rFonts w:ascii="Garamond" w:hAnsi="Garamond"/>
          <w:sz w:val="24"/>
          <w:szCs w:val="24"/>
        </w:rPr>
        <w:t xml:space="preserve">, Craig Smith (1990) argues that boycotts as forms of ostracism are always acts of explicit or implicit morality. Commodity boycotts are not just the “negative avoidance of a product but the embracing of a more appropriate subculture or alternative society” (ibid.: 1990: 141). Secondly, although boycotters may only target one brand of a particular commodity for a set period of time (e.g. Esso), it is quite common for people to respond by boycotting multiple brands of the same commodity (Shell, Exxon) for a unspecified period of time (Friedman, 1999). </w:t>
      </w:r>
    </w:p>
    <w:p w:rsidR="002D22FA" w:rsidRPr="0001780A" w:rsidRDefault="002D22FA" w:rsidP="002D22FA">
      <w:pPr>
        <w:tabs>
          <w:tab w:val="left" w:pos="9025"/>
        </w:tabs>
        <w:spacing w:after="0" w:line="360" w:lineRule="auto"/>
        <w:ind w:right="-45"/>
        <w:jc w:val="both"/>
        <w:rPr>
          <w:rFonts w:ascii="Garamond" w:hAnsi="Garamond"/>
          <w:sz w:val="24"/>
          <w:szCs w:val="24"/>
        </w:rPr>
      </w:pPr>
    </w:p>
    <w:p w:rsidR="002D22FA" w:rsidRPr="0001780A" w:rsidRDefault="002D22FA" w:rsidP="002D22FA">
      <w:pPr>
        <w:spacing w:after="0" w:line="360" w:lineRule="auto"/>
        <w:ind w:right="-45"/>
        <w:jc w:val="both"/>
        <w:rPr>
          <w:rFonts w:ascii="Garamond" w:hAnsi="Garamond"/>
          <w:iCs/>
          <w:sz w:val="24"/>
          <w:szCs w:val="24"/>
        </w:rPr>
      </w:pPr>
      <w:r w:rsidRPr="0001780A">
        <w:rPr>
          <w:rFonts w:ascii="Garamond" w:hAnsi="Garamond"/>
          <w:sz w:val="24"/>
          <w:szCs w:val="24"/>
        </w:rPr>
        <w:lastRenderedPageBreak/>
        <w:t>My argument is that commodity boycotts and fair trade forms of non-consumption are better divided through reference to the politics of activism (working to reform policy and practice from the outside) and advocacy (working to reform practices from the inside and outside) respectively. But this too is problematic. All sorts of organizations engage in activism: a</w:t>
      </w:r>
      <w:r w:rsidRPr="0001780A">
        <w:rPr>
          <w:rFonts w:ascii="Garamond" w:hAnsi="Garamond"/>
          <w:iCs/>
          <w:sz w:val="24"/>
          <w:szCs w:val="24"/>
        </w:rPr>
        <w:t>dvocacy groups who both work with and challenge elites, consumer groups and voluntary food labelling schemes, urban farming collectives, art collectives, independence movements, environmental groups</w:t>
      </w:r>
      <w:r w:rsidR="00285EEC">
        <w:rPr>
          <w:rFonts w:ascii="Garamond" w:hAnsi="Garamond"/>
          <w:iCs/>
          <w:sz w:val="24"/>
          <w:szCs w:val="24"/>
        </w:rPr>
        <w:t>,</w:t>
      </w:r>
      <w:r w:rsidRPr="0001780A">
        <w:rPr>
          <w:rFonts w:ascii="Garamond" w:hAnsi="Garamond"/>
          <w:iCs/>
          <w:sz w:val="24"/>
          <w:szCs w:val="24"/>
        </w:rPr>
        <w:t xml:space="preserve"> etc.</w:t>
      </w:r>
      <w:r w:rsidRPr="0001780A">
        <w:rPr>
          <w:rFonts w:ascii="Garamond" w:hAnsi="Garamond"/>
          <w:sz w:val="24"/>
          <w:szCs w:val="24"/>
        </w:rPr>
        <w:t xml:space="preserve"> For the purpose of this thesis this question of differentiation is only interesting in the sense that the two descriptors offer divergent framing devices and political opportunities to activists. Across the thesis, </w:t>
      </w:r>
      <w:r w:rsidRPr="0001780A">
        <w:rPr>
          <w:rFonts w:ascii="Garamond" w:hAnsi="Garamond"/>
          <w:iCs/>
          <w:sz w:val="24"/>
          <w:szCs w:val="24"/>
        </w:rPr>
        <w:t xml:space="preserve">activism and advocacy, commodity boycotts and ethical consumption, are approached as politically charged labels that always require situating in broader political agendas. In their application, these labels often reveal more about external political and social agendas than the moral imperative of the activism itself. To borrow from a suggestion made in Goodman's (2013) review of </w:t>
      </w:r>
      <w:r w:rsidRPr="0001780A">
        <w:rPr>
          <w:rFonts w:ascii="Garamond" w:hAnsi="Garamond"/>
          <w:i/>
          <w:iCs/>
          <w:sz w:val="24"/>
          <w:szCs w:val="24"/>
        </w:rPr>
        <w:t xml:space="preserve">Globalizing Responsibility, </w:t>
      </w:r>
      <w:r w:rsidRPr="0001780A">
        <w:rPr>
          <w:rFonts w:ascii="Garamond" w:hAnsi="Garamond"/>
          <w:iCs/>
          <w:sz w:val="24"/>
          <w:szCs w:val="24"/>
        </w:rPr>
        <w:t>in relation to activist campaigns "the ethics of the ethics of problematization" need investigating: "when and in what ways does something become a problem?" (2013: 257). This resonates with David Featherstone's (2003) approach to understanding the politics of activism through</w:t>
      </w:r>
      <w:r w:rsidR="00B97E85">
        <w:rPr>
          <w:rFonts w:ascii="Garamond" w:hAnsi="Garamond"/>
          <w:iCs/>
          <w:sz w:val="24"/>
          <w:szCs w:val="24"/>
        </w:rPr>
        <w:t xml:space="preserve"> outlining 'maps of grievances'. A</w:t>
      </w:r>
      <w:r w:rsidRPr="0001780A">
        <w:rPr>
          <w:rFonts w:ascii="Garamond" w:hAnsi="Garamond"/>
          <w:iCs/>
          <w:sz w:val="24"/>
          <w:szCs w:val="24"/>
        </w:rPr>
        <w:t xml:space="preserve">cross </w:t>
      </w:r>
      <w:r>
        <w:rPr>
          <w:rFonts w:ascii="Garamond" w:hAnsi="Garamond"/>
          <w:iCs/>
          <w:sz w:val="24"/>
          <w:szCs w:val="24"/>
        </w:rPr>
        <w:t>Chapter Five and Chapter Seven</w:t>
      </w:r>
      <w:r w:rsidRPr="0001780A">
        <w:rPr>
          <w:rFonts w:ascii="Garamond" w:hAnsi="Garamond"/>
          <w:iCs/>
          <w:sz w:val="24"/>
          <w:szCs w:val="24"/>
        </w:rPr>
        <w:t xml:space="preserve"> I demo</w:t>
      </w:r>
      <w:r w:rsidR="00285EEC">
        <w:rPr>
          <w:rFonts w:ascii="Garamond" w:hAnsi="Garamond"/>
          <w:iCs/>
          <w:sz w:val="24"/>
          <w:szCs w:val="24"/>
        </w:rPr>
        <w:t xml:space="preserve">nstrate that the different ways </w:t>
      </w:r>
      <w:r w:rsidRPr="0001780A">
        <w:rPr>
          <w:rFonts w:ascii="Garamond" w:hAnsi="Garamond"/>
          <w:iCs/>
          <w:sz w:val="24"/>
          <w:szCs w:val="24"/>
        </w:rPr>
        <w:t>anti-apartheid and anti-trafficking are conceived are productive of distinctive solidarities and antagonisms.</w:t>
      </w:r>
    </w:p>
    <w:p w:rsidR="002D22FA" w:rsidRPr="0001780A" w:rsidRDefault="002D22FA" w:rsidP="002D22FA">
      <w:pPr>
        <w:spacing w:after="0" w:line="360" w:lineRule="auto"/>
        <w:ind w:right="-45"/>
        <w:jc w:val="both"/>
        <w:rPr>
          <w:rFonts w:ascii="Garamond" w:hAnsi="Garamond"/>
          <w:i/>
          <w:sz w:val="24"/>
          <w:szCs w:val="24"/>
        </w:rPr>
      </w:pPr>
    </w:p>
    <w:p w:rsidR="002D22FA" w:rsidRPr="00F44C33" w:rsidRDefault="002D22FA" w:rsidP="002D22FA">
      <w:pPr>
        <w:pStyle w:val="Heading2"/>
      </w:pPr>
      <w:bookmarkStart w:id="277" w:name="_Toc244453630"/>
      <w:bookmarkStart w:id="278" w:name="_Toc244454147"/>
      <w:bookmarkStart w:id="279" w:name="_Toc244469594"/>
      <w:bookmarkStart w:id="280" w:name="_Toc244508050"/>
      <w:bookmarkStart w:id="281" w:name="_Toc244535744"/>
      <w:bookmarkStart w:id="282" w:name="_Toc244578376"/>
      <w:bookmarkStart w:id="283" w:name="_Toc244578760"/>
      <w:bookmarkStart w:id="284" w:name="_Toc263452010"/>
      <w:bookmarkStart w:id="285" w:name="_Toc263510928"/>
      <w:r w:rsidRPr="00F44C33">
        <w:t>Four: Boycott types and practices</w:t>
      </w:r>
      <w:bookmarkEnd w:id="277"/>
      <w:bookmarkEnd w:id="278"/>
      <w:bookmarkEnd w:id="279"/>
      <w:bookmarkEnd w:id="280"/>
      <w:bookmarkEnd w:id="281"/>
      <w:bookmarkEnd w:id="282"/>
      <w:bookmarkEnd w:id="283"/>
      <w:bookmarkEnd w:id="284"/>
      <w:bookmarkEnd w:id="285"/>
    </w:p>
    <w:p w:rsidR="002D22FA" w:rsidRPr="0001780A" w:rsidRDefault="002D22FA" w:rsidP="002D22FA">
      <w:pPr>
        <w:spacing w:after="0" w:line="360" w:lineRule="auto"/>
        <w:ind w:right="-45"/>
        <w:jc w:val="both"/>
        <w:rPr>
          <w:rFonts w:ascii="Garamond" w:hAnsi="Garamond"/>
          <w:b/>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Commodity boycotts, according to James Jasper are the "mildest strategy of moral protest" </w:t>
      </w:r>
      <w:r w:rsidRPr="0001780A">
        <w:rPr>
          <w:rFonts w:ascii="Garamond" w:hAnsi="Garamond" w:cs="Times New Roman"/>
          <w:sz w:val="24"/>
          <w:szCs w:val="24"/>
        </w:rPr>
        <w:t>(1997: 265).</w:t>
      </w:r>
      <w:r w:rsidR="00B97E85">
        <w:rPr>
          <w:rFonts w:ascii="Garamond" w:hAnsi="Garamond"/>
          <w:sz w:val="24"/>
          <w:szCs w:val="24"/>
        </w:rPr>
        <w:t xml:space="preserve"> Jasper adds that </w:t>
      </w:r>
      <w:r w:rsidR="00B97E85" w:rsidRPr="00B97E85">
        <w:rPr>
          <w:rFonts w:ascii="Garamond" w:hAnsi="Garamond"/>
          <w:sz w:val="24"/>
          <w:szCs w:val="24"/>
        </w:rPr>
        <w:t>"</w:t>
      </w:r>
      <w:r w:rsidRPr="0001780A">
        <w:rPr>
          <w:rStyle w:val="Emphasis"/>
          <w:rFonts w:ascii="Garamond" w:hAnsi="Garamond"/>
          <w:i w:val="0"/>
          <w:sz w:val="24"/>
          <w:szCs w:val="24"/>
        </w:rPr>
        <w:t>what is unusual is that campaigns are usually called boycotts even when boycotting is only one tactic among many</w:t>
      </w:r>
      <w:r w:rsidRPr="00B97E85">
        <w:rPr>
          <w:rStyle w:val="Emphasis"/>
          <w:rFonts w:ascii="Garamond" w:hAnsi="Garamond"/>
          <w:i w:val="0"/>
          <w:sz w:val="24"/>
          <w:szCs w:val="24"/>
        </w:rPr>
        <w:t>"</w:t>
      </w:r>
      <w:r w:rsidRPr="0001780A">
        <w:rPr>
          <w:rStyle w:val="Emphasis"/>
          <w:rFonts w:ascii="Garamond" w:hAnsi="Garamond"/>
          <w:i w:val="0"/>
          <w:sz w:val="24"/>
          <w:szCs w:val="24"/>
        </w:rPr>
        <w:t xml:space="preserve"> (1997: 263)</w:t>
      </w:r>
      <w:r w:rsidRPr="0001780A">
        <w:rPr>
          <w:rStyle w:val="Emphasis"/>
          <w:rFonts w:ascii="Garamond" w:hAnsi="Garamond"/>
          <w:sz w:val="24"/>
          <w:szCs w:val="24"/>
        </w:rPr>
        <w:t xml:space="preserve">. </w:t>
      </w:r>
      <w:r w:rsidRPr="0001780A">
        <w:rPr>
          <w:rFonts w:ascii="Garamond" w:hAnsi="Garamond"/>
          <w:sz w:val="24"/>
          <w:szCs w:val="24"/>
        </w:rPr>
        <w:t>In other words, the term boycott is commonly used broadly to describe a collection of different activisms. Jasper describes these other activisms as '</w:t>
      </w:r>
      <w:r w:rsidRPr="0001780A">
        <w:rPr>
          <w:rStyle w:val="Emphasis"/>
          <w:rFonts w:ascii="Garamond" w:hAnsi="Garamond"/>
          <w:i w:val="0"/>
          <w:sz w:val="24"/>
          <w:szCs w:val="24"/>
        </w:rPr>
        <w:t>companion tactics'</w:t>
      </w:r>
      <w:r w:rsidRPr="0001780A">
        <w:rPr>
          <w:rFonts w:ascii="Garamond" w:hAnsi="Garamond"/>
          <w:i/>
          <w:sz w:val="24"/>
          <w:szCs w:val="24"/>
        </w:rPr>
        <w:t>.</w:t>
      </w:r>
      <w:r w:rsidRPr="0001780A">
        <w:rPr>
          <w:rFonts w:ascii="Garamond" w:hAnsi="Garamond"/>
          <w:sz w:val="24"/>
          <w:szCs w:val="24"/>
        </w:rPr>
        <w:t xml:space="preserve"> For Jasper, boycott companion tactics are essential to the formation of a successful movement; tactics give boycotts a voice and create places or activities for boycotters to congregate. Accompanying tactics range from pickets, letter writing and protests, to congresses and media involvement. These, and many other activities become part of the formation of a collective boycotting identity:</w:t>
      </w:r>
    </w:p>
    <w:p w:rsidR="002D22FA" w:rsidRPr="0001780A" w:rsidRDefault="002D22FA" w:rsidP="002D22FA">
      <w:pPr>
        <w:spacing w:after="0" w:line="360" w:lineRule="auto"/>
        <w:jc w:val="both"/>
        <w:rPr>
          <w:rFonts w:ascii="Garamond" w:hAnsi="Garamond"/>
          <w:sz w:val="24"/>
          <w:szCs w:val="24"/>
        </w:rPr>
      </w:pPr>
    </w:p>
    <w:p w:rsidR="002D22FA" w:rsidRPr="00F44C33" w:rsidRDefault="002D22FA" w:rsidP="002D22FA">
      <w:pPr>
        <w:spacing w:after="0" w:line="360" w:lineRule="auto"/>
        <w:ind w:left="284" w:right="284"/>
        <w:jc w:val="both"/>
        <w:rPr>
          <w:rFonts w:ascii="Garamond" w:hAnsi="Garamond"/>
        </w:rPr>
      </w:pPr>
      <w:r w:rsidRPr="00F44C33">
        <w:rPr>
          <w:rFonts w:ascii="Garamond" w:hAnsi="Garamond"/>
        </w:rPr>
        <w:lastRenderedPageBreak/>
        <w:t>Companion tactics have two functions: to maintain moral outrage and give it a voice, and to bring media attention and bad publicity to the targets. The former is crucial to moral protest movements; the latter is sufficient for bureaucratic interest groups without memberships. There are different audiences for the two kinds of actions. One or the other, if not both, are necessary for boycotts to succeed. It is the companion tactics that give protestors something positive to do, in addition to the negative refusal of a purchase; participants can articulate and express their moral visions. In liberal democracies, most protest movements need not rely on weapons of the weak, and normally favor stronger stuff; marches and site occupations, civil disobedience and sabotage. (Jasper, 1997: 259)</w:t>
      </w:r>
    </w:p>
    <w:p w:rsidR="002D22FA" w:rsidRPr="0001780A" w:rsidRDefault="002D22FA" w:rsidP="002D22FA">
      <w:pPr>
        <w:spacing w:after="0" w:line="360" w:lineRule="auto"/>
        <w:jc w:val="both"/>
        <w:rPr>
          <w:rFonts w:ascii="Garamond" w:eastAsia="Times New Roman" w:hAnsi="Garamond" w:cs="Times New Roman"/>
          <w:sz w:val="24"/>
          <w:lang w:eastAsia="en-GB"/>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cs="Times New Roman"/>
          <w:sz w:val="24"/>
          <w:szCs w:val="24"/>
        </w:rPr>
        <w:t xml:space="preserve">While the desire to pull the economic mechanism of the boycott apart from the means and tactics used to publicize it is understandable, this rather instrumental separation of the economic and cultural components of a commodity boycott is misleading. The commodity boycott as activism incorporates the </w:t>
      </w:r>
      <w:r w:rsidRPr="0001780A">
        <w:rPr>
          <w:rFonts w:ascii="Garamond" w:hAnsi="Garamond" w:cs="Times New Roman"/>
          <w:sz w:val="24"/>
        </w:rPr>
        <w:t xml:space="preserve">purpose, intent and threat to act on social or political issues. The publicity for the boycott, the use of various media and platforms for persuasion by boycott activists cannot be separated from the withdrawal of purchase because these actions comprise the boycott in practice. A commodity boycott that is threatened and does not implement a withdrawal of purchase is still a commodity boycott because it exerts pressure on an egregious actor (Laidler, 1913; Smith, 1990; Friedman, 1999). </w:t>
      </w:r>
      <w:r w:rsidRPr="0001780A">
        <w:rPr>
          <w:rFonts w:ascii="Garamond" w:hAnsi="Garamond"/>
          <w:sz w:val="24"/>
          <w:szCs w:val="24"/>
        </w:rPr>
        <w:t xml:space="preserve">The boycott as a form of pressure politics has several types and scales of action. In </w:t>
      </w:r>
      <w:r w:rsidRPr="0001780A">
        <w:rPr>
          <w:rFonts w:ascii="Garamond" w:hAnsi="Garamond" w:cs="Times New Roman"/>
          <w:i/>
          <w:iCs/>
          <w:sz w:val="24"/>
          <w:szCs w:val="24"/>
        </w:rPr>
        <w:t>Morality and the Market,</w:t>
      </w:r>
      <w:r w:rsidRPr="0001780A">
        <w:rPr>
          <w:rFonts w:ascii="Garamond" w:hAnsi="Garamond"/>
          <w:sz w:val="24"/>
          <w:szCs w:val="24"/>
        </w:rPr>
        <w:t xml:space="preserve"> Smith (1990) suggests that there are six forms of commodity boycott: primary, secondary, compound, positive, negative and international sanctions. Let me outline these in turn.</w:t>
      </w:r>
    </w:p>
    <w:p w:rsidR="002D22FA" w:rsidRPr="0001780A" w:rsidRDefault="002D22FA" w:rsidP="002D22FA">
      <w:pPr>
        <w:spacing w:after="0" w:line="360" w:lineRule="auto"/>
        <w:ind w:right="-45"/>
        <w:jc w:val="both"/>
        <w:rPr>
          <w:rFonts w:ascii="Garamond" w:hAnsi="Garamond"/>
          <w:sz w:val="24"/>
          <w:szCs w:val="24"/>
        </w:rPr>
      </w:pPr>
    </w:p>
    <w:p w:rsidR="002D22FA" w:rsidRPr="00C93102" w:rsidRDefault="002D22FA" w:rsidP="002D22FA">
      <w:pPr>
        <w:spacing w:after="0" w:line="360" w:lineRule="auto"/>
        <w:ind w:right="-45"/>
        <w:jc w:val="both"/>
        <w:rPr>
          <w:rFonts w:ascii="Garamond" w:hAnsi="Garamond"/>
          <w:b/>
          <w:i/>
          <w:szCs w:val="24"/>
        </w:rPr>
      </w:pPr>
      <w:r w:rsidRPr="00C93102">
        <w:rPr>
          <w:rFonts w:ascii="Garamond" w:hAnsi="Garamond"/>
          <w:b/>
          <w:i/>
          <w:szCs w:val="24"/>
        </w:rPr>
        <w:t>Primary boycotts and labour activisms</w:t>
      </w:r>
    </w:p>
    <w:p w:rsidR="002D22FA" w:rsidRPr="0001780A" w:rsidRDefault="002D22FA" w:rsidP="002D22FA">
      <w:pPr>
        <w:spacing w:after="0" w:line="360" w:lineRule="auto"/>
        <w:ind w:right="-45"/>
        <w:jc w:val="both"/>
        <w:rPr>
          <w:rFonts w:ascii="Garamond" w:hAnsi="Garamond"/>
          <w:i/>
          <w:sz w:val="24"/>
          <w:szCs w:val="24"/>
        </w:rPr>
      </w:pPr>
    </w:p>
    <w:p w:rsidR="002D22FA" w:rsidRPr="0001780A" w:rsidRDefault="002D22FA" w:rsidP="002D22FA">
      <w:pPr>
        <w:spacing w:after="0" w:line="360" w:lineRule="auto"/>
        <w:ind w:right="-45"/>
        <w:jc w:val="both"/>
        <w:rPr>
          <w:rFonts w:ascii="Garamond" w:hAnsi="Garamond"/>
          <w:sz w:val="24"/>
          <w:szCs w:val="24"/>
        </w:rPr>
      </w:pPr>
      <w:r w:rsidRPr="0001780A">
        <w:rPr>
          <w:rFonts w:ascii="Garamond" w:hAnsi="Garamond"/>
          <w:sz w:val="24"/>
          <w:szCs w:val="24"/>
        </w:rPr>
        <w:t>Through a synthesis of Laidler’s (1913) and Wolman’s (1914) research on labour boycotts in America, Smith</w:t>
      </w:r>
      <w:r>
        <w:rPr>
          <w:rFonts w:ascii="Garamond" w:hAnsi="Garamond"/>
          <w:sz w:val="24"/>
          <w:szCs w:val="24"/>
        </w:rPr>
        <w:t xml:space="preserve"> (1990)</w:t>
      </w:r>
      <w:r w:rsidRPr="0001780A">
        <w:rPr>
          <w:rFonts w:ascii="Garamond" w:hAnsi="Garamond"/>
          <w:sz w:val="24"/>
          <w:szCs w:val="24"/>
        </w:rPr>
        <w:t xml:space="preserve"> states that the primary boycott is the direct withdrawal of dealings with a company by the people directly affected by its egregious actions. As a direct and simple action between a disaffected labour force who suspend the purchasing of commodities from the perceived aggressor (usually their employers), the primary boycott has no involvement in persuading third parties to join the cause, and is often used in conjunction with labour strikes. At the start of the twentieth century the primary boycott was a common tactic that strengthened the unionization of America’s labour force (Smith, 1990; Trentmann, 2004). Between the 1930s and 1970s, primary boycotts were used in the USA by black employees of white companies to campaign for better </w:t>
      </w:r>
      <w:r w:rsidRPr="0001780A">
        <w:rPr>
          <w:rFonts w:ascii="Garamond" w:hAnsi="Garamond"/>
          <w:sz w:val="24"/>
          <w:szCs w:val="24"/>
        </w:rPr>
        <w:lastRenderedPageBreak/>
        <w:t>working conditions and wages (Hilton, 2003). They were also a common tactic used by black workers against white capitalism in South Africa in the 1970s and 1980s</w:t>
      </w:r>
      <w:r>
        <w:rPr>
          <w:rFonts w:ascii="Garamond" w:hAnsi="Garamond"/>
          <w:sz w:val="24"/>
          <w:szCs w:val="24"/>
        </w:rPr>
        <w:t xml:space="preserve"> (Carson, 2011</w:t>
      </w:r>
      <w:r w:rsidRPr="0001780A">
        <w:rPr>
          <w:rFonts w:ascii="Garamond" w:hAnsi="Garamond"/>
          <w:sz w:val="24"/>
          <w:szCs w:val="24"/>
        </w:rPr>
        <w:t>).</w:t>
      </w:r>
    </w:p>
    <w:p w:rsidR="002D22FA" w:rsidRDefault="002D22FA" w:rsidP="002D22FA">
      <w:pPr>
        <w:spacing w:after="0" w:line="360" w:lineRule="auto"/>
        <w:ind w:right="-45"/>
        <w:jc w:val="both"/>
        <w:rPr>
          <w:rFonts w:ascii="Garamond" w:hAnsi="Garamond"/>
          <w:i/>
          <w:sz w:val="24"/>
          <w:szCs w:val="24"/>
        </w:rPr>
      </w:pPr>
    </w:p>
    <w:p w:rsidR="002D22FA" w:rsidRPr="00C93102" w:rsidRDefault="002D22FA" w:rsidP="002D22FA">
      <w:pPr>
        <w:spacing w:after="0" w:line="360" w:lineRule="auto"/>
        <w:ind w:right="-45"/>
        <w:jc w:val="both"/>
        <w:rPr>
          <w:rFonts w:ascii="Garamond" w:hAnsi="Garamond"/>
          <w:b/>
          <w:i/>
          <w:szCs w:val="24"/>
        </w:rPr>
      </w:pPr>
      <w:r w:rsidRPr="00C93102">
        <w:rPr>
          <w:rFonts w:ascii="Garamond" w:hAnsi="Garamond"/>
          <w:b/>
          <w:i/>
          <w:szCs w:val="24"/>
        </w:rPr>
        <w:t>Wi</w:t>
      </w:r>
      <w:r w:rsidR="00AE09DA">
        <w:rPr>
          <w:rFonts w:ascii="Garamond" w:hAnsi="Garamond"/>
          <w:b/>
          <w:i/>
          <w:szCs w:val="24"/>
        </w:rPr>
        <w:t xml:space="preserve">tness, persuasion, and secondary and </w:t>
      </w:r>
      <w:r w:rsidRPr="00C93102">
        <w:rPr>
          <w:rFonts w:ascii="Garamond" w:hAnsi="Garamond"/>
          <w:b/>
          <w:i/>
          <w:szCs w:val="24"/>
        </w:rPr>
        <w:t>tertiary boycotts</w:t>
      </w:r>
    </w:p>
    <w:p w:rsidR="002D22FA" w:rsidRPr="0001780A" w:rsidRDefault="002D22FA" w:rsidP="002D22FA">
      <w:pPr>
        <w:spacing w:after="0" w:line="360" w:lineRule="auto"/>
        <w:ind w:right="-45"/>
        <w:jc w:val="both"/>
        <w:rPr>
          <w:rFonts w:ascii="Garamond" w:hAnsi="Garamond"/>
          <w:i/>
          <w:sz w:val="24"/>
          <w:szCs w:val="24"/>
        </w:rPr>
      </w:pPr>
    </w:p>
    <w:p w:rsidR="002D22FA" w:rsidRPr="0001780A" w:rsidRDefault="002D22FA" w:rsidP="002D22FA">
      <w:pPr>
        <w:tabs>
          <w:tab w:val="left" w:pos="9025"/>
        </w:tabs>
        <w:spacing w:after="0" w:line="360" w:lineRule="auto"/>
        <w:ind w:right="-45"/>
        <w:jc w:val="both"/>
        <w:rPr>
          <w:rFonts w:ascii="Garamond" w:hAnsi="Garamond"/>
          <w:sz w:val="24"/>
          <w:szCs w:val="24"/>
        </w:rPr>
      </w:pPr>
      <w:r w:rsidRPr="0001780A">
        <w:rPr>
          <w:rFonts w:ascii="Garamond" w:hAnsi="Garamond"/>
          <w:sz w:val="24"/>
          <w:szCs w:val="24"/>
        </w:rPr>
        <w:t xml:space="preserve">Secondary boycotts attempt to draw wider support for the cause. To broaden the boycott, a “combination of workmen </w:t>
      </w:r>
      <w:r w:rsidRPr="0001780A">
        <w:rPr>
          <w:rFonts w:ascii="Garamond" w:hAnsi="Garamond"/>
          <w:i/>
          <w:iCs/>
          <w:sz w:val="24"/>
          <w:szCs w:val="24"/>
        </w:rPr>
        <w:t>induce</w:t>
      </w:r>
      <w:r w:rsidRPr="0001780A">
        <w:rPr>
          <w:rFonts w:ascii="Garamond" w:hAnsi="Garamond"/>
          <w:sz w:val="24"/>
          <w:szCs w:val="24"/>
        </w:rPr>
        <w:t xml:space="preserve"> or </w:t>
      </w:r>
      <w:r w:rsidRPr="0001780A">
        <w:rPr>
          <w:rFonts w:ascii="Garamond" w:hAnsi="Garamond"/>
          <w:i/>
          <w:iCs/>
          <w:sz w:val="24"/>
          <w:szCs w:val="24"/>
        </w:rPr>
        <w:t>persuade</w:t>
      </w:r>
      <w:r w:rsidRPr="0001780A">
        <w:rPr>
          <w:rFonts w:ascii="Garamond" w:hAnsi="Garamond"/>
          <w:sz w:val="24"/>
          <w:szCs w:val="24"/>
        </w:rPr>
        <w:t xml:space="preserve"> third parties to cease business relations with whom there is a grievance” (Laidler, 1913: 64 in Smith, 1990: 148,</w:t>
      </w:r>
      <w:r w:rsidR="00C70D6B">
        <w:rPr>
          <w:rFonts w:ascii="Garamond" w:hAnsi="Garamond"/>
          <w:iCs/>
          <w:sz w:val="24"/>
          <w:szCs w:val="24"/>
        </w:rPr>
        <w:t xml:space="preserve"> my emphasis)</w:t>
      </w:r>
      <w:r w:rsidRPr="0001780A">
        <w:rPr>
          <w:rFonts w:ascii="Garamond" w:hAnsi="Garamond"/>
          <w:sz w:val="24"/>
          <w:szCs w:val="24"/>
        </w:rPr>
        <w:t>. A secondary boycott requires witnesses, and to succeed the boycotters must persuade the witnesses that their cause is worthy. These witnesses then convey and perform the sufferings of the aggrieved party to audiences who are themselves unable or unwilling to witness the suffering.</w:t>
      </w:r>
      <w:r w:rsidRPr="0001780A">
        <w:rPr>
          <w:rFonts w:ascii="Garamond" w:hAnsi="Garamond" w:cs="Times New Roman"/>
          <w:sz w:val="24"/>
          <w:szCs w:val="24"/>
        </w:rPr>
        <w:t xml:space="preserve"> </w:t>
      </w:r>
      <w:r w:rsidRPr="0001780A">
        <w:rPr>
          <w:rFonts w:ascii="Garamond" w:eastAsia="Times New Roman" w:hAnsi="Garamond"/>
          <w:sz w:val="24"/>
          <w:szCs w:val="24"/>
        </w:rPr>
        <w:t xml:space="preserve">In a secondary boycott the audience can then choose whether to boycott firms and businesses that endorse the hearsay suffering. </w:t>
      </w:r>
      <w:r w:rsidRPr="0001780A">
        <w:rPr>
          <w:rFonts w:ascii="Garamond" w:hAnsi="Garamond"/>
          <w:sz w:val="24"/>
          <w:szCs w:val="24"/>
        </w:rPr>
        <w:t xml:space="preserve">The Californian grape boycott of the 1970s is a good example of both a primary and secondary boycott as both the original firms who produced the grapes and the suppliers who stocked the grapes were boycotted. Smith quotes from Nelson and Prittie’s research on an Arab boycott of Israeli firms to demonstrate how primary boycotts can escalate into secondary and even tertiary boycotts: </w:t>
      </w:r>
    </w:p>
    <w:p w:rsidR="002D22FA" w:rsidRPr="0001780A" w:rsidRDefault="002D22FA" w:rsidP="002D22FA">
      <w:pPr>
        <w:tabs>
          <w:tab w:val="left" w:pos="9025"/>
        </w:tabs>
        <w:spacing w:after="0" w:line="360" w:lineRule="auto"/>
        <w:ind w:right="-45"/>
        <w:jc w:val="both"/>
        <w:rPr>
          <w:rFonts w:ascii="Garamond" w:hAnsi="Garamond"/>
          <w:sz w:val="24"/>
          <w:szCs w:val="24"/>
        </w:rPr>
      </w:pPr>
    </w:p>
    <w:p w:rsidR="002D22FA" w:rsidRPr="00F44C33" w:rsidRDefault="002D22FA" w:rsidP="002D22FA">
      <w:pPr>
        <w:tabs>
          <w:tab w:val="left" w:pos="9025"/>
        </w:tabs>
        <w:spacing w:after="0" w:line="360" w:lineRule="auto"/>
        <w:ind w:left="282" w:right="282"/>
        <w:jc w:val="both"/>
        <w:rPr>
          <w:rFonts w:ascii="Garamond" w:eastAsia="Times New Roman" w:hAnsi="Garamond"/>
        </w:rPr>
      </w:pPr>
      <w:r w:rsidRPr="00F44C33">
        <w:rPr>
          <w:rFonts w:ascii="Garamond" w:eastAsia="Times New Roman" w:hAnsi="Garamond"/>
        </w:rPr>
        <w:t xml:space="preserve">The first – or ‘primary’ – boycott consists of the refusal by the Arabs to trade with Israel in any way... the ‘secondary’ boycott is aimed at companies that invest in or do business with Israel... Even more insidious is the ‘tertiary’ boycott, which also operates in ‘third countries’ and which can threaten firms trading with anyone who does business with Israel – even with companies that have Jews on their boards or in executive positions. (Nelson </w:t>
      </w:r>
      <w:r w:rsidR="00F152DB">
        <w:rPr>
          <w:rFonts w:ascii="Garamond" w:eastAsia="Times New Roman" w:hAnsi="Garamond"/>
        </w:rPr>
        <w:t>and</w:t>
      </w:r>
      <w:r w:rsidRPr="00F44C33">
        <w:rPr>
          <w:rFonts w:ascii="Garamond" w:eastAsia="Times New Roman" w:hAnsi="Garamond"/>
        </w:rPr>
        <w:t xml:space="preserve"> Prittie, 1977: 209 in Smith, 1990: 147)</w:t>
      </w:r>
    </w:p>
    <w:p w:rsidR="00F07857" w:rsidRDefault="00F07857" w:rsidP="002D22FA">
      <w:pPr>
        <w:tabs>
          <w:tab w:val="left" w:pos="9025"/>
        </w:tabs>
        <w:spacing w:after="0" w:line="360" w:lineRule="auto"/>
        <w:ind w:right="-45"/>
        <w:jc w:val="both"/>
        <w:rPr>
          <w:rFonts w:ascii="Garamond" w:hAnsi="Garamond"/>
          <w:i/>
          <w:sz w:val="24"/>
          <w:szCs w:val="24"/>
        </w:rPr>
      </w:pPr>
    </w:p>
    <w:p w:rsidR="002D22FA" w:rsidRPr="00C93102" w:rsidRDefault="002D22FA" w:rsidP="002D22FA">
      <w:pPr>
        <w:tabs>
          <w:tab w:val="left" w:pos="9025"/>
        </w:tabs>
        <w:spacing w:after="0" w:line="360" w:lineRule="auto"/>
        <w:ind w:right="-45"/>
        <w:jc w:val="both"/>
        <w:rPr>
          <w:rFonts w:ascii="Garamond" w:hAnsi="Garamond"/>
          <w:b/>
          <w:i/>
          <w:szCs w:val="24"/>
        </w:rPr>
      </w:pPr>
      <w:r w:rsidRPr="00C93102">
        <w:rPr>
          <w:rFonts w:ascii="Garamond" w:hAnsi="Garamond"/>
          <w:b/>
          <w:i/>
          <w:szCs w:val="24"/>
        </w:rPr>
        <w:t>Compound boycotts as embodied activism</w:t>
      </w:r>
    </w:p>
    <w:p w:rsidR="002D22FA" w:rsidRPr="0001780A" w:rsidRDefault="002D22FA" w:rsidP="002D22FA">
      <w:pPr>
        <w:tabs>
          <w:tab w:val="left" w:pos="9025"/>
        </w:tabs>
        <w:spacing w:after="0" w:line="360" w:lineRule="auto"/>
        <w:ind w:right="-45"/>
        <w:jc w:val="both"/>
        <w:rPr>
          <w:rFonts w:ascii="Garamond" w:hAnsi="Garamond"/>
          <w:i/>
          <w:sz w:val="24"/>
          <w:szCs w:val="24"/>
        </w:rPr>
      </w:pPr>
    </w:p>
    <w:p w:rsidR="002D22FA" w:rsidRPr="0001780A" w:rsidRDefault="002D22FA" w:rsidP="00F07857">
      <w:pPr>
        <w:tabs>
          <w:tab w:val="left" w:pos="9025"/>
        </w:tabs>
        <w:spacing w:after="0" w:line="360" w:lineRule="auto"/>
        <w:ind w:right="-45"/>
        <w:jc w:val="both"/>
        <w:rPr>
          <w:rFonts w:ascii="Garamond" w:hAnsi="Garamond"/>
          <w:sz w:val="24"/>
          <w:szCs w:val="24"/>
        </w:rPr>
      </w:pPr>
      <w:r w:rsidRPr="0001780A">
        <w:rPr>
          <w:rFonts w:ascii="Garamond" w:hAnsi="Garamond"/>
          <w:sz w:val="24"/>
          <w:szCs w:val="24"/>
        </w:rPr>
        <w:t xml:space="preserve">In Smith’s terminology compound boycotts use tactics such as the picketing of retail outlets, obstruction, and the stopping of supplies reaching targets. Today, ‘carrot mobbers’ encourage the playful and eye catching aspects of crowd behaviour to endorse particular retail outlets in a form of compound buycott. Historically, boycotters have used their bodies to achieve their aims through demonstrations and collective stand and sit-ins in places such as national embassies, auction halls and food diners (Laidler, 1913; Friedman, 1999). Compound boycotts use crowd performance and the physicality of </w:t>
      </w:r>
      <w:r w:rsidRPr="0001780A">
        <w:rPr>
          <w:rFonts w:ascii="Garamond" w:hAnsi="Garamond"/>
          <w:sz w:val="24"/>
          <w:szCs w:val="24"/>
        </w:rPr>
        <w:lastRenderedPageBreak/>
        <w:t xml:space="preserve">bodies as a tactic to publicize their cause, to divert consumption, create emotional response, and to intimidate consumers. In 1972-1973 the BOA's Inspan Girls enacted a type of compound boycott in Dutch cities. In </w:t>
      </w:r>
      <w:r>
        <w:rPr>
          <w:rFonts w:ascii="Garamond" w:hAnsi="Garamond"/>
          <w:sz w:val="24"/>
          <w:szCs w:val="24"/>
        </w:rPr>
        <w:t>Chapter Six,</w:t>
      </w:r>
      <w:r w:rsidRPr="0001780A">
        <w:rPr>
          <w:rFonts w:ascii="Garamond" w:hAnsi="Garamond"/>
          <w:sz w:val="24"/>
          <w:szCs w:val="24"/>
        </w:rPr>
        <w:t xml:space="preserve"> I analyse the mobilization a compound boycott of white migration outside the South African embassy in The Hague. These boycotts are prone to being met with hostility and violence (Laidler, 1913).  </w:t>
      </w:r>
    </w:p>
    <w:p w:rsidR="002D22FA" w:rsidRPr="0001780A" w:rsidRDefault="002D22FA" w:rsidP="00F07857">
      <w:pPr>
        <w:tabs>
          <w:tab w:val="left" w:pos="9025"/>
        </w:tabs>
        <w:spacing w:after="0" w:line="360" w:lineRule="auto"/>
        <w:ind w:right="-45"/>
        <w:jc w:val="both"/>
        <w:rPr>
          <w:rFonts w:ascii="Garamond" w:hAnsi="Garamond"/>
          <w:i/>
          <w:sz w:val="24"/>
          <w:szCs w:val="24"/>
        </w:rPr>
      </w:pPr>
    </w:p>
    <w:p w:rsidR="002D22FA" w:rsidRPr="00C93102" w:rsidRDefault="002D22FA" w:rsidP="00F07857">
      <w:pPr>
        <w:tabs>
          <w:tab w:val="left" w:pos="9025"/>
        </w:tabs>
        <w:spacing w:after="0" w:line="360" w:lineRule="auto"/>
        <w:ind w:right="-45"/>
        <w:jc w:val="both"/>
        <w:rPr>
          <w:rFonts w:ascii="Garamond" w:hAnsi="Garamond"/>
          <w:b/>
          <w:i/>
          <w:szCs w:val="24"/>
        </w:rPr>
      </w:pPr>
      <w:r w:rsidRPr="00C93102">
        <w:rPr>
          <w:rFonts w:ascii="Garamond" w:hAnsi="Garamond"/>
          <w:b/>
          <w:i/>
          <w:szCs w:val="24"/>
        </w:rPr>
        <w:t>Buycotts</w:t>
      </w:r>
    </w:p>
    <w:p w:rsidR="002D22FA" w:rsidRPr="0001780A" w:rsidRDefault="002D22FA" w:rsidP="00F07857">
      <w:pPr>
        <w:tabs>
          <w:tab w:val="left" w:pos="9025"/>
        </w:tabs>
        <w:spacing w:after="0" w:line="360" w:lineRule="auto"/>
        <w:ind w:right="-45"/>
        <w:jc w:val="both"/>
        <w:rPr>
          <w:rFonts w:ascii="Garamond" w:hAnsi="Garamond"/>
          <w:sz w:val="24"/>
          <w:szCs w:val="24"/>
        </w:rPr>
      </w:pPr>
    </w:p>
    <w:p w:rsidR="002D22FA" w:rsidRPr="0001780A" w:rsidRDefault="002D22FA" w:rsidP="00F07857">
      <w:pPr>
        <w:tabs>
          <w:tab w:val="left" w:pos="9025"/>
        </w:tabs>
        <w:spacing w:after="0" w:line="360" w:lineRule="auto"/>
        <w:ind w:right="-45"/>
        <w:jc w:val="both"/>
        <w:rPr>
          <w:rFonts w:ascii="Garamond" w:hAnsi="Garamond"/>
          <w:sz w:val="24"/>
          <w:szCs w:val="24"/>
        </w:rPr>
      </w:pPr>
      <w:r w:rsidRPr="0001780A">
        <w:rPr>
          <w:rFonts w:ascii="Garamond" w:hAnsi="Garamond"/>
          <w:sz w:val="24"/>
          <w:szCs w:val="24"/>
        </w:rPr>
        <w:t>Smith suggests that negative boycotts encourage people to purchase from sources that have been ‘white-listed’ so as to indirectly divert trade from offending companies. In Friedman’s terminology the negative boycott is commonly referred to as a buycott, although he suggests that other terms such as 'girlcott' and confusingly, 'procott' are occasionally used. Buycotts frequently occur alongside positive or direct boycott</w:t>
      </w:r>
      <w:r w:rsidR="00AE09DA">
        <w:rPr>
          <w:rFonts w:ascii="Garamond" w:hAnsi="Garamond"/>
          <w:sz w:val="24"/>
          <w:szCs w:val="24"/>
        </w:rPr>
        <w:t>s</w:t>
      </w:r>
      <w:r w:rsidRPr="0001780A">
        <w:rPr>
          <w:rFonts w:ascii="Garamond" w:hAnsi="Garamond"/>
          <w:sz w:val="24"/>
          <w:szCs w:val="24"/>
        </w:rPr>
        <w:t xml:space="preserve"> (involving the selective withdrawal of purchases from ‘black-listed’ sources) in histories of antislavery and postcolonial movements. This thesis proposes that in relation to anti-trafficking the purchase of fair trade chocolate constitutes buycotting.   </w:t>
      </w:r>
    </w:p>
    <w:p w:rsidR="002D22FA" w:rsidRPr="0001780A" w:rsidRDefault="002D22FA" w:rsidP="002D22FA">
      <w:pPr>
        <w:tabs>
          <w:tab w:val="left" w:pos="9025"/>
        </w:tabs>
        <w:spacing w:after="0" w:line="360" w:lineRule="auto"/>
        <w:ind w:right="-45"/>
        <w:jc w:val="both"/>
        <w:rPr>
          <w:rFonts w:ascii="Garamond" w:hAnsi="Garamond"/>
          <w:sz w:val="24"/>
          <w:szCs w:val="24"/>
        </w:rPr>
      </w:pPr>
    </w:p>
    <w:p w:rsidR="002D22FA" w:rsidRPr="00C93102" w:rsidRDefault="002D22FA" w:rsidP="002D22FA">
      <w:pPr>
        <w:tabs>
          <w:tab w:val="left" w:pos="9025"/>
        </w:tabs>
        <w:spacing w:after="0" w:line="360" w:lineRule="auto"/>
        <w:ind w:right="-45"/>
        <w:jc w:val="both"/>
        <w:rPr>
          <w:rFonts w:ascii="Garamond" w:hAnsi="Garamond"/>
          <w:b/>
          <w:i/>
          <w:szCs w:val="24"/>
        </w:rPr>
      </w:pPr>
      <w:r w:rsidRPr="00C93102">
        <w:rPr>
          <w:rFonts w:ascii="Garamond" w:hAnsi="Garamond"/>
          <w:b/>
          <w:i/>
          <w:szCs w:val="24"/>
        </w:rPr>
        <w:t>Boycotts and international sanctions</w:t>
      </w:r>
    </w:p>
    <w:p w:rsidR="002D22FA" w:rsidRPr="0001780A" w:rsidRDefault="002D22FA" w:rsidP="002D22FA">
      <w:pPr>
        <w:tabs>
          <w:tab w:val="left" w:pos="9025"/>
        </w:tabs>
        <w:spacing w:after="0" w:line="360" w:lineRule="auto"/>
        <w:ind w:right="-45"/>
        <w:jc w:val="both"/>
        <w:rPr>
          <w:rFonts w:ascii="Garamond" w:hAnsi="Garamond"/>
          <w:sz w:val="24"/>
          <w:szCs w:val="24"/>
        </w:rPr>
      </w:pPr>
    </w:p>
    <w:p w:rsidR="002D22FA" w:rsidRPr="0001780A" w:rsidRDefault="002D22FA" w:rsidP="002D22FA">
      <w:pPr>
        <w:tabs>
          <w:tab w:val="left" w:pos="9025"/>
        </w:tabs>
        <w:spacing w:after="0" w:line="360" w:lineRule="auto"/>
        <w:ind w:right="-45"/>
        <w:jc w:val="both"/>
        <w:rPr>
          <w:rFonts w:ascii="Garamond" w:hAnsi="Garamond"/>
          <w:sz w:val="24"/>
          <w:szCs w:val="24"/>
        </w:rPr>
      </w:pPr>
      <w:r w:rsidRPr="0001780A">
        <w:rPr>
          <w:rFonts w:ascii="Garamond" w:hAnsi="Garamond"/>
          <w:sz w:val="24"/>
          <w:szCs w:val="24"/>
        </w:rPr>
        <w:t>After the First World War, the American President Woodrow Wilson famously introduced the idea of boycotts as economic sanctions:</w:t>
      </w:r>
    </w:p>
    <w:p w:rsidR="002D22FA" w:rsidRPr="0001780A" w:rsidRDefault="002D22FA" w:rsidP="002D22FA">
      <w:pPr>
        <w:tabs>
          <w:tab w:val="left" w:pos="9025"/>
        </w:tabs>
        <w:spacing w:after="0" w:line="360" w:lineRule="auto"/>
        <w:ind w:left="282" w:right="282"/>
        <w:jc w:val="both"/>
        <w:rPr>
          <w:rFonts w:ascii="Garamond" w:eastAsia="Times New Roman" w:hAnsi="Garamond"/>
          <w:sz w:val="24"/>
        </w:rPr>
      </w:pPr>
    </w:p>
    <w:p w:rsidR="002D22FA" w:rsidRPr="00F44C33" w:rsidRDefault="002D22FA" w:rsidP="002D22FA">
      <w:pPr>
        <w:tabs>
          <w:tab w:val="left" w:pos="9025"/>
        </w:tabs>
        <w:spacing w:after="0" w:line="360" w:lineRule="auto"/>
        <w:ind w:left="282" w:right="282"/>
        <w:jc w:val="both"/>
        <w:rPr>
          <w:rFonts w:ascii="Garamond" w:eastAsia="Times New Roman" w:hAnsi="Garamond"/>
          <w:szCs w:val="24"/>
        </w:rPr>
      </w:pPr>
      <w:r w:rsidRPr="00F44C33">
        <w:rPr>
          <w:rFonts w:ascii="Garamond" w:eastAsia="Times New Roman" w:hAnsi="Garamond"/>
        </w:rPr>
        <w:t>Boycotts apply the economic, peaceful, silent, deadly remedy, and there will be no need for force... The boycott is what is substituted for war. (Wilson in Smith, 1990: 151</w:t>
      </w:r>
      <w:r w:rsidRPr="00F44C33">
        <w:rPr>
          <w:rFonts w:ascii="Garamond" w:eastAsia="Times New Roman" w:hAnsi="Garamond"/>
          <w:szCs w:val="24"/>
        </w:rPr>
        <w:t>)</w:t>
      </w:r>
    </w:p>
    <w:p w:rsidR="002D22FA" w:rsidRPr="0001780A" w:rsidRDefault="002D22FA" w:rsidP="002D22FA">
      <w:pPr>
        <w:tabs>
          <w:tab w:val="left" w:pos="9025"/>
        </w:tabs>
        <w:spacing w:after="0" w:line="360" w:lineRule="auto"/>
        <w:jc w:val="both"/>
        <w:rPr>
          <w:rFonts w:ascii="Garamond" w:hAnsi="Garamond"/>
          <w:sz w:val="24"/>
          <w:szCs w:val="24"/>
        </w:rPr>
      </w:pPr>
    </w:p>
    <w:p w:rsidR="002D22FA" w:rsidRPr="0001780A" w:rsidRDefault="002D22FA" w:rsidP="002D22FA">
      <w:pPr>
        <w:tabs>
          <w:tab w:val="left" w:pos="9025"/>
        </w:tabs>
        <w:spacing w:after="0" w:line="360" w:lineRule="auto"/>
        <w:jc w:val="both"/>
        <w:rPr>
          <w:rFonts w:ascii="Garamond" w:hAnsi="Garamond"/>
          <w:sz w:val="24"/>
          <w:szCs w:val="24"/>
        </w:rPr>
      </w:pPr>
      <w:r w:rsidRPr="0001780A">
        <w:rPr>
          <w:rFonts w:ascii="Garamond" w:hAnsi="Garamond"/>
          <w:sz w:val="24"/>
          <w:szCs w:val="24"/>
        </w:rPr>
        <w:t xml:space="preserve">Craig Smith devotes a chapter to the economic boycotts of Germany by the League of Nations, and the Chinese boycotts of the USA in 1905 (a reaction to the harsh immigration laws for Chinese emigrants to the USA; see Cresswell, 2004) and Japan in 1932 (in protest at the Japanese invasion of Manchuria). Smith (1990) suggests that boycotts as economic sanctions should be measured through the reductive concepts of success and effectiveness; successful boycotts result in the acceptance by the target state of the conditions set out by those applying the sanctions, and effectiveness is measured by the amount of damage inflicted on the target state (Losman, 1972, in Smith, 1990). For example, the boycott of Cuban commodities by the USA was effective but unsuccessful in aims for regime change. International boycotts are commonly employed </w:t>
      </w:r>
      <w:r w:rsidRPr="0001780A">
        <w:rPr>
          <w:rFonts w:ascii="Garamond" w:hAnsi="Garamond"/>
          <w:sz w:val="24"/>
          <w:szCs w:val="24"/>
        </w:rPr>
        <w:lastRenderedPageBreak/>
        <w:t>as forms of punishment or coercion, but they can also impact on the states applying the sanctions. In his empirical research on contemporary Malaysian boycotts and buycotts, Fis</w:t>
      </w:r>
      <w:r>
        <w:rPr>
          <w:rFonts w:ascii="Garamond" w:hAnsi="Garamond"/>
          <w:sz w:val="24"/>
          <w:szCs w:val="24"/>
        </w:rPr>
        <w:t>cher (2007</w:t>
      </w:r>
      <w:r w:rsidRPr="0001780A">
        <w:rPr>
          <w:rFonts w:ascii="Garamond" w:hAnsi="Garamond"/>
          <w:sz w:val="24"/>
          <w:szCs w:val="24"/>
        </w:rPr>
        <w:t>) argues that the pro-Islamic and unofficial boycott of American commodities post 9/11 is considered unpatriotic by the Malay government and middle class consumers due to its potential to damage the national economy. Smith (1990) concurs that the Arab boycott of Israeli firms caused economic damage to Arab states applying it. What both Smith (1990) and Fis</w:t>
      </w:r>
      <w:r>
        <w:rPr>
          <w:rFonts w:ascii="Garamond" w:hAnsi="Garamond"/>
          <w:sz w:val="24"/>
          <w:szCs w:val="24"/>
        </w:rPr>
        <w:t>cher (2007</w:t>
      </w:r>
      <w:r w:rsidRPr="0001780A">
        <w:rPr>
          <w:rFonts w:ascii="Garamond" w:hAnsi="Garamond"/>
          <w:sz w:val="24"/>
          <w:szCs w:val="24"/>
        </w:rPr>
        <w:t xml:space="preserve">) lack is a discussion on the willingness of the boycotters to make economic sacrifices in order to contest geographies of oppression and exclusion. Through reference to STT and the BOA across </w:t>
      </w:r>
      <w:r>
        <w:rPr>
          <w:rFonts w:ascii="Garamond" w:hAnsi="Garamond"/>
          <w:sz w:val="24"/>
          <w:szCs w:val="24"/>
        </w:rPr>
        <w:t>Chapter Five and Chapter Seven</w:t>
      </w:r>
      <w:r w:rsidR="00AE09DA">
        <w:rPr>
          <w:rFonts w:ascii="Garamond" w:hAnsi="Garamond"/>
          <w:sz w:val="24"/>
          <w:szCs w:val="24"/>
        </w:rPr>
        <w:t>,</w:t>
      </w:r>
      <w:r w:rsidRPr="0001780A">
        <w:rPr>
          <w:rFonts w:ascii="Garamond" w:hAnsi="Garamond"/>
          <w:sz w:val="24"/>
          <w:szCs w:val="24"/>
        </w:rPr>
        <w:t xml:space="preserve"> I show that the willingness of oppressed labourers to make sacrifices, and the recognition or not of this attendant sacrifice by boycotters operating in distant places, are key factors in determining whether a boycott is acted out of a politics of responsibility or solidarity.</w:t>
      </w:r>
    </w:p>
    <w:p w:rsidR="002D22FA" w:rsidRPr="0001780A" w:rsidRDefault="002D22FA" w:rsidP="002D22FA">
      <w:pPr>
        <w:tabs>
          <w:tab w:val="left" w:pos="9025"/>
        </w:tabs>
        <w:spacing w:after="0" w:line="360" w:lineRule="auto"/>
        <w:jc w:val="both"/>
        <w:rPr>
          <w:rFonts w:ascii="Garamond" w:hAnsi="Garamond"/>
          <w:i/>
          <w:iCs/>
          <w:sz w:val="24"/>
          <w:szCs w:val="24"/>
        </w:rPr>
      </w:pPr>
    </w:p>
    <w:p w:rsidR="002D22FA" w:rsidRPr="00C93102" w:rsidRDefault="002D22FA" w:rsidP="002D22FA">
      <w:pPr>
        <w:tabs>
          <w:tab w:val="left" w:pos="9025"/>
        </w:tabs>
        <w:spacing w:after="0" w:line="360" w:lineRule="auto"/>
        <w:jc w:val="both"/>
        <w:rPr>
          <w:rFonts w:ascii="Garamond" w:hAnsi="Garamond"/>
          <w:b/>
          <w:i/>
          <w:iCs/>
          <w:szCs w:val="24"/>
        </w:rPr>
      </w:pPr>
      <w:r w:rsidRPr="00C93102">
        <w:rPr>
          <w:rFonts w:ascii="Garamond" w:hAnsi="Garamond"/>
          <w:b/>
          <w:i/>
          <w:iCs/>
          <w:szCs w:val="24"/>
        </w:rPr>
        <w:t>Surrogate and transformational boycotts</w:t>
      </w:r>
    </w:p>
    <w:p w:rsidR="002D22FA" w:rsidRPr="0001780A" w:rsidRDefault="002D22FA" w:rsidP="002D22FA">
      <w:pPr>
        <w:tabs>
          <w:tab w:val="left" w:pos="9025"/>
        </w:tabs>
        <w:spacing w:after="0" w:line="360" w:lineRule="auto"/>
        <w:jc w:val="both"/>
        <w:rPr>
          <w:rFonts w:ascii="Garamond" w:hAnsi="Garamond"/>
          <w:sz w:val="24"/>
          <w:szCs w:val="24"/>
        </w:rPr>
      </w:pPr>
    </w:p>
    <w:p w:rsidR="002D22FA" w:rsidRPr="0001780A" w:rsidRDefault="002D22FA" w:rsidP="002D22FA">
      <w:pPr>
        <w:tabs>
          <w:tab w:val="left" w:pos="9025"/>
        </w:tabs>
        <w:spacing w:after="0" w:line="360" w:lineRule="auto"/>
        <w:jc w:val="both"/>
        <w:rPr>
          <w:rFonts w:ascii="Garamond" w:hAnsi="Garamond"/>
          <w:sz w:val="24"/>
          <w:szCs w:val="24"/>
        </w:rPr>
      </w:pPr>
      <w:r w:rsidRPr="0001780A">
        <w:rPr>
          <w:rFonts w:ascii="Garamond" w:hAnsi="Garamond"/>
          <w:sz w:val="24"/>
          <w:szCs w:val="24"/>
        </w:rPr>
        <w:t>Friedman (1999) posits that boycotters are often unable to target an offending party directly. In such cases (as is common with boycotts of ‘hidden’ or nationalized companies), the protesters pressurize a third party with strong links to the original target. Surrogate, or indirect, boycotts are transformational in converting issues external to the marketplace (e.g. a foreign state’s oppressive policies) into consumer based marketplace concerns. Friedman writes:</w:t>
      </w:r>
    </w:p>
    <w:p w:rsidR="002D22FA" w:rsidRPr="0001780A" w:rsidRDefault="002D22FA" w:rsidP="002D22FA">
      <w:pPr>
        <w:tabs>
          <w:tab w:val="left" w:pos="8647"/>
        </w:tabs>
        <w:spacing w:after="0" w:line="360" w:lineRule="auto"/>
        <w:ind w:left="283" w:right="379"/>
        <w:jc w:val="both"/>
        <w:rPr>
          <w:rFonts w:ascii="Garamond" w:hAnsi="Garamond"/>
          <w:sz w:val="24"/>
        </w:rPr>
      </w:pPr>
    </w:p>
    <w:p w:rsidR="002D22FA" w:rsidRPr="00F44C33" w:rsidRDefault="002D22FA" w:rsidP="002D22FA">
      <w:pPr>
        <w:tabs>
          <w:tab w:val="left" w:pos="8647"/>
        </w:tabs>
        <w:spacing w:after="0" w:line="360" w:lineRule="auto"/>
        <w:ind w:left="283" w:right="379"/>
        <w:jc w:val="both"/>
        <w:rPr>
          <w:rFonts w:ascii="Garamond" w:hAnsi="Garamond"/>
        </w:rPr>
      </w:pPr>
      <w:r w:rsidRPr="00F44C33">
        <w:rPr>
          <w:rFonts w:ascii="Garamond" w:hAnsi="Garamond"/>
        </w:rPr>
        <w:t>Transformational boycotts attempt to change political issues into economic ones so that they can be acted upon by consumer ‘voting behaviour’ consisting of dollar expenditures in the retail market. (1999: 14)</w:t>
      </w:r>
    </w:p>
    <w:p w:rsidR="002D22FA" w:rsidRPr="0001780A" w:rsidRDefault="002D22FA" w:rsidP="002D22FA">
      <w:pPr>
        <w:tabs>
          <w:tab w:val="left" w:pos="9072"/>
        </w:tabs>
        <w:spacing w:after="0" w:line="360" w:lineRule="auto"/>
        <w:ind w:right="-45"/>
        <w:jc w:val="both"/>
        <w:rPr>
          <w:rFonts w:ascii="Garamond" w:hAnsi="Garamond"/>
          <w:sz w:val="24"/>
          <w:szCs w:val="24"/>
        </w:rPr>
      </w:pPr>
    </w:p>
    <w:p w:rsidR="002D22FA" w:rsidRPr="0001780A" w:rsidRDefault="002D22FA" w:rsidP="002D22FA">
      <w:pPr>
        <w:tabs>
          <w:tab w:val="left" w:pos="9072"/>
        </w:tabs>
        <w:spacing w:after="0" w:line="360" w:lineRule="auto"/>
        <w:ind w:right="-45"/>
        <w:jc w:val="both"/>
        <w:rPr>
          <w:rFonts w:ascii="Garamond" w:hAnsi="Garamond"/>
          <w:sz w:val="24"/>
          <w:szCs w:val="24"/>
        </w:rPr>
      </w:pPr>
      <w:r w:rsidRPr="0001780A">
        <w:rPr>
          <w:rFonts w:ascii="Garamond" w:hAnsi="Garamond"/>
          <w:sz w:val="24"/>
          <w:szCs w:val="24"/>
        </w:rPr>
        <w:t xml:space="preserve">Friedman suggests that surrogate boycotts commonly involve travel or migration boycotts, or 'headquarters boycotts' where all the businesses of one geographical area are boycotted due to the egregious policies of a political entity. Anti-apartheid boycotts conducted from outside South Africa frequently took the shape of surrogate boycotts working to make the tobacco manufacturers, Craven, and the fruit exporters, Cape and Outspan, synonymous with apartheid. In </w:t>
      </w:r>
      <w:r>
        <w:rPr>
          <w:rFonts w:ascii="Garamond" w:hAnsi="Garamond"/>
          <w:sz w:val="24"/>
          <w:szCs w:val="24"/>
        </w:rPr>
        <w:t>Chapter Six</w:t>
      </w:r>
      <w:r w:rsidRPr="0001780A">
        <w:rPr>
          <w:rFonts w:ascii="Garamond" w:hAnsi="Garamond"/>
          <w:sz w:val="24"/>
          <w:szCs w:val="24"/>
        </w:rPr>
        <w:t xml:space="preserve"> I analyse a Dutch and transnational surrogate boycott of white migration to South Africa.   </w:t>
      </w:r>
    </w:p>
    <w:p w:rsidR="002D22FA" w:rsidRPr="0001780A" w:rsidRDefault="002D22FA" w:rsidP="002D22FA">
      <w:pPr>
        <w:tabs>
          <w:tab w:val="left" w:pos="9072"/>
        </w:tabs>
        <w:spacing w:after="0" w:line="360" w:lineRule="auto"/>
        <w:ind w:right="-45"/>
        <w:jc w:val="both"/>
        <w:rPr>
          <w:rFonts w:ascii="Garamond" w:hAnsi="Garamond"/>
          <w:i/>
          <w:iCs/>
          <w:sz w:val="24"/>
          <w:szCs w:val="24"/>
        </w:rPr>
      </w:pPr>
    </w:p>
    <w:p w:rsidR="002D22FA" w:rsidRPr="00C93102" w:rsidRDefault="002D22FA" w:rsidP="002D22FA">
      <w:pPr>
        <w:tabs>
          <w:tab w:val="left" w:pos="9072"/>
        </w:tabs>
        <w:spacing w:after="0" w:line="360" w:lineRule="auto"/>
        <w:ind w:right="-45"/>
        <w:jc w:val="both"/>
        <w:rPr>
          <w:rFonts w:ascii="Garamond" w:hAnsi="Garamond"/>
          <w:b/>
          <w:i/>
          <w:iCs/>
          <w:szCs w:val="24"/>
        </w:rPr>
      </w:pPr>
      <w:r w:rsidRPr="00C93102">
        <w:rPr>
          <w:rFonts w:ascii="Garamond" w:hAnsi="Garamond"/>
          <w:b/>
          <w:i/>
          <w:iCs/>
          <w:szCs w:val="24"/>
        </w:rPr>
        <w:lastRenderedPageBreak/>
        <w:t>Shunning boycotts</w:t>
      </w:r>
    </w:p>
    <w:p w:rsidR="002D22FA" w:rsidRPr="0001780A" w:rsidRDefault="002D22FA" w:rsidP="002D22FA">
      <w:pPr>
        <w:tabs>
          <w:tab w:val="left" w:pos="9025"/>
        </w:tabs>
        <w:spacing w:after="0" w:line="360" w:lineRule="auto"/>
        <w:jc w:val="both"/>
        <w:rPr>
          <w:rFonts w:ascii="Garamond" w:hAnsi="Garamond"/>
          <w:sz w:val="24"/>
          <w:szCs w:val="24"/>
        </w:rPr>
      </w:pPr>
    </w:p>
    <w:p w:rsidR="002D22FA" w:rsidRPr="0001780A" w:rsidRDefault="002D22FA" w:rsidP="002D22FA">
      <w:pPr>
        <w:tabs>
          <w:tab w:val="left" w:pos="9025"/>
        </w:tabs>
        <w:spacing w:after="0" w:line="360" w:lineRule="auto"/>
        <w:jc w:val="both"/>
        <w:rPr>
          <w:rFonts w:ascii="Garamond" w:hAnsi="Garamond"/>
          <w:sz w:val="24"/>
          <w:szCs w:val="24"/>
        </w:rPr>
      </w:pPr>
      <w:r>
        <w:rPr>
          <w:rFonts w:ascii="Garamond" w:hAnsi="Garamond"/>
          <w:sz w:val="24"/>
          <w:szCs w:val="24"/>
        </w:rPr>
        <w:t>Claudia Mills (1999</w:t>
      </w:r>
      <w:r w:rsidRPr="0001780A">
        <w:rPr>
          <w:rFonts w:ascii="Garamond" w:hAnsi="Garamond"/>
          <w:sz w:val="24"/>
          <w:szCs w:val="24"/>
        </w:rPr>
        <w:t>) indicates that some consumers employ shunning tactics with similar goals to that of the ostracism origins of the boycott term:</w:t>
      </w:r>
    </w:p>
    <w:p w:rsidR="002D22FA" w:rsidRPr="0001780A" w:rsidRDefault="002D22FA" w:rsidP="002D22FA">
      <w:pPr>
        <w:tabs>
          <w:tab w:val="left" w:pos="8647"/>
        </w:tabs>
        <w:spacing w:after="0" w:line="360" w:lineRule="auto"/>
        <w:ind w:left="283" w:right="379"/>
        <w:jc w:val="both"/>
        <w:rPr>
          <w:rFonts w:ascii="Garamond" w:hAnsi="Garamond"/>
          <w:sz w:val="24"/>
        </w:rPr>
      </w:pPr>
    </w:p>
    <w:p w:rsidR="002D22FA" w:rsidRPr="00F44C33" w:rsidRDefault="002D22FA" w:rsidP="00F44C33">
      <w:pPr>
        <w:tabs>
          <w:tab w:val="left" w:pos="8647"/>
        </w:tabs>
        <w:spacing w:after="0" w:line="360" w:lineRule="auto"/>
        <w:ind w:left="283" w:right="379"/>
        <w:jc w:val="both"/>
        <w:rPr>
          <w:rFonts w:ascii="Garamond" w:hAnsi="Garamond"/>
        </w:rPr>
      </w:pPr>
      <w:r w:rsidRPr="00F44C33">
        <w:rPr>
          <w:rFonts w:ascii="Garamond" w:hAnsi="Garamond"/>
        </w:rPr>
        <w:t xml:space="preserve">To this day I don’t feel right buying Gallo wine or </w:t>
      </w:r>
      <w:r w:rsidR="000121E6">
        <w:rPr>
          <w:rFonts w:ascii="Garamond" w:hAnsi="Garamond"/>
        </w:rPr>
        <w:t>Nestlé</w:t>
      </w:r>
      <w:r w:rsidRPr="00F44C33">
        <w:rPr>
          <w:rFonts w:ascii="Garamond" w:hAnsi="Garamond"/>
        </w:rPr>
        <w:t xml:space="preserve"> bars. I think this is because I feel myself caught between a strategic and a shunning justification for the boycott... If the boycott was a shunning one, then merely ceasing to sin may not be enough to warrant renewed fellowship with the sinner. One expects... some public plea for forgiveness. (Mills, 1999: 146 in Friedman, 2005, 55)   </w:t>
      </w:r>
    </w:p>
    <w:p w:rsidR="002D22FA" w:rsidRPr="0001780A" w:rsidRDefault="002D22FA" w:rsidP="002D22FA">
      <w:pPr>
        <w:tabs>
          <w:tab w:val="left" w:pos="9072"/>
        </w:tabs>
        <w:spacing w:after="0" w:line="360" w:lineRule="auto"/>
        <w:ind w:right="-45"/>
        <w:jc w:val="both"/>
        <w:rPr>
          <w:rFonts w:ascii="Garamond" w:hAnsi="Garamond"/>
          <w:sz w:val="24"/>
          <w:szCs w:val="24"/>
        </w:rPr>
      </w:pPr>
    </w:p>
    <w:p w:rsidR="002D22FA" w:rsidRPr="0001780A" w:rsidRDefault="002D22FA" w:rsidP="002D22FA">
      <w:pPr>
        <w:tabs>
          <w:tab w:val="left" w:pos="9072"/>
        </w:tabs>
        <w:spacing w:after="0" w:line="360" w:lineRule="auto"/>
        <w:ind w:right="-45"/>
        <w:jc w:val="both"/>
        <w:rPr>
          <w:rFonts w:ascii="Garamond" w:hAnsi="Garamond"/>
          <w:sz w:val="24"/>
          <w:szCs w:val="24"/>
        </w:rPr>
      </w:pPr>
      <w:r w:rsidRPr="0001780A">
        <w:rPr>
          <w:rFonts w:ascii="Garamond" w:hAnsi="Garamond"/>
          <w:sz w:val="24"/>
          <w:szCs w:val="24"/>
        </w:rPr>
        <w:t xml:space="preserve">Friedman argues that some consumers boycott particular corporations for life, in an action he describes as a “form of economic capital punishment for an egregious offence” (2005; 56). In </w:t>
      </w:r>
      <w:r>
        <w:rPr>
          <w:rFonts w:ascii="Garamond" w:hAnsi="Garamond"/>
          <w:sz w:val="24"/>
          <w:szCs w:val="24"/>
        </w:rPr>
        <w:t>Chapter F</w:t>
      </w:r>
      <w:r w:rsidRPr="0001780A">
        <w:rPr>
          <w:rFonts w:ascii="Garamond" w:hAnsi="Garamond"/>
          <w:sz w:val="24"/>
          <w:szCs w:val="24"/>
        </w:rPr>
        <w:t>ive I show how shunning boycotts are discouraged by STT as they attempt to diversify existing chocolate manufacturers into fair trade certified ranges.</w:t>
      </w:r>
    </w:p>
    <w:p w:rsidR="002D22FA" w:rsidRPr="0001780A" w:rsidRDefault="002D22FA" w:rsidP="002D22FA">
      <w:pPr>
        <w:tabs>
          <w:tab w:val="left" w:pos="9072"/>
        </w:tabs>
        <w:spacing w:after="0" w:line="360" w:lineRule="auto"/>
        <w:ind w:right="-45"/>
        <w:jc w:val="both"/>
        <w:rPr>
          <w:rFonts w:ascii="Garamond" w:hAnsi="Garamond"/>
          <w:bCs/>
          <w:i/>
          <w:iCs/>
          <w:sz w:val="24"/>
          <w:szCs w:val="24"/>
        </w:rPr>
      </w:pPr>
    </w:p>
    <w:p w:rsidR="002D22FA" w:rsidRPr="00C93102" w:rsidRDefault="002D22FA" w:rsidP="002D22FA">
      <w:pPr>
        <w:tabs>
          <w:tab w:val="left" w:pos="9072"/>
        </w:tabs>
        <w:spacing w:after="0" w:line="360" w:lineRule="auto"/>
        <w:ind w:right="-45"/>
        <w:jc w:val="both"/>
        <w:rPr>
          <w:rFonts w:ascii="Garamond" w:hAnsi="Garamond"/>
          <w:b/>
          <w:szCs w:val="24"/>
        </w:rPr>
      </w:pPr>
      <w:r w:rsidRPr="00C93102">
        <w:rPr>
          <w:rFonts w:ascii="Garamond" w:hAnsi="Garamond"/>
          <w:b/>
          <w:bCs/>
          <w:i/>
          <w:iCs/>
          <w:szCs w:val="24"/>
        </w:rPr>
        <w:t>Boycott escalation</w:t>
      </w:r>
    </w:p>
    <w:p w:rsidR="002D22FA" w:rsidRPr="0001780A" w:rsidRDefault="002D22FA" w:rsidP="002D22FA">
      <w:pPr>
        <w:spacing w:after="0" w:line="360" w:lineRule="auto"/>
        <w:jc w:val="both"/>
        <w:rPr>
          <w:rFonts w:ascii="Garamond" w:eastAsia="Times New Roman" w:hAnsi="Garamond"/>
          <w:sz w:val="24"/>
          <w:szCs w:val="24"/>
        </w:rPr>
      </w:pPr>
    </w:p>
    <w:p w:rsidR="002D22FA" w:rsidRPr="0001780A" w:rsidRDefault="002D22FA" w:rsidP="002D22FA">
      <w:pPr>
        <w:spacing w:after="0" w:line="360" w:lineRule="auto"/>
        <w:jc w:val="both"/>
        <w:rPr>
          <w:rFonts w:ascii="Garamond" w:eastAsia="Times New Roman" w:hAnsi="Garamond"/>
          <w:sz w:val="24"/>
          <w:szCs w:val="24"/>
        </w:rPr>
      </w:pPr>
      <w:r w:rsidRPr="0001780A">
        <w:rPr>
          <w:rFonts w:ascii="Garamond" w:eastAsia="Times New Roman" w:hAnsi="Garamond"/>
          <w:sz w:val="24"/>
          <w:szCs w:val="24"/>
        </w:rPr>
        <w:t xml:space="preserve">In discussing the mechanisms of boycotts, Smith (1990: 219) advocates a five stage process for the commodity boycott based on Wolman’s (1914) findings: i) attempts at peaceful adjustment; ii) inauguration and endorsement of the boycott; iii) effective notice of the boycott; iv) enlist support; v) conclude boycott when agreement </w:t>
      </w:r>
      <w:r w:rsidR="00AE09DA">
        <w:rPr>
          <w:rFonts w:ascii="Garamond" w:eastAsia="Times New Roman" w:hAnsi="Garamond"/>
          <w:sz w:val="24"/>
          <w:szCs w:val="24"/>
        </w:rPr>
        <w:t xml:space="preserve">and public settlement </w:t>
      </w:r>
      <w:r w:rsidRPr="0001780A">
        <w:rPr>
          <w:rFonts w:ascii="Garamond" w:eastAsia="Times New Roman" w:hAnsi="Garamond"/>
          <w:sz w:val="24"/>
          <w:szCs w:val="24"/>
        </w:rPr>
        <w:t>is reached (Friedman, 1999 suggests this stage is rarely reached).</w:t>
      </w:r>
    </w:p>
    <w:p w:rsidR="002D22FA" w:rsidRPr="0001780A" w:rsidRDefault="002D22FA" w:rsidP="002D22FA">
      <w:pPr>
        <w:spacing w:after="0" w:line="360" w:lineRule="auto"/>
        <w:jc w:val="both"/>
        <w:rPr>
          <w:rFonts w:ascii="Garamond" w:eastAsia="Times New Roman" w:hAnsi="Garamond"/>
          <w:sz w:val="24"/>
          <w:szCs w:val="24"/>
        </w:rPr>
      </w:pPr>
    </w:p>
    <w:p w:rsidR="002D22FA" w:rsidRPr="0001780A" w:rsidRDefault="002D22FA" w:rsidP="002D22FA">
      <w:pPr>
        <w:spacing w:after="0" w:line="360" w:lineRule="auto"/>
        <w:jc w:val="both"/>
        <w:rPr>
          <w:rFonts w:ascii="Garamond" w:eastAsia="Times New Roman" w:hAnsi="Garamond"/>
          <w:sz w:val="24"/>
          <w:szCs w:val="24"/>
        </w:rPr>
      </w:pPr>
      <w:r w:rsidRPr="0001780A">
        <w:rPr>
          <w:rFonts w:ascii="Garamond" w:eastAsia="Times New Roman" w:hAnsi="Garamond"/>
          <w:sz w:val="24"/>
          <w:szCs w:val="24"/>
        </w:rPr>
        <w:t xml:space="preserve">Building on Smith’s mechanisms of boycotts, Friedman suggests that boycotts follow a “path of escalating militancy” (1999: 10), and on this ascending scale he differentiates between action considered boycotts, action requested boycotts, action organized boycotts and action taken boycotts. A chronology of the BOA's Outspan boycott shows that the organization skilfully timed this path of escalating militancy over the space of a year so as to stoke anger and gain maximum publicity between June 1972 and July 1973. An action considered boycott is made with an announcement that a boycott is being threatened, and Friedman argues that many boycotts do not go beyond this stage. Action requested boycotts ask for outside participation, which is a prerequisite for Smith’s (1990) secondary boycott. Action organized boycotts declare that preparations are being undertaken, and action taken boycotts take material actions like picketing and demonstrations (as with Smith’s compound boycotts) to encourage boycott activity. </w:t>
      </w:r>
      <w:r w:rsidRPr="0001780A">
        <w:rPr>
          <w:rFonts w:ascii="Garamond" w:eastAsia="Times New Roman" w:hAnsi="Garamond"/>
          <w:sz w:val="24"/>
          <w:szCs w:val="24"/>
        </w:rPr>
        <w:lastRenderedPageBreak/>
        <w:t>Many protesters never proceed further than the action considered/requested stages of a boycott, either due to a lack of funds and organization or alternatively because they have a greater interest in creating media publicity than taking marketplace action. Perhaps Friedman’s most important contribution to the consumer boycott literature is based on this distinction between marketplace and media orientated boycotts. Whereas Smith distinguishes between symbolic and instrumental boycott actions, Friedman is more exact about the mechanisms through which the symbolic actions of the consumer boycott work</w:t>
      </w:r>
      <w:r w:rsidR="00AE09DA">
        <w:rPr>
          <w:rFonts w:ascii="Garamond" w:eastAsia="Times New Roman" w:hAnsi="Garamond"/>
          <w:sz w:val="24"/>
          <w:szCs w:val="24"/>
        </w:rPr>
        <w:t>s</w:t>
      </w:r>
      <w:r w:rsidRPr="0001780A">
        <w:rPr>
          <w:rFonts w:ascii="Garamond" w:eastAsia="Times New Roman" w:hAnsi="Garamond"/>
          <w:sz w:val="24"/>
          <w:szCs w:val="24"/>
        </w:rPr>
        <w:t>. Media orientated boycotts attack the image of the boycott target through a two-pronged process of creating negative press releases about the target, and by persuading news agencies and media publications to carry their message.</w:t>
      </w:r>
      <w:r>
        <w:rPr>
          <w:rFonts w:ascii="Garamond" w:eastAsia="Times New Roman" w:hAnsi="Garamond"/>
          <w:sz w:val="24"/>
          <w:szCs w:val="24"/>
        </w:rPr>
        <w:t xml:space="preserve"> Klein (2000</w:t>
      </w:r>
      <w:r w:rsidRPr="0001780A">
        <w:rPr>
          <w:rFonts w:ascii="Garamond" w:eastAsia="Times New Roman" w:hAnsi="Garamond"/>
          <w:sz w:val="24"/>
          <w:szCs w:val="24"/>
        </w:rPr>
        <w:t>) describes this process as the 'brand boomerang'; the more publicity a brand has, the more vulnerable it is to culture jamming and protest. Friedman argues that marketplace orientated boycotts represent progression on the scale of escalating militancy, and are usually action organized and requested boycotts where reducing the economic profits of the target through the picketing of retail outlets and demonstrations have become concerns of the boycotters. Friedman problematically asserts that media orientated boycotts are more common today than in the past. This shift suggests that threats to images, rights and brand reputation are more important to companies than an immediate decline in sales  (Klei</w:t>
      </w:r>
      <w:r>
        <w:rPr>
          <w:rFonts w:ascii="Garamond" w:eastAsia="Times New Roman" w:hAnsi="Garamond"/>
          <w:sz w:val="24"/>
          <w:szCs w:val="24"/>
        </w:rPr>
        <w:t>n, 2000</w:t>
      </w:r>
      <w:r w:rsidRPr="0001780A">
        <w:rPr>
          <w:rFonts w:ascii="Garamond" w:eastAsia="Times New Roman" w:hAnsi="Garamond"/>
          <w:sz w:val="24"/>
          <w:szCs w:val="24"/>
        </w:rPr>
        <w:t xml:space="preserve">; Micheletti et al. 2006). But as I have shown earlier, anti-colonial commodity boycotts were media focused and aimed to subvert the meanings of colonial consumption, so this media orientation is not simply a symptom of brand saturated sign economies.  </w:t>
      </w:r>
    </w:p>
    <w:p w:rsidR="002D22FA" w:rsidRPr="0001780A" w:rsidRDefault="002D22FA" w:rsidP="002D22FA">
      <w:pPr>
        <w:spacing w:after="0" w:line="360" w:lineRule="auto"/>
        <w:jc w:val="both"/>
        <w:rPr>
          <w:rFonts w:ascii="Garamond" w:eastAsia="Times New Roman" w:hAnsi="Garamond"/>
          <w:i/>
          <w:iCs/>
          <w:sz w:val="24"/>
          <w:szCs w:val="24"/>
        </w:rPr>
      </w:pPr>
    </w:p>
    <w:p w:rsidR="002D22FA" w:rsidRPr="00C93102" w:rsidRDefault="002D22FA" w:rsidP="002D22FA">
      <w:pPr>
        <w:spacing w:after="0" w:line="360" w:lineRule="auto"/>
        <w:jc w:val="both"/>
        <w:rPr>
          <w:rFonts w:ascii="Garamond" w:eastAsia="Times New Roman" w:hAnsi="Garamond"/>
          <w:b/>
          <w:i/>
          <w:iCs/>
          <w:szCs w:val="24"/>
        </w:rPr>
      </w:pPr>
      <w:r w:rsidRPr="00C93102">
        <w:rPr>
          <w:rFonts w:ascii="Garamond" w:eastAsia="Times New Roman" w:hAnsi="Garamond"/>
          <w:b/>
          <w:i/>
          <w:iCs/>
          <w:szCs w:val="24"/>
        </w:rPr>
        <w:t>Obstructionist actions</w:t>
      </w:r>
    </w:p>
    <w:p w:rsidR="002D22FA" w:rsidRPr="0001780A" w:rsidRDefault="002D22FA" w:rsidP="002D22FA">
      <w:pPr>
        <w:spacing w:after="0" w:line="360" w:lineRule="auto"/>
        <w:jc w:val="both"/>
        <w:rPr>
          <w:rFonts w:ascii="Garamond" w:eastAsia="Times New Roman" w:hAnsi="Garamond"/>
          <w:sz w:val="24"/>
          <w:szCs w:val="24"/>
        </w:rPr>
      </w:pPr>
    </w:p>
    <w:p w:rsidR="002D22FA" w:rsidRPr="0001780A" w:rsidRDefault="002D22FA" w:rsidP="002D22FA">
      <w:pPr>
        <w:spacing w:after="0" w:line="360" w:lineRule="auto"/>
        <w:jc w:val="both"/>
        <w:rPr>
          <w:rFonts w:ascii="Garamond" w:eastAsia="Times New Roman" w:hAnsi="Garamond"/>
          <w:iCs/>
          <w:sz w:val="24"/>
          <w:szCs w:val="24"/>
        </w:rPr>
      </w:pPr>
      <w:r w:rsidRPr="0001780A">
        <w:rPr>
          <w:rFonts w:ascii="Garamond" w:eastAsia="Times New Roman" w:hAnsi="Garamond"/>
          <w:sz w:val="24"/>
          <w:szCs w:val="24"/>
        </w:rPr>
        <w:t>Friedman suggests that there are four types of obstructionist acti</w:t>
      </w:r>
      <w:r w:rsidR="00AE09DA">
        <w:rPr>
          <w:rFonts w:ascii="Garamond" w:eastAsia="Times New Roman" w:hAnsi="Garamond"/>
          <w:sz w:val="24"/>
          <w:szCs w:val="24"/>
        </w:rPr>
        <w:t>ons used by boycotters: the sit-in, the stand-</w:t>
      </w:r>
      <w:r w:rsidRPr="0001780A">
        <w:rPr>
          <w:rFonts w:ascii="Garamond" w:eastAsia="Times New Roman" w:hAnsi="Garamond"/>
          <w:sz w:val="24"/>
          <w:szCs w:val="24"/>
        </w:rPr>
        <w:t>in, the call</w:t>
      </w:r>
      <w:r w:rsidR="00AE09DA">
        <w:rPr>
          <w:rFonts w:ascii="Garamond" w:eastAsia="Times New Roman" w:hAnsi="Garamond"/>
          <w:sz w:val="24"/>
          <w:szCs w:val="24"/>
        </w:rPr>
        <w:t>-in, and the mail-</w:t>
      </w:r>
      <w:r w:rsidRPr="0001780A">
        <w:rPr>
          <w:rFonts w:ascii="Garamond" w:eastAsia="Times New Roman" w:hAnsi="Garamond"/>
          <w:sz w:val="24"/>
          <w:szCs w:val="24"/>
        </w:rPr>
        <w:t>in. He shows that call-ins and mail-ins have been used effectively by boycotters to clog order lines and to send bogus applications for credit cards at the expense of the boycotted organization. I show that this boycott tactic was adapted and extended by both the BOA</w:t>
      </w:r>
      <w:r>
        <w:rPr>
          <w:rFonts w:ascii="Garamond" w:eastAsia="Times New Roman" w:hAnsi="Garamond"/>
          <w:sz w:val="24"/>
          <w:szCs w:val="24"/>
        </w:rPr>
        <w:t xml:space="preserve"> (Chapter S</w:t>
      </w:r>
      <w:r w:rsidRPr="0001780A">
        <w:rPr>
          <w:rFonts w:ascii="Garamond" w:eastAsia="Times New Roman" w:hAnsi="Garamond"/>
          <w:sz w:val="24"/>
          <w:szCs w:val="24"/>
        </w:rPr>
        <w:t>ix explains how the BOA mobilized activists to send fake applications for South African visas to the South African embassy) and STT</w:t>
      </w:r>
      <w:r>
        <w:rPr>
          <w:rFonts w:ascii="Garamond" w:eastAsia="Times New Roman" w:hAnsi="Garamond"/>
          <w:sz w:val="24"/>
          <w:szCs w:val="24"/>
        </w:rPr>
        <w:t xml:space="preserve"> (in Chapter F</w:t>
      </w:r>
      <w:r w:rsidRPr="0001780A">
        <w:rPr>
          <w:rFonts w:ascii="Garamond" w:eastAsia="Times New Roman" w:hAnsi="Garamond"/>
          <w:sz w:val="24"/>
          <w:szCs w:val="24"/>
        </w:rPr>
        <w:t xml:space="preserve">our I highlight STT's tactic to send postcards to chocolate companies and </w:t>
      </w:r>
      <w:r w:rsidR="00AE09DA">
        <w:rPr>
          <w:rFonts w:ascii="Garamond" w:eastAsia="Times New Roman" w:hAnsi="Garamond"/>
          <w:sz w:val="24"/>
          <w:szCs w:val="24"/>
        </w:rPr>
        <w:t>clog telephone lines).  The sit-</w:t>
      </w:r>
      <w:r w:rsidRPr="0001780A">
        <w:rPr>
          <w:rFonts w:ascii="Garamond" w:eastAsia="Times New Roman" w:hAnsi="Garamond"/>
          <w:sz w:val="24"/>
          <w:szCs w:val="24"/>
        </w:rPr>
        <w:t xml:space="preserve">in was a common tactic used by black civil rights activists at segregated lunch counters in southern communities of the USA during the 1960s. By refusing to move from their seats and </w:t>
      </w:r>
      <w:r w:rsidRPr="0001780A">
        <w:rPr>
          <w:rFonts w:ascii="Garamond" w:eastAsia="Times New Roman" w:hAnsi="Garamond"/>
          <w:sz w:val="24"/>
          <w:szCs w:val="24"/>
        </w:rPr>
        <w:lastRenderedPageBreak/>
        <w:t>obstructing white customers from being served food, this type of protest was successful in damaging the sales of retailers such as Woolworths and it worked to dematerialize the process of racism by contesting the racial segregation of places. The '</w:t>
      </w:r>
      <w:r w:rsidR="00F44C33">
        <w:rPr>
          <w:rFonts w:ascii="Garamond" w:eastAsia="Times New Roman" w:hAnsi="Garamond"/>
          <w:iCs/>
          <w:sz w:val="24"/>
          <w:szCs w:val="24"/>
        </w:rPr>
        <w:t>Greensboro</w:t>
      </w:r>
      <w:r w:rsidR="00AE09DA">
        <w:rPr>
          <w:rFonts w:ascii="Garamond" w:eastAsia="Times New Roman" w:hAnsi="Garamond"/>
          <w:iCs/>
          <w:sz w:val="24"/>
          <w:szCs w:val="24"/>
        </w:rPr>
        <w:t xml:space="preserve"> lunch counter sit-</w:t>
      </w:r>
      <w:r w:rsidRPr="0001780A">
        <w:rPr>
          <w:rFonts w:ascii="Garamond" w:eastAsia="Times New Roman" w:hAnsi="Garamond"/>
          <w:iCs/>
          <w:sz w:val="24"/>
          <w:szCs w:val="24"/>
        </w:rPr>
        <w:t>in'</w:t>
      </w:r>
      <w:r w:rsidRPr="0001780A">
        <w:rPr>
          <w:rFonts w:ascii="Garamond" w:eastAsia="Times New Roman" w:hAnsi="Garamond"/>
          <w:sz w:val="24"/>
          <w:szCs w:val="24"/>
        </w:rPr>
        <w:t xml:space="preserve"> is commemorated as a key moment in black civil rights history in an exhibition arranged by the Library of Congress (2008). The Library of Congress website states: </w:t>
      </w:r>
    </w:p>
    <w:p w:rsidR="002D22FA" w:rsidRPr="0001780A" w:rsidRDefault="002D22FA" w:rsidP="002D22FA">
      <w:pPr>
        <w:spacing w:after="0" w:line="360" w:lineRule="auto"/>
        <w:jc w:val="both"/>
        <w:rPr>
          <w:rFonts w:ascii="Garamond" w:eastAsia="Times New Roman" w:hAnsi="Garamond"/>
          <w:sz w:val="24"/>
          <w:szCs w:val="24"/>
        </w:rPr>
      </w:pPr>
    </w:p>
    <w:p w:rsidR="002D22FA" w:rsidRPr="00F44C33" w:rsidRDefault="002D22FA" w:rsidP="002D22FA">
      <w:pPr>
        <w:spacing w:after="0" w:line="360" w:lineRule="auto"/>
        <w:ind w:left="284" w:right="284"/>
        <w:jc w:val="both"/>
        <w:rPr>
          <w:rFonts w:ascii="Garamond" w:eastAsia="Times New Roman" w:hAnsi="Garamond"/>
        </w:rPr>
      </w:pPr>
      <w:r w:rsidRPr="00F44C33">
        <w:rPr>
          <w:rFonts w:ascii="Garamond" w:eastAsia="Times New Roman" w:hAnsi="Garamond"/>
        </w:rPr>
        <w:t>In 1960 four freshmen from North Carolina Agricultural and Technical College in Greensboro walked into the F. W. Woolworth store and quietly sat down at the lunch counter. They were refused service, but they stayed until closing time. The next morning they came with twenty-five more students. On the third day, sixty-three students joined the sit-in. On the following day, the students were joined by three white female students from the Women’s College of the University of North Carolina, and by the fifth day Woolworth had more than three hundred demonstrators at the store. The next day the company said they were willing to negotiate, but only token changes were made. The students resumed their sit-ins, the city adopted more stringent segregation policies, and forty-five students were arrested and charged with trespassing. The students were so enraged by this that they launched a massive boycott of stores with segregated lunch counters. Sales dropped by a third, forcing the store owners to relent. Six months from the very first sit-in, the four freshmen returned and were served at Woolworth’s lunch counter. (Amer</w:t>
      </w:r>
      <w:r w:rsidR="00F44C33">
        <w:rPr>
          <w:rFonts w:ascii="Garamond" w:eastAsia="Times New Roman" w:hAnsi="Garamond"/>
        </w:rPr>
        <w:t>ican Library of Congress, 2008)</w:t>
      </w:r>
    </w:p>
    <w:p w:rsidR="002D22FA" w:rsidRPr="0001780A" w:rsidRDefault="002D22FA" w:rsidP="002D22FA">
      <w:pPr>
        <w:spacing w:after="0" w:line="360" w:lineRule="auto"/>
        <w:jc w:val="both"/>
        <w:rPr>
          <w:rFonts w:ascii="Garamond" w:eastAsia="Times New Roman" w:hAnsi="Garamond"/>
          <w:sz w:val="24"/>
          <w:szCs w:val="24"/>
        </w:rPr>
      </w:pPr>
    </w:p>
    <w:p w:rsidR="002D22FA" w:rsidRPr="0001780A" w:rsidRDefault="002D22FA" w:rsidP="002D22FA">
      <w:pPr>
        <w:spacing w:after="0" w:line="360" w:lineRule="auto"/>
        <w:jc w:val="both"/>
        <w:rPr>
          <w:rFonts w:ascii="Garamond" w:eastAsia="Times New Roman" w:hAnsi="Garamond"/>
          <w:sz w:val="24"/>
          <w:szCs w:val="24"/>
        </w:rPr>
      </w:pPr>
      <w:r w:rsidRPr="0001780A">
        <w:rPr>
          <w:rFonts w:ascii="Garamond" w:eastAsia="Times New Roman" w:hAnsi="Garamond"/>
          <w:sz w:val="24"/>
          <w:szCs w:val="24"/>
        </w:rPr>
        <w:t xml:space="preserve">Not mentioned by Friedman </w:t>
      </w:r>
      <w:r w:rsidR="00AE09DA">
        <w:rPr>
          <w:rFonts w:ascii="Garamond" w:eastAsia="Times New Roman" w:hAnsi="Garamond"/>
          <w:sz w:val="24"/>
          <w:szCs w:val="24"/>
        </w:rPr>
        <w:t>is the possibility of the stand-</w:t>
      </w:r>
      <w:r w:rsidRPr="0001780A">
        <w:rPr>
          <w:rFonts w:ascii="Garamond" w:eastAsia="Times New Roman" w:hAnsi="Garamond"/>
          <w:sz w:val="24"/>
          <w:szCs w:val="24"/>
        </w:rPr>
        <w:t xml:space="preserve">in operating as a </w:t>
      </w:r>
      <w:r w:rsidRPr="0001780A">
        <w:rPr>
          <w:rFonts w:ascii="Garamond" w:eastAsia="Times New Roman" w:hAnsi="Garamond"/>
          <w:i/>
          <w:iCs/>
          <w:sz w:val="24"/>
          <w:szCs w:val="24"/>
        </w:rPr>
        <w:t>facilitating buycott</w:t>
      </w:r>
      <w:r w:rsidRPr="0001780A">
        <w:rPr>
          <w:rFonts w:ascii="Garamond" w:eastAsia="Times New Roman" w:hAnsi="Garamond"/>
          <w:sz w:val="24"/>
          <w:szCs w:val="24"/>
        </w:rPr>
        <w:t xml:space="preserve"> where demonstrations occur outside approved retailers to create interest and encourage economic purchases (a tactic used by the BOA, STT and 'Carrot-Mob'). </w:t>
      </w:r>
    </w:p>
    <w:p w:rsidR="002D22FA" w:rsidRPr="0001780A" w:rsidRDefault="002D22FA" w:rsidP="002D22FA">
      <w:pPr>
        <w:tabs>
          <w:tab w:val="left" w:pos="9025"/>
        </w:tabs>
        <w:spacing w:after="0" w:line="360" w:lineRule="auto"/>
        <w:jc w:val="both"/>
        <w:rPr>
          <w:rFonts w:ascii="Garamond" w:hAnsi="Garamond"/>
          <w:b/>
          <w:bCs/>
          <w:i/>
          <w:iCs/>
          <w:sz w:val="24"/>
          <w:szCs w:val="24"/>
        </w:rPr>
      </w:pPr>
    </w:p>
    <w:p w:rsidR="002D22FA" w:rsidRPr="00C93102" w:rsidRDefault="002D22FA" w:rsidP="002D22FA">
      <w:pPr>
        <w:tabs>
          <w:tab w:val="left" w:pos="9025"/>
        </w:tabs>
        <w:spacing w:after="0" w:line="360" w:lineRule="auto"/>
        <w:jc w:val="both"/>
        <w:rPr>
          <w:rFonts w:ascii="Garamond" w:hAnsi="Garamond"/>
          <w:b/>
          <w:bCs/>
          <w:i/>
          <w:iCs/>
          <w:szCs w:val="24"/>
        </w:rPr>
      </w:pPr>
      <w:r w:rsidRPr="00C93102">
        <w:rPr>
          <w:rFonts w:ascii="Garamond" w:hAnsi="Garamond"/>
          <w:b/>
          <w:bCs/>
          <w:i/>
          <w:iCs/>
          <w:szCs w:val="24"/>
        </w:rPr>
        <w:t>Boycott functions</w:t>
      </w:r>
    </w:p>
    <w:p w:rsidR="002D22FA" w:rsidRPr="0001780A" w:rsidRDefault="002D22FA" w:rsidP="002D22FA">
      <w:pPr>
        <w:tabs>
          <w:tab w:val="left" w:pos="9025"/>
        </w:tabs>
        <w:spacing w:after="0" w:line="360" w:lineRule="auto"/>
        <w:jc w:val="both"/>
        <w:rPr>
          <w:rFonts w:ascii="Garamond" w:hAnsi="Garamond"/>
          <w:sz w:val="24"/>
          <w:szCs w:val="24"/>
        </w:rPr>
      </w:pPr>
    </w:p>
    <w:p w:rsidR="002D22FA" w:rsidRDefault="002D22FA" w:rsidP="002D22FA">
      <w:pPr>
        <w:tabs>
          <w:tab w:val="left" w:pos="9025"/>
        </w:tabs>
        <w:spacing w:after="0" w:line="360" w:lineRule="auto"/>
        <w:jc w:val="both"/>
        <w:rPr>
          <w:rFonts w:ascii="Garamond" w:hAnsi="Garamond"/>
          <w:sz w:val="24"/>
          <w:szCs w:val="24"/>
        </w:rPr>
      </w:pPr>
      <w:r w:rsidRPr="0001780A">
        <w:rPr>
          <w:rFonts w:ascii="Garamond" w:hAnsi="Garamond"/>
          <w:sz w:val="24"/>
          <w:szCs w:val="24"/>
        </w:rPr>
        <w:t>Smith argues that symbolic boycotts are effective through broadcasting the dissonance between the actual policies of a company and its branded reputation. This aspect of the boycott</w:t>
      </w:r>
      <w:r>
        <w:rPr>
          <w:rFonts w:ascii="Garamond" w:hAnsi="Garamond"/>
          <w:sz w:val="24"/>
          <w:szCs w:val="24"/>
        </w:rPr>
        <w:t xml:space="preserve"> is celebrated by Hartwick (2000</w:t>
      </w:r>
      <w:r w:rsidRPr="0001780A">
        <w:rPr>
          <w:rFonts w:ascii="Garamond" w:hAnsi="Garamond"/>
          <w:sz w:val="24"/>
          <w:szCs w:val="24"/>
        </w:rPr>
        <w:t xml:space="preserve">) as the process of unveiling commodity fetishes. In Friedman’s terminology boycott functions are either instrumentally based and have “practical ends in mind” (1999: 12), or are concerned with expressing the frustrations of the protesters with the egregious company (expressive boycotts). Expressive boycotts tend to be more vague and short term than instrumental boycotts, with their desires being clear but their means of achieving them less so. As a hybrid of both functions, </w:t>
      </w:r>
      <w:r w:rsidRPr="0001780A">
        <w:rPr>
          <w:rFonts w:ascii="Garamond" w:hAnsi="Garamond"/>
          <w:sz w:val="24"/>
          <w:szCs w:val="24"/>
        </w:rPr>
        <w:lastRenderedPageBreak/>
        <w:t>Friedman describes punitive boycotts as an expressive reaction to irreversible policies by a target, which over a long timescale can have instrumental effects on the policies of other companies.  A good example of a punitive (and also surrogate) boycott is the boycott of Tata salt by the survivors of the 1984 Union Carbide disaster in Bhopal. Tata’s chairman, Ratan Tata, incensed the boycotters as he took responsibility for the environmental and human damage caused by Union Carbide’s toxic waste in Bhopal. The effects of this boycott were wide reaching as the protesters made allegations against the Tata brand that connected the founding family with the smuggling of Bengali opium to China in the nineteenth century, and the company’s steel factories in Oriss</w:t>
      </w:r>
      <w:r w:rsidR="00F44C33">
        <w:rPr>
          <w:rFonts w:ascii="Garamond" w:hAnsi="Garamond"/>
          <w:sz w:val="24"/>
          <w:szCs w:val="24"/>
        </w:rPr>
        <w:t xml:space="preserve">a with contaminated groundwater. </w:t>
      </w:r>
      <w:r w:rsidRPr="0001780A">
        <w:rPr>
          <w:rFonts w:ascii="Garamond" w:hAnsi="Garamond"/>
          <w:sz w:val="24"/>
          <w:szCs w:val="24"/>
        </w:rPr>
        <w:t>As a reaction to this boycott, companies with presumed colonial histories in India have increasingly had to defend their brands against charges of cult</w:t>
      </w:r>
      <w:r>
        <w:rPr>
          <w:rFonts w:ascii="Garamond" w:hAnsi="Garamond"/>
          <w:sz w:val="24"/>
          <w:szCs w:val="24"/>
        </w:rPr>
        <w:t>ural imperialism (Misra, 2007</w:t>
      </w:r>
      <w:r w:rsidRPr="0001780A">
        <w:rPr>
          <w:rFonts w:ascii="Garamond" w:hAnsi="Garamond"/>
          <w:sz w:val="24"/>
          <w:szCs w:val="24"/>
        </w:rPr>
        <w:t xml:space="preserve">), where perceived misdemeanours of the past are connected to </w:t>
      </w:r>
      <w:r>
        <w:rPr>
          <w:rFonts w:ascii="Garamond" w:hAnsi="Garamond"/>
          <w:sz w:val="24"/>
          <w:szCs w:val="24"/>
        </w:rPr>
        <w:t>accusations of W</w:t>
      </w:r>
      <w:r w:rsidRPr="0001780A">
        <w:rPr>
          <w:rFonts w:ascii="Garamond" w:hAnsi="Garamond"/>
          <w:sz w:val="24"/>
          <w:szCs w:val="24"/>
        </w:rPr>
        <w:t xml:space="preserve">estern homogenization and damage to environments and </w:t>
      </w:r>
      <w:r w:rsidRPr="00886A74">
        <w:rPr>
          <w:rFonts w:ascii="Garamond" w:hAnsi="Garamond"/>
          <w:sz w:val="24"/>
          <w:szCs w:val="24"/>
        </w:rPr>
        <w:t>communities. The boycott began as an expression of discontent and over time raised awareness among Indian corporations of the importance of defending their legacies and image (Micheletti et al. 2006).</w:t>
      </w:r>
    </w:p>
    <w:p w:rsidR="002D22FA" w:rsidRDefault="002D22FA" w:rsidP="002D22FA">
      <w:pPr>
        <w:tabs>
          <w:tab w:val="left" w:pos="9025"/>
        </w:tabs>
        <w:spacing w:after="0" w:line="360" w:lineRule="auto"/>
        <w:jc w:val="both"/>
        <w:rPr>
          <w:rFonts w:ascii="Garamond" w:hAnsi="Garamond"/>
          <w:sz w:val="24"/>
          <w:szCs w:val="24"/>
        </w:rPr>
      </w:pPr>
    </w:p>
    <w:p w:rsidR="007B431E" w:rsidRPr="00F07857" w:rsidRDefault="002D22FA" w:rsidP="00F07857">
      <w:pPr>
        <w:tabs>
          <w:tab w:val="left" w:pos="9025"/>
        </w:tabs>
        <w:spacing w:after="0" w:line="360" w:lineRule="auto"/>
        <w:jc w:val="both"/>
        <w:rPr>
          <w:rFonts w:ascii="Garamond" w:hAnsi="Garamond"/>
          <w:sz w:val="24"/>
          <w:szCs w:val="24"/>
        </w:rPr>
      </w:pPr>
      <w:r w:rsidRPr="00886A74">
        <w:rPr>
          <w:rFonts w:ascii="Garamond" w:hAnsi="Garamond"/>
          <w:sz w:val="24"/>
        </w:rPr>
        <w:t xml:space="preserve">The scholarship on boycott process, type, function and effects by Smith (1990) and Friedman (1999) offers useful starting points for considering the process, breadth and diversity of commodity boycotts. But their typology of boycotts is too reductive and prescriptive. Commodity boycotts rarely fall into the categories that they suggest, but instead incorporate many of the different elements of shunning, withdrawal and punishment available to activists. Missing from their accounts, and Jasper's (1999) work on boycotts in social movements, are the more proximate politics of boycotters. Boycotting, as I show, enables organizations to mobilize specific types of geographical imaginations, and incorporates specific activisms that are aimed not towards damaging distant economies but at transforming proximate social perceptions and political organizing.       </w:t>
      </w:r>
    </w:p>
    <w:p w:rsidR="002D22FA" w:rsidRPr="00886A74" w:rsidRDefault="002D22FA" w:rsidP="00F07857">
      <w:pPr>
        <w:spacing w:after="0" w:line="360" w:lineRule="auto"/>
        <w:rPr>
          <w:rFonts w:ascii="Garamond" w:hAnsi="Garamond"/>
          <w:sz w:val="24"/>
        </w:rPr>
      </w:pPr>
    </w:p>
    <w:p w:rsidR="00F44C33" w:rsidRDefault="002D22FA" w:rsidP="00F07857">
      <w:pPr>
        <w:pStyle w:val="Heading2"/>
      </w:pPr>
      <w:bookmarkStart w:id="286" w:name="_Toc244453631"/>
      <w:bookmarkStart w:id="287" w:name="_Toc244454148"/>
      <w:bookmarkStart w:id="288" w:name="_Toc244469595"/>
      <w:bookmarkStart w:id="289" w:name="_Toc244508051"/>
      <w:bookmarkStart w:id="290" w:name="_Toc244535745"/>
      <w:bookmarkStart w:id="291" w:name="_Toc244578377"/>
      <w:bookmarkStart w:id="292" w:name="_Toc244578761"/>
      <w:bookmarkStart w:id="293" w:name="_Toc263452011"/>
      <w:bookmarkStart w:id="294" w:name="_Toc263510929"/>
      <w:r w:rsidRPr="00F44C33">
        <w:t>Five: Approaching activist bodywork</w:t>
      </w:r>
      <w:bookmarkEnd w:id="286"/>
      <w:bookmarkEnd w:id="287"/>
      <w:bookmarkEnd w:id="288"/>
      <w:bookmarkEnd w:id="289"/>
      <w:bookmarkEnd w:id="290"/>
      <w:bookmarkEnd w:id="291"/>
      <w:bookmarkEnd w:id="292"/>
      <w:bookmarkEnd w:id="293"/>
      <w:bookmarkEnd w:id="294"/>
    </w:p>
    <w:p w:rsidR="002D22FA" w:rsidRPr="00F44C33" w:rsidRDefault="002D22FA" w:rsidP="00F44C33"/>
    <w:p w:rsidR="002D22FA" w:rsidRPr="00F44C33" w:rsidRDefault="002D22FA" w:rsidP="002D22FA">
      <w:pPr>
        <w:spacing w:after="0" w:line="360" w:lineRule="auto"/>
        <w:ind w:left="284" w:right="284"/>
        <w:jc w:val="both"/>
        <w:rPr>
          <w:rFonts w:ascii="Garamond" w:hAnsi="Garamond"/>
        </w:rPr>
      </w:pPr>
      <w:r w:rsidRPr="00F44C33">
        <w:rPr>
          <w:rFonts w:ascii="Garamond" w:hAnsi="Garamond"/>
        </w:rPr>
        <w:t xml:space="preserve">If one thing is certain, it is that we all have a body. Everything we do, we do with our bodies - when we think, speak, listen, eat, sleep, walk, relax, work and play – we ‘use’ our bodies. Every aspect of our lives is therefore embodied. </w:t>
      </w:r>
      <w:r w:rsidR="00DF2DF8" w:rsidRPr="00F44C33">
        <w:rPr>
          <w:rFonts w:ascii="Garamond" w:hAnsi="Garamond"/>
        </w:rPr>
        <w:fldChar w:fldCharType="begin"/>
      </w:r>
      <w:r w:rsidRPr="00F44C33">
        <w:rPr>
          <w:rFonts w:ascii="Garamond" w:hAnsi="Garamond"/>
        </w:rPr>
        <w:instrText xml:space="preserve"> ADDIN EN.CITE &lt;EndNote&gt;&lt;Cite&gt;&lt;Author&gt;Nettleton&lt;/Author&gt;&lt;Year&gt;1998&lt;/Year&gt;&lt;RecNum&gt;14&lt;/RecNum&gt;&lt;Pages&gt;1&lt;/Pages&gt;&lt;record&gt;&lt;rec-number&gt;14&lt;/rec-number&gt;&lt;foreign-keys&gt;&lt;key app="EN" db-id="2wrpwzvemxr2zzexxxyxf5abst5stst2rz22"&gt;14&lt;/key&gt;&lt;/foreign-keys&gt;&lt;ref-type name="Edited Book"&gt;28&lt;/ref-type&gt;&lt;contributors&gt;&lt;authors&gt;&lt;author&gt;Sarah Nettleton&lt;/author&gt;&lt;author&gt;Jonathan Watson&lt;/author&gt;&lt;/authors&gt;&lt;/contributors&gt;&lt;titles&gt;&lt;title&gt;The Body in Everyday Life&lt;/title&gt;&lt;/titles&gt;&lt;dates&gt;&lt;year&gt;1998&lt;/year&gt;&lt;/dates&gt;&lt;pub-location&gt;London&lt;/pub-location&gt;&lt;publisher&gt;Routledge&lt;/publisher&gt;&lt;urls&gt;&lt;/urls&gt;&lt;/record&gt;&lt;/Cite&gt;&lt;/EndNote&gt;</w:instrText>
      </w:r>
      <w:r w:rsidR="00DF2DF8" w:rsidRPr="00F44C33">
        <w:rPr>
          <w:rFonts w:ascii="Garamond" w:hAnsi="Garamond"/>
        </w:rPr>
        <w:fldChar w:fldCharType="separate"/>
      </w:r>
      <w:r w:rsidRPr="00F44C33">
        <w:rPr>
          <w:rFonts w:ascii="Garamond" w:hAnsi="Garamond"/>
        </w:rPr>
        <w:t>(Nettleton and Watson, 1998: 1)</w:t>
      </w:r>
      <w:r w:rsidR="00DF2DF8" w:rsidRPr="00F44C33">
        <w:rPr>
          <w:rFonts w:ascii="Garamond" w:hAnsi="Garamond"/>
        </w:rPr>
        <w:fldChar w:fldCharType="end"/>
      </w:r>
    </w:p>
    <w:p w:rsidR="002D22FA" w:rsidRPr="00886A74" w:rsidRDefault="002D22FA" w:rsidP="002D22FA">
      <w:pPr>
        <w:pStyle w:val="NormalWeb"/>
        <w:shd w:val="clear" w:color="auto" w:fill="FFFFFF"/>
        <w:spacing w:before="0" w:beforeAutospacing="0" w:after="0" w:afterAutospacing="0" w:line="360" w:lineRule="auto"/>
        <w:jc w:val="both"/>
        <w:textAlignment w:val="baseline"/>
        <w:rPr>
          <w:rFonts w:ascii="Garamond" w:eastAsiaTheme="minorHAnsi" w:hAnsi="Garamond" w:cstheme="minorBidi"/>
          <w:iCs/>
          <w:lang w:eastAsia="en-US"/>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eastAsiaTheme="minorHAnsi" w:hAnsi="Garamond" w:cstheme="minorBidi"/>
          <w:iCs/>
          <w:lang w:eastAsia="en-US"/>
        </w:rPr>
      </w:pPr>
      <w:r w:rsidRPr="00886A74">
        <w:rPr>
          <w:rFonts w:ascii="Garamond" w:eastAsiaTheme="minorHAnsi" w:hAnsi="Garamond" w:cstheme="minorBidi"/>
          <w:iCs/>
          <w:lang w:eastAsia="en-US"/>
        </w:rPr>
        <w:lastRenderedPageBreak/>
        <w:t>The reluctance to think about commodity-body materialities of activisms and their intersections with more traditional geographies of class, gender</w:t>
      </w:r>
      <w:r w:rsidRPr="0001780A">
        <w:rPr>
          <w:rFonts w:ascii="Garamond" w:eastAsiaTheme="minorHAnsi" w:hAnsi="Garamond" w:cstheme="minorBidi"/>
          <w:iCs/>
          <w:lang w:eastAsia="en-US"/>
        </w:rPr>
        <w:t>, race and sexuality in practice orientated work on ethical consumption can produce celebratory descriptions of activist process. By focusing on the visual, affective and emotional construction of embodied relationships between commodities, producers, activists and consumers in the campaigns of the BOA and STT, I aim to '</w:t>
      </w:r>
      <w:r>
        <w:rPr>
          <w:rFonts w:ascii="Garamond" w:eastAsiaTheme="minorHAnsi" w:hAnsi="Garamond" w:cstheme="minorBidi"/>
          <w:iCs/>
          <w:lang w:eastAsia="en-US"/>
        </w:rPr>
        <w:t>make matter matter' (Barnett et</w:t>
      </w:r>
      <w:r w:rsidRPr="0001780A">
        <w:rPr>
          <w:rFonts w:ascii="Garamond" w:eastAsiaTheme="minorHAnsi" w:hAnsi="Garamond" w:cstheme="minorBidi"/>
          <w:iCs/>
          <w:lang w:eastAsia="en-US"/>
        </w:rPr>
        <w:t xml:space="preserve"> al., 2013) and reconnect activist practice with the broader power relations between different subjects and places.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eastAsiaTheme="minorHAnsi" w:hAnsi="Garamond" w:cstheme="minorBidi"/>
          <w:iCs/>
          <w:lang w:eastAsia="en-US"/>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My opening chapters on the BOA and STT are primarily concerned with considering how and where citrus and chocolate ‘bodywork’ is performed. As a concept, bodywork proffers a description of the relationships between specific commodities, practices and bodies forwarded in activist campaigns. Boycotter bodywork is the work activists do to commodity-body relationships to emote and create geographical imaginations and solidarities. It involves work both in the sense of the intentional paid and voluntary labour of activists </w:t>
      </w:r>
      <w:r w:rsidRPr="0001780A">
        <w:rPr>
          <w:rFonts w:ascii="Garamond" w:hAnsi="Garamond"/>
          <w:i/>
        </w:rPr>
        <w:t xml:space="preserve">and </w:t>
      </w:r>
      <w:r w:rsidRPr="0001780A">
        <w:rPr>
          <w:rFonts w:ascii="Garamond" w:hAnsi="Garamond"/>
        </w:rPr>
        <w:t xml:space="preserve">in the sense of the work of particular forms of matter. The excessive and magical properties of commodities and their vibrancy as forms of matter means that activist bodywork can produce effects and affects well beyond the fields of boycotter intentionality. Bodywork takes textual and visual forms but it is also bound up in somatic and pre-cognitive reactions, and with the 'grand emotions' (Pinker, 2010) of pity, compassion, guilt and belonging. So here, I think through bodywork by showing why the body is important to boycott campaigns; I position the different approaches to the body that inform bodywork; I introduce work on embodied food; and I outline some of the commodity-body relationships integral to boycotter practice.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C93102" w:rsidRPr="00C93102" w:rsidRDefault="00C93102" w:rsidP="00C93102">
      <w:pPr>
        <w:pStyle w:val="NormalWeb"/>
        <w:shd w:val="clear" w:color="auto" w:fill="FFFFFF"/>
        <w:spacing w:before="0" w:beforeAutospacing="0" w:after="0" w:afterAutospacing="0" w:line="360" w:lineRule="auto"/>
        <w:jc w:val="both"/>
        <w:textAlignment w:val="baseline"/>
        <w:rPr>
          <w:rFonts w:ascii="Garamond" w:hAnsi="Garamond"/>
          <w:b/>
          <w:i/>
          <w:sz w:val="22"/>
        </w:rPr>
      </w:pPr>
      <w:r w:rsidRPr="00C93102">
        <w:rPr>
          <w:rFonts w:ascii="Garamond" w:hAnsi="Garamond"/>
          <w:b/>
          <w:i/>
          <w:sz w:val="22"/>
        </w:rPr>
        <w:t xml:space="preserve">Bodies in bodywork </w:t>
      </w:r>
    </w:p>
    <w:p w:rsidR="002D22FA" w:rsidRPr="0001780A" w:rsidRDefault="002D22FA" w:rsidP="002D22FA">
      <w:pPr>
        <w:autoSpaceDE w:val="0"/>
        <w:autoSpaceDN w:val="0"/>
        <w:adjustRightInd w:val="0"/>
        <w:spacing w:after="0" w:line="360" w:lineRule="auto"/>
        <w:ind w:left="284" w:right="284"/>
        <w:jc w:val="both"/>
        <w:rPr>
          <w:rFonts w:ascii="Garamond" w:hAnsi="Garamond" w:cs="Sabon-Roman"/>
          <w:sz w:val="24"/>
        </w:rPr>
      </w:pPr>
    </w:p>
    <w:p w:rsidR="002D22FA" w:rsidRPr="00F44C33" w:rsidRDefault="002D22FA" w:rsidP="002D22FA">
      <w:pPr>
        <w:autoSpaceDE w:val="0"/>
        <w:autoSpaceDN w:val="0"/>
        <w:adjustRightInd w:val="0"/>
        <w:spacing w:after="0" w:line="360" w:lineRule="auto"/>
        <w:ind w:left="284" w:right="284"/>
        <w:jc w:val="both"/>
        <w:rPr>
          <w:rFonts w:ascii="Garamond" w:hAnsi="Garamond" w:cs="Sabon-Roman"/>
        </w:rPr>
      </w:pPr>
      <w:r w:rsidRPr="00F44C33">
        <w:rPr>
          <w:rFonts w:ascii="Garamond" w:hAnsi="Garamond" w:cs="Sabon-Roman"/>
        </w:rPr>
        <w:t xml:space="preserve">Bodies are conundrums, paradoxes, riddles that are impossible to solve. They are deeply embedded in psychoanalytic, symbolic, and social processes yet at the same time they are undoubtedly biological, material, and “real.” Bodies are an effect of discourse but they are also foundational. They are referential and material, natural and cultural, universal and unique. (Longhurst, 2005: 337) </w:t>
      </w:r>
    </w:p>
    <w:p w:rsidR="002D22FA" w:rsidRPr="0001780A" w:rsidRDefault="002D22FA" w:rsidP="002D22FA">
      <w:pPr>
        <w:autoSpaceDE w:val="0"/>
        <w:autoSpaceDN w:val="0"/>
        <w:adjustRightInd w:val="0"/>
        <w:spacing w:after="0" w:line="360" w:lineRule="auto"/>
        <w:ind w:left="284" w:right="284"/>
        <w:jc w:val="both"/>
        <w:rPr>
          <w:rFonts w:ascii="Garamond" w:hAnsi="Garamond" w:cs="Sabon-Roman"/>
          <w:sz w:val="24"/>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The body needs conceiving first. Why do I focus primarily on bodies rather than practice, networks or solidarities? In anti-apartheid and anti-trafficking campaign material, the body is frequently positioned as the "cultural, political and theoretical </w:t>
      </w:r>
      <w:r w:rsidRPr="0001780A">
        <w:rPr>
          <w:rFonts w:ascii="Garamond" w:hAnsi="Garamond"/>
        </w:rPr>
        <w:lastRenderedPageBreak/>
        <w:t xml:space="preserve">battlefield" (Simonsen, 2000:9). Boycotting activists, as I show, produce representations of bodies as sites of inscription for metaphor, metonymy, allegory, affect and geographical imaginations. At different times activist, consumer and producer bodies are made to evoke visceral set-pieces, and perform politics where the materiality of the body is utilized to create spaces of resistance (such pickets, stand-ins and demonstrations).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The political economies of apartheid that the BOA contested, and of chocolate that STT engage with today, share commonality in that social and economic relations between groups are clearly defined by their bodies (white, coloured, and black bodies in the case of apartheid, and black and white, and child and adult bodies in relation to the chocolate industry). According to Goldberg (2009), South African apartheid produced a 'sociality of skin': governance</w:t>
      </w:r>
      <w:r w:rsidRPr="0001780A">
        <w:rPr>
          <w:rFonts w:ascii="Garamond" w:eastAsiaTheme="minorHAnsi" w:hAnsi="Garamond"/>
        </w:rPr>
        <w:t xml:space="preserve"> was centred on white reification and black abjection and incarceration</w:t>
      </w:r>
      <w:r w:rsidRPr="0001780A">
        <w:rPr>
          <w:rFonts w:ascii="Garamond" w:hAnsi="Garamond"/>
        </w:rPr>
        <w:t>. The BOA's work contested the imposition of the colourline both in apartheid South Africa and within the Dutch anti-apartheid movement itself. The colourline, as I show in</w:t>
      </w:r>
      <w:r>
        <w:rPr>
          <w:rFonts w:ascii="Garamond" w:hAnsi="Garamond"/>
        </w:rPr>
        <w:t xml:space="preserve"> Chapter F</w:t>
      </w:r>
      <w:r w:rsidRPr="0001780A">
        <w:rPr>
          <w:rFonts w:ascii="Garamond" w:hAnsi="Garamond"/>
        </w:rPr>
        <w:t xml:space="preserve">ive, continues to cut a swathe across the chocolate industry. Across the project I show how the BOA and STT intervene in the 'making-up' of embodied practices of consumption (shopping, eating, migrating, creating the 'ethical' self), and extend boycotter tropes into solidarities, other anti-trafficking work, and forms of antiracism.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Combining particular body subjectivities with distinctive ethics or moods has been part of boycotter practice for two centuries. For example, the 'redemptive' masculine black slave body and the 'sweet' white feminine consumer were common body tropes utilized by the anti-saccharite movement. The self-sacrificial and hunger-striking male body was integral to mobilizing self-sufficiency in the Swadeshi movement. In relation to both the BOA and STT, I show that anti-apartheid and anti-trafficking politics work outward from particular bodies and embodied relationships. Spectacular and banal forms of racialization emerge from the bodywork of both organizations as interpolating forms and affective devices, as indicators of difference that convey the requirement for solidarity-based and humanitarian politics. Throughout the thesis I comment on the performances and construction of race as carrying different types of intentionality and meaning, and varying levels of self-reflexivity. Cartesian, social constructivist, phenomenological and materialist approaches to the body illustrate different aspects of bodywork.  </w:t>
      </w:r>
    </w:p>
    <w:p w:rsidR="002D22F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C93102" w:rsidRDefault="00C93102"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C93102" w:rsidRDefault="002D22FA"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sidRPr="00C93102">
        <w:rPr>
          <w:rFonts w:ascii="Garamond" w:hAnsi="Garamond"/>
          <w:b/>
          <w:i/>
          <w:sz w:val="22"/>
        </w:rPr>
        <w:lastRenderedPageBreak/>
        <w:t>The Cartesian body as a site of inscription</w:t>
      </w:r>
    </w:p>
    <w:p w:rsidR="002D22FA" w:rsidRPr="00C93102" w:rsidRDefault="002D22FA" w:rsidP="002D22FA">
      <w:pPr>
        <w:pStyle w:val="NormalWeb"/>
        <w:shd w:val="clear" w:color="auto" w:fill="FFFFFF"/>
        <w:spacing w:before="0" w:beforeAutospacing="0" w:after="0" w:afterAutospacing="0" w:line="360" w:lineRule="auto"/>
        <w:jc w:val="both"/>
        <w:textAlignment w:val="baseline"/>
        <w:rPr>
          <w:rFonts w:ascii="Garamond" w:hAnsi="Garamond"/>
          <w:b/>
          <w:sz w:val="22"/>
        </w:rPr>
      </w:pPr>
    </w:p>
    <w:p w:rsidR="00F44C33"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Representations and depictions of producer and consumer bodies in humanitarian boycott campaign material is often informed by Cartesian dualisms that serve to emphasise differences between privilege and suffering, civilized and unruly, and active and passive. These dualisms create imaginations of alterity which in turn provide the social and psychological distances between bodies required for the base connective emotions of guilt, shame and pity to take hold.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 xml:space="preserve">In </w:t>
      </w:r>
      <w:r w:rsidRPr="0001780A">
        <w:rPr>
          <w:rFonts w:ascii="Garamond" w:hAnsi="Garamond"/>
          <w:i/>
          <w:iCs/>
          <w:sz w:val="24"/>
          <w:szCs w:val="24"/>
        </w:rPr>
        <w:t>Volatile bodies: towards a corporeal feminism</w:t>
      </w:r>
      <w:r w:rsidRPr="0001780A">
        <w:rPr>
          <w:rFonts w:ascii="Garamond" w:hAnsi="Garamond"/>
          <w:sz w:val="24"/>
          <w:szCs w:val="24"/>
        </w:rPr>
        <w:t xml:space="preserve"> Elizabeth Grosz </w:t>
      </w:r>
      <w:r w:rsidR="00DF2DF8" w:rsidRPr="0001780A">
        <w:rPr>
          <w:rFonts w:ascii="Garamond" w:hAnsi="Garamond"/>
          <w:sz w:val="24"/>
          <w:szCs w:val="24"/>
        </w:rPr>
        <w:fldChar w:fldCharType="begin"/>
      </w:r>
      <w:r w:rsidRPr="0001780A">
        <w:rPr>
          <w:rFonts w:ascii="Garamond" w:hAnsi="Garamond"/>
          <w:sz w:val="24"/>
          <w:szCs w:val="24"/>
        </w:rPr>
        <w:instrText xml:space="preserve"> ADDIN EN.CITE &lt;EndNote&gt;&lt;Cite ExcludeAuth="1"&gt;&lt;Author&gt;Grosz&lt;/Author&gt;&lt;Year&gt;1994&lt;/Year&gt;&lt;RecNum&gt;30&lt;/RecNum&gt;&lt;record&gt;&lt;rec-number&gt;30&lt;/rec-number&gt;&lt;foreign-keys&gt;&lt;key app="EN" db-id="2wrpwzvemxr2zzexxxyxf5abst5stst2rz22"&gt;30&lt;/key&gt;&lt;/foreign-keys&gt;&lt;ref-type name="Book"&gt;6&lt;/ref-type&gt;&lt;contributors&gt;&lt;authors&gt;&lt;author&gt;Grosz, Elizabeth&lt;/author&gt;&lt;/authors&gt;&lt;/contributors&gt;&lt;titles&gt;&lt;title&gt;Volatile Bodies: Toward a Corporeal Feminism (Theories of Representation and Difference) &lt;/title&gt;&lt;/titles&gt;&lt;dates&gt;&lt;year&gt;1994&lt;/year&gt;&lt;/dates&gt;&lt;publisher&gt;Indiana University Press &lt;/publisher&gt;&lt;urls&gt;&lt;/urls&gt;&lt;/record&gt;&lt;/Cite&gt;&lt;/EndNote&gt;</w:instrText>
      </w:r>
      <w:r w:rsidR="00DF2DF8" w:rsidRPr="0001780A">
        <w:rPr>
          <w:rFonts w:ascii="Garamond" w:hAnsi="Garamond"/>
          <w:sz w:val="24"/>
          <w:szCs w:val="24"/>
        </w:rPr>
        <w:fldChar w:fldCharType="separate"/>
      </w:r>
      <w:r w:rsidRPr="0001780A">
        <w:rPr>
          <w:rFonts w:ascii="Garamond" w:hAnsi="Garamond"/>
          <w:sz w:val="24"/>
          <w:szCs w:val="24"/>
        </w:rPr>
        <w:t>(1994)</w:t>
      </w:r>
      <w:r w:rsidR="00DF2DF8" w:rsidRPr="0001780A">
        <w:rPr>
          <w:rFonts w:ascii="Garamond" w:hAnsi="Garamond"/>
          <w:sz w:val="24"/>
          <w:szCs w:val="24"/>
        </w:rPr>
        <w:fldChar w:fldCharType="end"/>
      </w:r>
      <w:r w:rsidRPr="0001780A">
        <w:rPr>
          <w:rFonts w:ascii="Garamond" w:hAnsi="Garamond"/>
          <w:sz w:val="24"/>
          <w:szCs w:val="24"/>
        </w:rPr>
        <w:t xml:space="preserve"> proposes that from antiquity philosophy has suffered from profound somatophobia. Plato, Aristotle and subsequent enlightenment thinkers re-affirmed the body as a prison for the mind. Enlightenment Christianity immortalized the mind with the soul and condemned the body to sinful carnality.  There began a genealogy of the body politic and bodily representations based on a series of mind/body binaries that has since repeated ad-infinitum. In </w:t>
      </w:r>
      <w:r w:rsidR="00AE09DA">
        <w:rPr>
          <w:rFonts w:ascii="Garamond" w:hAnsi="Garamond"/>
          <w:i/>
          <w:sz w:val="24"/>
          <w:szCs w:val="24"/>
        </w:rPr>
        <w:t>Simian</w:t>
      </w:r>
      <w:r w:rsidRPr="00A02F07">
        <w:rPr>
          <w:rFonts w:ascii="Garamond" w:hAnsi="Garamond"/>
          <w:i/>
          <w:sz w:val="24"/>
          <w:szCs w:val="24"/>
        </w:rPr>
        <w:t>s, Cyborgs and Women</w:t>
      </w:r>
      <w:r w:rsidRPr="0001780A">
        <w:rPr>
          <w:rFonts w:ascii="Garamond" w:hAnsi="Garamond"/>
          <w:i/>
          <w:sz w:val="24"/>
          <w:szCs w:val="24"/>
        </w:rPr>
        <w:t xml:space="preserve">, </w:t>
      </w:r>
      <w:r w:rsidRPr="0001780A">
        <w:rPr>
          <w:rFonts w:ascii="Garamond" w:hAnsi="Garamond"/>
          <w:sz w:val="24"/>
          <w:szCs w:val="24"/>
        </w:rPr>
        <w:t>Donna Haraway explains:</w:t>
      </w:r>
    </w:p>
    <w:p w:rsidR="002D22FA" w:rsidRPr="0001780A" w:rsidRDefault="002D22FA" w:rsidP="002D22FA">
      <w:pPr>
        <w:tabs>
          <w:tab w:val="left" w:pos="7371"/>
        </w:tabs>
        <w:spacing w:after="0" w:line="360" w:lineRule="auto"/>
        <w:ind w:left="284" w:right="284"/>
        <w:jc w:val="both"/>
        <w:rPr>
          <w:rFonts w:ascii="Garamond" w:hAnsi="Garamond"/>
          <w:sz w:val="24"/>
        </w:rPr>
      </w:pPr>
    </w:p>
    <w:p w:rsidR="002D22FA" w:rsidRPr="00F44C33" w:rsidRDefault="002D22FA" w:rsidP="002D22FA">
      <w:pPr>
        <w:tabs>
          <w:tab w:val="left" w:pos="7371"/>
        </w:tabs>
        <w:spacing w:after="0" w:line="360" w:lineRule="auto"/>
        <w:ind w:left="284" w:right="284"/>
        <w:jc w:val="both"/>
        <w:rPr>
          <w:rFonts w:ascii="Garamond" w:hAnsi="Garamond"/>
        </w:rPr>
      </w:pPr>
      <w:r w:rsidRPr="00F44C33">
        <w:rPr>
          <w:rFonts w:ascii="Garamond" w:hAnsi="Garamond"/>
        </w:rPr>
        <w:t>Certain dualisms have been persistent in Western traditions; they have all been systemic to the logics and practices of domination of women…and domination of all constituted others, whose tas</w:t>
      </w:r>
      <w:r w:rsidR="00AE09DA">
        <w:rPr>
          <w:rFonts w:ascii="Garamond" w:hAnsi="Garamond"/>
        </w:rPr>
        <w:tab/>
      </w:r>
      <w:r w:rsidRPr="00F44C33">
        <w:rPr>
          <w:rFonts w:ascii="Garamond" w:hAnsi="Garamond"/>
        </w:rPr>
        <w:t xml:space="preserve">k is to mirror the self. Chief among these troubling dualisms are: self/ other, mind/body, culture/nature, male/female, civilized/privileged, reality/appearance, whole/part, agent/resource, maker/made, active/passive, right/wrong, truth/illusion, total/partial, God/man. </w:t>
      </w:r>
      <w:r w:rsidR="00DF2DF8" w:rsidRPr="00F44C33">
        <w:rPr>
          <w:rFonts w:ascii="Garamond" w:hAnsi="Garamond"/>
        </w:rPr>
        <w:fldChar w:fldCharType="begin"/>
      </w:r>
      <w:r w:rsidRPr="00F44C33">
        <w:rPr>
          <w:rFonts w:ascii="Garamond" w:hAnsi="Garamond"/>
        </w:rPr>
        <w:instrText xml:space="preserve"> ADDIN EN.CITE &lt;EndNote&gt;&lt;Cite ExcludeAuth="1"&gt;&lt;Author&gt;Haraway&lt;/Author&gt;&lt;Year&gt;1991&lt;/Year&gt;&lt;RecNum&gt;25&lt;/RecNum&gt;&lt;Pages&gt;177&lt;/Pages&gt;&lt;record&gt;&lt;rec-number&gt;25&lt;/rec-number&gt;&lt;foreign-keys&gt;&lt;key app="EN" db-id="2wrpwzvemxr2zzexxxyxf5abst5stst2rz22"&gt;25&lt;/key&gt;&lt;/foreign-keys&gt;&lt;ref-type name="Book"&gt;6&lt;/ref-type&gt;&lt;contributors&gt;&lt;authors&gt;&lt;author&gt;Haraway, Donna&lt;/author&gt;&lt;/authors&gt;&lt;/contributors&gt;&lt;titles&gt;&lt;title&gt;Simians, Cyborgs and Women: The Reinvention of Nature&lt;/title&gt;&lt;/titles&gt;&lt;dates&gt;&lt;year&gt;1991&lt;/year&gt;&lt;/dates&gt;&lt;pub-location&gt;New York&lt;/pub-location&gt;&lt;publisher&gt;Routledge&lt;/publisher&gt;&lt;urls&gt;&lt;/urls&gt;&lt;/record&gt;&lt;/Cite&gt;&lt;/EndNote&gt;</w:instrText>
      </w:r>
      <w:r w:rsidR="00DF2DF8" w:rsidRPr="00F44C33">
        <w:rPr>
          <w:rFonts w:ascii="Garamond" w:hAnsi="Garamond"/>
        </w:rPr>
        <w:fldChar w:fldCharType="separate"/>
      </w:r>
      <w:r w:rsidRPr="00F44C33">
        <w:rPr>
          <w:rFonts w:ascii="Garamond" w:hAnsi="Garamond"/>
        </w:rPr>
        <w:t>(1991: 177)</w:t>
      </w:r>
      <w:r w:rsidR="00DF2DF8" w:rsidRPr="00F44C33">
        <w:rPr>
          <w:rFonts w:ascii="Garamond" w:hAnsi="Garamond"/>
        </w:rPr>
        <w:fldChar w:fldCharType="end"/>
      </w:r>
    </w:p>
    <w:p w:rsidR="002D22FA" w:rsidRPr="00BB71B0" w:rsidRDefault="002D22FA" w:rsidP="002D22FA">
      <w:pPr>
        <w:spacing w:after="0" w:line="360" w:lineRule="auto"/>
        <w:jc w:val="both"/>
        <w:rPr>
          <w:rFonts w:ascii="Garamond" w:hAnsi="Garamond"/>
          <w:sz w:val="24"/>
        </w:rPr>
      </w:pPr>
    </w:p>
    <w:p w:rsidR="002D22FA" w:rsidRPr="00BB71B0" w:rsidRDefault="002D22FA" w:rsidP="002D22FA">
      <w:pPr>
        <w:spacing w:after="0" w:line="360" w:lineRule="auto"/>
        <w:jc w:val="both"/>
        <w:rPr>
          <w:rFonts w:ascii="Garamond" w:hAnsi="Garamond"/>
          <w:sz w:val="24"/>
        </w:rPr>
      </w:pPr>
      <w:r w:rsidRPr="00BB71B0">
        <w:rPr>
          <w:rFonts w:ascii="Garamond" w:hAnsi="Garamond"/>
          <w:sz w:val="24"/>
        </w:rPr>
        <w:t xml:space="preserve">In humanitarian boycott campaigns we can often add producer/consumer and black/white to these dualisms. In order to communicate humanitarian messages activist bodywork works to eliminate ambiguous meanings from bodies and make them transparent and 'readable' within contemporaneous traditions. According to Elizabeth Grosz (1994) there are several 'heirs to Cartesianism'.  Among them are the subordination of the body as a metaphorical instrument, machine or tool, and the use of the body as a mode of expression for interiority. The body is taken as transparent, passive and as a medium for information deriving from “deep in the subject’s corporeal interior or from the ‘external world’” </w:t>
      </w:r>
      <w:r w:rsidR="00DF2DF8" w:rsidRPr="00BB71B0">
        <w:rPr>
          <w:rFonts w:ascii="Garamond" w:hAnsi="Garamond"/>
          <w:sz w:val="24"/>
        </w:rPr>
        <w:fldChar w:fldCharType="begin"/>
      </w:r>
      <w:r w:rsidRPr="00BB71B0">
        <w:rPr>
          <w:rFonts w:ascii="Garamond" w:hAnsi="Garamond"/>
          <w:sz w:val="24"/>
        </w:rPr>
        <w:instrText xml:space="preserve"> ADDIN EN.CITE &lt;EndNote&gt;&lt;Cite ExcludeAuth="1" ExcludeYear="1"&gt;&lt;Author&gt;Grosz&lt;/Author&gt;&lt;Year&gt;1994&lt;/Year&gt;&lt;RecNum&gt;30&lt;/RecNum&gt;&lt;Prefix&gt;ibid.&lt;/Prefix&gt;&lt;Pages&gt;9&lt;/Pages&gt;&lt;record&gt;&lt;rec-number&gt;30&lt;/rec-number&gt;&lt;foreign-keys&gt;&lt;key app="EN" db-id="2wrpwzvemxr2zzexxxyxf5abst5stst2rz22"&gt;30&lt;/key&gt;&lt;/foreign-keys&gt;&lt;ref-type name="Book"&gt;6&lt;/ref-type&gt;&lt;contributors&gt;&lt;authors&gt;&lt;author&gt;Grosz, Elizabeth&lt;/author&gt;&lt;/authors&gt;&lt;/contributors&gt;&lt;titles&gt;&lt;title&gt;Volatile Bodies: Toward a Corporeal Feminism (Theories of Representation and Difference) &lt;/title&gt;&lt;/titles&gt;&lt;dates&gt;&lt;year&gt;1994&lt;/year&gt;&lt;/dates&gt;&lt;publisher&gt;Indiana University Press &lt;/publisher&gt;&lt;urls&gt;&lt;/urls&gt;&lt;/record&gt;&lt;/Cite&gt;&lt;/EndNote&gt;</w:instrText>
      </w:r>
      <w:r w:rsidR="00DF2DF8" w:rsidRPr="00BB71B0">
        <w:rPr>
          <w:rFonts w:ascii="Garamond" w:hAnsi="Garamond"/>
          <w:sz w:val="24"/>
        </w:rPr>
        <w:fldChar w:fldCharType="separate"/>
      </w:r>
      <w:r w:rsidRPr="00BB71B0">
        <w:rPr>
          <w:rFonts w:ascii="Garamond" w:hAnsi="Garamond"/>
          <w:sz w:val="24"/>
        </w:rPr>
        <w:t>(ibid.: 9)</w:t>
      </w:r>
      <w:r w:rsidR="00DF2DF8" w:rsidRPr="00BB71B0">
        <w:rPr>
          <w:rFonts w:ascii="Garamond" w:hAnsi="Garamond"/>
          <w:sz w:val="24"/>
        </w:rPr>
        <w:fldChar w:fldCharType="end"/>
      </w:r>
      <w:r w:rsidRPr="00BB71B0">
        <w:rPr>
          <w:rFonts w:ascii="Garamond" w:hAnsi="Garamond"/>
          <w:sz w:val="24"/>
        </w:rPr>
        <w:t>. Here the goal is to make the body efficiently communicate between internal and external worlds with minimum distortion. Both these heirs are apparent in abolitionist depictions of the slave body.</w:t>
      </w:r>
    </w:p>
    <w:p w:rsidR="002D22FA" w:rsidRPr="00BB71B0" w:rsidRDefault="002D22FA" w:rsidP="002D22FA">
      <w:pPr>
        <w:spacing w:after="0" w:line="360" w:lineRule="auto"/>
        <w:jc w:val="both"/>
        <w:rPr>
          <w:rFonts w:ascii="Garamond" w:hAnsi="Garamond"/>
          <w:sz w:val="24"/>
        </w:rPr>
      </w:pPr>
    </w:p>
    <w:tbl>
      <w:tblPr>
        <w:tblW w:w="0" w:type="auto"/>
        <w:tblLook w:val="00A0"/>
      </w:tblPr>
      <w:tblGrid>
        <w:gridCol w:w="4611"/>
        <w:gridCol w:w="3905"/>
      </w:tblGrid>
      <w:tr w:rsidR="002D22FA" w:rsidRPr="0001780A">
        <w:tc>
          <w:tcPr>
            <w:tcW w:w="4621" w:type="dxa"/>
          </w:tcPr>
          <w:p w:rsidR="002D22FA" w:rsidRPr="0001780A" w:rsidRDefault="002D22FA" w:rsidP="002D22FA">
            <w:pPr>
              <w:pStyle w:val="NormalWeb"/>
              <w:spacing w:before="0" w:beforeAutospacing="0" w:after="0" w:afterAutospacing="0" w:line="360" w:lineRule="auto"/>
              <w:jc w:val="both"/>
              <w:textAlignment w:val="baseline"/>
              <w:rPr>
                <w:rFonts w:ascii="Garamond" w:hAnsi="Garamond"/>
              </w:rPr>
            </w:pPr>
            <w:r w:rsidRPr="0001780A">
              <w:rPr>
                <w:rFonts w:ascii="Garamond" w:hAnsi="Garamond"/>
                <w:noProof/>
              </w:rPr>
              <w:drawing>
                <wp:inline distT="0" distB="0" distL="0" distR="0">
                  <wp:extent cx="2733127" cy="3418840"/>
                  <wp:effectExtent l="25400" t="0" r="10073" b="0"/>
                  <wp:docPr id="34" name="Picture 2" descr="An example of the slave medallions produced by Josiah Wedgwood to promote the abolition of slavery (Image: By courtesy of the Wedgwood Museum Trust, Stafford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example of the slave medallions produced by Josiah Wedgwood to promote the abolition of slavery (Image: By courtesy of the Wedgwood Museum Trust, Staffordshire)"/>
                          <pic:cNvPicPr>
                            <a:picLocks noChangeAspect="1" noChangeArrowheads="1"/>
                          </pic:cNvPicPr>
                        </pic:nvPicPr>
                        <pic:blipFill>
                          <a:blip r:embed="rId24" cstate="print"/>
                          <a:srcRect/>
                          <a:stretch>
                            <a:fillRect/>
                          </a:stretch>
                        </pic:blipFill>
                        <pic:spPr bwMode="auto">
                          <a:xfrm>
                            <a:off x="0" y="0"/>
                            <a:ext cx="2734581" cy="3420659"/>
                          </a:xfrm>
                          <a:prstGeom prst="rect">
                            <a:avLst/>
                          </a:prstGeom>
                          <a:noFill/>
                          <a:ln w="9525">
                            <a:noFill/>
                            <a:miter lim="800000"/>
                            <a:headEnd/>
                            <a:tailEnd/>
                          </a:ln>
                        </pic:spPr>
                      </pic:pic>
                    </a:graphicData>
                  </a:graphic>
                </wp:inline>
              </w:drawing>
            </w:r>
          </w:p>
        </w:tc>
        <w:tc>
          <w:tcPr>
            <w:tcW w:w="4621" w:type="dxa"/>
          </w:tcPr>
          <w:p w:rsidR="001A482E" w:rsidRDefault="00691864" w:rsidP="00691864">
            <w:pPr>
              <w:pStyle w:val="Caption"/>
              <w:rPr>
                <w:rFonts w:ascii="Perpetua" w:hAnsi="Perpetua"/>
                <w:b w:val="0"/>
                <w:color w:val="auto"/>
                <w:sz w:val="20"/>
              </w:rPr>
            </w:pPr>
            <w:bookmarkStart w:id="295" w:name="_Toc263509009"/>
            <w:bookmarkStart w:id="296" w:name="_Toc263510796"/>
            <w:bookmarkStart w:id="297" w:name="_Toc244437517"/>
            <w:bookmarkStart w:id="298" w:name="_Toc244508212"/>
            <w:bookmarkStart w:id="299" w:name="_Toc244577274"/>
            <w:bookmarkStart w:id="300" w:name="_Toc263495743"/>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12</w:t>
            </w:r>
            <w:r w:rsidR="00DF2DF8" w:rsidRPr="00691864">
              <w:rPr>
                <w:rFonts w:ascii="Perpetua" w:hAnsi="Perpetua"/>
                <w:b w:val="0"/>
                <w:color w:val="auto"/>
                <w:sz w:val="20"/>
              </w:rPr>
              <w:fldChar w:fldCharType="end"/>
            </w:r>
            <w:r w:rsidRPr="00691864">
              <w:rPr>
                <w:rFonts w:ascii="Perpetua" w:hAnsi="Perpetua"/>
                <w:b w:val="0"/>
                <w:color w:val="auto"/>
                <w:sz w:val="20"/>
              </w:rPr>
              <w:t>: 'Am i not a man and a brother?', a stoneware Wedgewood antislavery medallion (1975).</w:t>
            </w:r>
            <w:bookmarkEnd w:id="295"/>
            <w:bookmarkEnd w:id="296"/>
            <w:r w:rsidRPr="00691864">
              <w:rPr>
                <w:rFonts w:ascii="Perpetua" w:hAnsi="Perpetua"/>
                <w:b w:val="0"/>
                <w:color w:val="auto"/>
                <w:sz w:val="20"/>
              </w:rPr>
              <w:t xml:space="preserve"> </w:t>
            </w:r>
          </w:p>
          <w:p w:rsidR="002D22FA" w:rsidRPr="001A482E" w:rsidRDefault="002D22FA" w:rsidP="001A482E">
            <w:pPr>
              <w:rPr>
                <w:rFonts w:ascii="Perpetua" w:hAnsi="Perpetua"/>
                <w:sz w:val="20"/>
              </w:rPr>
            </w:pPr>
            <w:r w:rsidRPr="001A482E">
              <w:rPr>
                <w:rFonts w:ascii="Perpetua" w:hAnsi="Perpetua"/>
                <w:sz w:val="20"/>
              </w:rPr>
              <w:t>The redemptive, submissive slave body was a staple communicative device for anti-saccharites who appealed to a 'clean hands rhetoric' (Huzzey, 2012) that would unburden the British conscience from guilt. In order to free the white mind, first you had to free the black body. The black body transparently conveys 'interior' messages of compliancy, redemption and submission. The production of the images were part of the romantic commercial culture of antislavery. Image courtesy of the Wedgewood Museum Trust, Staffordshire.</w:t>
            </w:r>
            <w:bookmarkEnd w:id="297"/>
            <w:bookmarkEnd w:id="298"/>
            <w:bookmarkEnd w:id="299"/>
            <w:bookmarkEnd w:id="300"/>
          </w:p>
        </w:tc>
      </w:tr>
    </w:tbl>
    <w:p w:rsidR="00691864" w:rsidRDefault="00691864" w:rsidP="002D22FA">
      <w:pPr>
        <w:pStyle w:val="NormalWeb"/>
        <w:spacing w:before="0" w:beforeAutospacing="0" w:after="0" w:afterAutospacing="0" w:line="360" w:lineRule="auto"/>
        <w:jc w:val="both"/>
        <w:rPr>
          <w:rFonts w:ascii="Garamond" w:hAnsi="Garamond"/>
        </w:rPr>
      </w:pPr>
    </w:p>
    <w:p w:rsidR="002D22FA" w:rsidRPr="0001780A" w:rsidRDefault="002D22FA" w:rsidP="002D22FA">
      <w:pPr>
        <w:pStyle w:val="NormalWeb"/>
        <w:spacing w:before="0" w:beforeAutospacing="0" w:after="0" w:afterAutospacing="0" w:line="360" w:lineRule="auto"/>
        <w:jc w:val="both"/>
        <w:rPr>
          <w:rFonts w:ascii="Garamond" w:hAnsi="Garamond"/>
        </w:rPr>
      </w:pPr>
      <w:r w:rsidRPr="0001780A">
        <w:rPr>
          <w:rFonts w:ascii="Garamond" w:hAnsi="Garamond"/>
        </w:rPr>
        <w:t xml:space="preserve">What are the implicit workings of these strands of Cartesianism? When Nietzsche decried that the only way to be rid of God was to be rid of grammar, he alluded to the immortalization of thought and ‘truths’ in language, metaphor and metonymy. Metaphors are “imaginative elaboration around bodily functions” </w:t>
      </w:r>
      <w:r w:rsidR="00DF2DF8" w:rsidRPr="0001780A">
        <w:rPr>
          <w:rFonts w:ascii="Garamond" w:hAnsi="Garamond"/>
        </w:rPr>
        <w:fldChar w:fldCharType="begin"/>
      </w:r>
      <w:r w:rsidRPr="0001780A">
        <w:rPr>
          <w:rFonts w:ascii="Garamond" w:hAnsi="Garamond"/>
        </w:rPr>
        <w:instrText xml:space="preserve"> ADDIN EN.CITE &lt;EndNote&gt;&lt;Cite&gt;&lt;Author&gt;Van Wolputte&lt;/Author&gt;&lt;Year&gt;2004&lt;/Year&gt;&lt;RecNum&gt;2&lt;/RecNum&gt;&lt;Prefix&gt;Winnicott cited in &lt;/Prefix&gt;&lt;Pages&gt;257&lt;/Pages&gt;&lt;record&gt;&lt;rec-number&gt;2&lt;/rec-number&gt;&lt;foreign-keys&gt;&lt;key app="EN" db-id="2wrpwzvemxr2zzexxxyxf5abst5stst2rz22"&gt;2&lt;/key&gt;&lt;/foreign-keys&gt;&lt;ref-type name="Journal Article"&gt;17&lt;/ref-type&gt;&lt;contributors&gt;&lt;authors&gt;&lt;author&gt;Van Wolputte, Steven&lt;/author&gt;&lt;/authors&gt;&lt;/contributors&gt;&lt;titles&gt;&lt;title&gt;Hang on to Your Self: Of Bodies, Embodiment, and Selves&lt;/title&gt;&lt;secondary-title&gt;Annual Review of Anthropology&lt;/secondary-title&gt;&lt;/titles&gt;&lt;periodical&gt;&lt;full-title&gt;Annual Review of Anthropology&lt;/full-title&gt;&lt;/periodical&gt;&lt;pages&gt;251-269 &lt;/pages&gt;&lt;volume&gt;33&lt;/volume&gt;&lt;dates&gt;&lt;year&gt;2004&lt;/year&gt;&lt;/dates&gt;&lt;urls&gt;&lt;/urls&gt;&lt;/record&gt;&lt;/Cite&gt;&lt;/EndNote&gt;</w:instrText>
      </w:r>
      <w:r w:rsidR="00DF2DF8" w:rsidRPr="0001780A">
        <w:rPr>
          <w:rFonts w:ascii="Garamond" w:hAnsi="Garamond"/>
        </w:rPr>
        <w:fldChar w:fldCharType="separate"/>
      </w:r>
      <w:r w:rsidRPr="0001780A">
        <w:rPr>
          <w:rFonts w:ascii="Garamond" w:hAnsi="Garamond"/>
        </w:rPr>
        <w:t>(Winnicott cited in Van Wolputte, 2004: 257)</w:t>
      </w:r>
      <w:r w:rsidR="00DF2DF8" w:rsidRPr="0001780A">
        <w:rPr>
          <w:rFonts w:ascii="Garamond" w:hAnsi="Garamond"/>
        </w:rPr>
        <w:fldChar w:fldCharType="end"/>
      </w:r>
      <w:r w:rsidRPr="0001780A">
        <w:rPr>
          <w:rFonts w:ascii="Garamond" w:hAnsi="Garamond"/>
        </w:rPr>
        <w:t xml:space="preserve"> which methodically reinforce the Cartesian machinations of the body/mind dialectic. Their bodiliness gives them contiguity </w:t>
      </w:r>
      <w:r w:rsidR="00DF2DF8" w:rsidRPr="0001780A">
        <w:rPr>
          <w:rFonts w:ascii="Garamond" w:hAnsi="Garamond"/>
        </w:rPr>
        <w:fldChar w:fldCharType="begin"/>
      </w:r>
      <w:r w:rsidRPr="0001780A">
        <w:rPr>
          <w:rFonts w:ascii="Garamond" w:hAnsi="Garamond"/>
        </w:rPr>
        <w:instrText xml:space="preserve"> ADDIN EN.CITE &lt;EndNote&gt;&lt;Cite&gt;&lt;Author&gt;Van Wolputte&lt;/Author&gt;&lt;Year&gt;2004&lt;/Year&gt;&lt;RecNum&gt;2&lt;/RecNum&gt;&lt;record&gt;&lt;rec-number&gt;2&lt;/rec-number&gt;&lt;foreign-keys&gt;&lt;key app="EN" db-id="2wrpwzvemxr2zzexxxyxf5abst5stst2rz22"&gt;2&lt;/key&gt;&lt;/foreign-keys&gt;&lt;ref-type name="Journal Article"&gt;17&lt;/ref-type&gt;&lt;contributors&gt;&lt;authors&gt;&lt;author&gt;Van Wolputte, Steven&lt;/author&gt;&lt;/authors&gt;&lt;/contributors&gt;&lt;titles&gt;&lt;title&gt;Hang on to Your Self: Of Bodies, Embodiment, and Selves&lt;/title&gt;&lt;secondary-title&gt;Annual Review of Anthropology&lt;/secondary-title&gt;&lt;/titles&gt;&lt;periodical&gt;&lt;full-title&gt;Annual Review of Anthropology&lt;/full-title&gt;&lt;/periodical&gt;&lt;pages&gt;251-269 &lt;/pages&gt;&lt;volume&gt;33&lt;/volume&gt;&lt;dates&gt;&lt;year&gt;2004&lt;/year&gt;&lt;/dates&gt;&lt;urls&gt;&lt;/urls&gt;&lt;/record&gt;&lt;/Cite&gt;&lt;/EndNote&gt;</w:instrText>
      </w:r>
      <w:r w:rsidR="00DF2DF8" w:rsidRPr="0001780A">
        <w:rPr>
          <w:rFonts w:ascii="Garamond" w:hAnsi="Garamond"/>
        </w:rPr>
        <w:fldChar w:fldCharType="separate"/>
      </w:r>
      <w:r w:rsidRPr="0001780A">
        <w:rPr>
          <w:rFonts w:ascii="Garamond" w:hAnsi="Garamond"/>
        </w:rPr>
        <w:t>(Van Wolputte, 2004)</w:t>
      </w:r>
      <w:r w:rsidR="00DF2DF8" w:rsidRPr="0001780A">
        <w:rPr>
          <w:rFonts w:ascii="Garamond" w:hAnsi="Garamond"/>
        </w:rPr>
        <w:fldChar w:fldCharType="end"/>
      </w:r>
      <w:r w:rsidRPr="0001780A">
        <w:rPr>
          <w:rFonts w:ascii="Garamond" w:hAnsi="Garamond"/>
        </w:rPr>
        <w:t>. The ‘politics of the belly’, or</w:t>
      </w:r>
      <w:r w:rsidRPr="0001780A">
        <w:rPr>
          <w:rFonts w:ascii="Garamond" w:hAnsi="Garamond"/>
          <w:i/>
          <w:iCs/>
        </w:rPr>
        <w:t xml:space="preserve"> Politique du Ventre, </w:t>
      </w:r>
      <w:r w:rsidRPr="0001780A">
        <w:rPr>
          <w:rFonts w:ascii="Garamond" w:hAnsi="Garamond"/>
        </w:rPr>
        <w:t xml:space="preserve">a phrase coined by the Orientalist Francis Bayart </w:t>
      </w:r>
      <w:r w:rsidR="00DF2DF8" w:rsidRPr="0001780A">
        <w:rPr>
          <w:rFonts w:ascii="Garamond" w:hAnsi="Garamond"/>
        </w:rPr>
        <w:fldChar w:fldCharType="begin"/>
      </w:r>
      <w:r w:rsidRPr="0001780A">
        <w:rPr>
          <w:rFonts w:ascii="Garamond" w:hAnsi="Garamond"/>
        </w:rPr>
        <w:instrText xml:space="preserve"> ADDIN EN.CITE &lt;EndNote&gt;&lt;Cite ExcludeAuth="1"&gt;&lt;Author&gt;Bayart&lt;/Author&gt;&lt;Year&gt;1993 [1989]&lt;/Year&gt;&lt;RecNum&gt;1&lt;/RecNum&gt;&lt;record&gt;&lt;rec-number&gt;1&lt;/rec-number&gt;&lt;foreign-keys&gt;&lt;key app="EN" db-id="2wrpwzvemxr2zzexxxyxf5abst5stst2rz22"&gt;1&lt;/key&gt;&lt;/foreign-keys&gt;&lt;ref-type name="Book"&gt;6&lt;/ref-type&gt;&lt;contributors&gt;&lt;authors&gt;&lt;author&gt;Bayart, Jean-François&lt;/author&gt;&lt;/authors&gt;&lt;/contributors&gt;&lt;titles&gt;&lt;title&gt;The State in Africa: The Politics of the Belly&lt;/title&gt;&lt;/titles&gt;&lt;dates&gt;&lt;year&gt;1993 [1989]&lt;/year&gt;&lt;/dates&gt;&lt;pub-location&gt;London&lt;/pub-location&gt;&lt;publisher&gt;Longman&lt;/publisher&gt;&lt;urls&gt;&lt;/urls&gt;&lt;/record&gt;&lt;/Cite&gt;&lt;/EndNote&gt;</w:instrText>
      </w:r>
      <w:r w:rsidR="00DF2DF8" w:rsidRPr="0001780A">
        <w:rPr>
          <w:rFonts w:ascii="Garamond" w:hAnsi="Garamond"/>
        </w:rPr>
        <w:fldChar w:fldCharType="separate"/>
      </w:r>
      <w:r w:rsidRPr="0001780A">
        <w:rPr>
          <w:rFonts w:ascii="Garamond" w:hAnsi="Garamond"/>
        </w:rPr>
        <w:t>(1993 [1989])</w:t>
      </w:r>
      <w:r w:rsidR="00DF2DF8" w:rsidRPr="0001780A">
        <w:rPr>
          <w:rFonts w:ascii="Garamond" w:hAnsi="Garamond"/>
        </w:rPr>
        <w:fldChar w:fldCharType="end"/>
      </w:r>
      <w:r w:rsidRPr="0001780A">
        <w:rPr>
          <w:rFonts w:ascii="Garamond" w:hAnsi="Garamond"/>
        </w:rPr>
        <w:t xml:space="preserve"> to describe corrupt and nepotistic African states, is an apt example of the pervasiveness of Grosz’s heirs to Cartesianism. Disassociated from the white rational mind, the (black) belly becomes the metaphor for untrammelled greed, carrying the Cartesian threat of the insatiability of a body undisciplined by cognition.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C93102" w:rsidRDefault="002D22FA"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sidRPr="00C93102">
        <w:rPr>
          <w:rFonts w:ascii="Garamond" w:hAnsi="Garamond"/>
          <w:b/>
          <w:i/>
          <w:sz w:val="22"/>
        </w:rPr>
        <w:t>The body as the product and outcome of social relations</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kern w:val="28"/>
        </w:rPr>
      </w:pPr>
      <w:r w:rsidRPr="0001780A">
        <w:rPr>
          <w:rFonts w:ascii="Garamond" w:hAnsi="Garamond"/>
        </w:rPr>
        <w:t>Across much of this thesis I take a social constructivist approach to activist bodywork. In other words I interpret bodies as the outcome and product of social relations. This approach is in line with most geographical scholarship on the body. In the two decades bookending the turn of the millennium a body 'fixation' (Simonsen, 2000) or 'craze' (B</w:t>
      </w:r>
      <w:r>
        <w:rPr>
          <w:rFonts w:ascii="Garamond" w:hAnsi="Garamond"/>
        </w:rPr>
        <w:t>alan, 2003</w:t>
      </w:r>
      <w:r w:rsidRPr="0001780A">
        <w:rPr>
          <w:rFonts w:ascii="Garamond" w:hAnsi="Garamond"/>
        </w:rPr>
        <w:t xml:space="preserve">; Longhurst, 2005) manifested across cultural, historical and social geography. Laws suggests that the body became an interest to geographers in the 1990s </w:t>
      </w:r>
      <w:r w:rsidRPr="0001780A">
        <w:rPr>
          <w:rFonts w:ascii="Garamond" w:hAnsi="Garamond"/>
        </w:rPr>
        <w:lastRenderedPageBreak/>
        <w:t xml:space="preserve">because the conceptualization and material construction of bodies “made a difference to our experience of place” (1997: 49). </w:t>
      </w:r>
      <w:r w:rsidRPr="0001780A">
        <w:rPr>
          <w:rFonts w:ascii="Garamond" w:hAnsi="Garamond"/>
          <w:kern w:val="28"/>
        </w:rPr>
        <w:t xml:space="preserve">Drawing on Goffman’s (1959) conception of performance as a dramaturgical metaphor, Bourdieu’s (1984) idea of the body as symbolic aesthetic capital, and Foucauldian geographies of self and internalized discipline, geographers examined the ways in which the body becomes the outcome and product of social relations (Valentine, 1997). </w:t>
      </w:r>
      <w:r w:rsidRPr="0001780A">
        <w:rPr>
          <w:rStyle w:val="FootnoteReference"/>
          <w:rFonts w:ascii="Garamond" w:hAnsi="Garamond"/>
        </w:rPr>
        <w:footnoteReference w:id="49"/>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pStyle w:val="NormalWeb"/>
        <w:spacing w:before="0" w:beforeAutospacing="0" w:after="0" w:afterAutospacing="0" w:line="360" w:lineRule="auto"/>
        <w:jc w:val="both"/>
        <w:rPr>
          <w:rFonts w:ascii="Garamond" w:hAnsi="Garamond"/>
        </w:rPr>
      </w:pPr>
      <w:r w:rsidRPr="0001780A">
        <w:rPr>
          <w:rFonts w:ascii="Garamond" w:hAnsi="Garamond"/>
        </w:rPr>
        <w:t xml:space="preserve">Both Fleck </w:t>
      </w:r>
      <w:r w:rsidR="00DF2DF8" w:rsidRPr="0001780A">
        <w:rPr>
          <w:rFonts w:ascii="Garamond" w:hAnsi="Garamond"/>
        </w:rPr>
        <w:fldChar w:fldCharType="begin"/>
      </w:r>
      <w:r w:rsidRPr="0001780A">
        <w:rPr>
          <w:rFonts w:ascii="Garamond" w:hAnsi="Garamond"/>
        </w:rPr>
        <w:instrText xml:space="preserve"> ADDIN EN.CITE &lt;EndNote&gt;&lt;Cite ExcludeAuth="1"&gt;&lt;Author&gt;Fleck&lt;/Author&gt;&lt;Year&gt;1979&lt;/Year&gt;&lt;RecNum&gt;48&lt;/RecNum&gt;&lt;record&gt;&lt;rec-number&gt;48&lt;/rec-number&gt;&lt;foreign-keys&gt;&lt;key app="EN" db-id="2wrpwzvemxr2zzexxxyxf5abst5stst2rz22"&gt;48&lt;/key&gt;&lt;/foreign-keys&gt;&lt;ref-type name="Book"&gt;6&lt;/ref-type&gt;&lt;contributors&gt;&lt;authors&gt;&lt;author&gt;Fleck, Ludwick&lt;/author&gt;&lt;/authors&gt;&lt;/contributors&gt;&lt;titles&gt;&lt;title&gt;Genesis and Development of a Scientific Fact&lt;/title&gt;&lt;/titles&gt;&lt;dates&gt;&lt;year&gt;1979&lt;/year&gt;&lt;/dates&gt;&lt;pub-location&gt;Chicago&lt;/pub-location&gt;&lt;publisher&gt;Chicago University Press&lt;/publisher&gt;&lt;urls&gt;&lt;/urls&gt;&lt;/record&gt;&lt;/Cite&gt;&lt;/EndNote&gt;</w:instrText>
      </w:r>
      <w:r w:rsidR="00DF2DF8" w:rsidRPr="0001780A">
        <w:rPr>
          <w:rFonts w:ascii="Garamond" w:hAnsi="Garamond"/>
        </w:rPr>
        <w:fldChar w:fldCharType="separate"/>
      </w:r>
      <w:r w:rsidRPr="0001780A">
        <w:rPr>
          <w:rFonts w:ascii="Garamond" w:hAnsi="Garamond"/>
        </w:rPr>
        <w:t>(1979)</w:t>
      </w:r>
      <w:r w:rsidR="00DF2DF8" w:rsidRPr="0001780A">
        <w:rPr>
          <w:rFonts w:ascii="Garamond" w:hAnsi="Garamond"/>
        </w:rPr>
        <w:fldChar w:fldCharType="end"/>
      </w:r>
      <w:r w:rsidRPr="0001780A">
        <w:rPr>
          <w:rFonts w:ascii="Garamond" w:hAnsi="Garamond"/>
        </w:rPr>
        <w:t xml:space="preserve"> and Rose </w:t>
      </w:r>
      <w:r w:rsidR="00DF2DF8" w:rsidRPr="0001780A">
        <w:rPr>
          <w:rFonts w:ascii="Garamond" w:hAnsi="Garamond"/>
        </w:rPr>
        <w:fldChar w:fldCharType="begin"/>
      </w:r>
      <w:r w:rsidRPr="0001780A">
        <w:rPr>
          <w:rFonts w:ascii="Garamond" w:hAnsi="Garamond"/>
        </w:rPr>
        <w:instrText xml:space="preserve"> ADDIN EN.CITE &lt;EndNote&gt;&lt;Cite ExcludeAuth="1"&gt;&lt;Author&gt;Rose&lt;/Author&gt;&lt;Year&gt;2007&lt;/Year&gt;&lt;RecNum&gt;15&lt;/RecNum&gt;&lt;record&gt;&lt;rec-number&gt;15&lt;/rec-number&gt;&lt;foreign-keys&gt;&lt;key app="EN" db-id="2wrpwzvemxr2zzexxxyxf5abst5stst2rz22"&gt;15&lt;/key&gt;&lt;/foreign-keys&gt;&lt;ref-type name="Book"&gt;6&lt;/ref-type&gt;&lt;contributors&gt;&lt;authors&gt;&lt;author&gt;Nikolas Rose&lt;/author&gt;&lt;/authors&gt;&lt;/contributors&gt;&lt;titles&gt;&lt;title&gt;The Politics of Life Itself: Biomedicine, Power, and Subjectivity in the Twenty-First Century&lt;/title&gt;&lt;/titles&gt;&lt;dates&gt;&lt;year&gt;2007&lt;/year&gt;&lt;/dates&gt;&lt;pub-location&gt;Oxford&lt;/pub-location&gt;&lt;publisher&gt;Princeston University Press&lt;/publisher&gt;&lt;urls&gt;&lt;/urls&gt;&lt;/record&gt;&lt;/Cite&gt;&lt;/EndNote&gt;</w:instrText>
      </w:r>
      <w:r w:rsidR="00DF2DF8" w:rsidRPr="0001780A">
        <w:rPr>
          <w:rFonts w:ascii="Garamond" w:hAnsi="Garamond"/>
        </w:rPr>
        <w:fldChar w:fldCharType="separate"/>
      </w:r>
      <w:r w:rsidRPr="0001780A">
        <w:rPr>
          <w:rFonts w:ascii="Garamond" w:hAnsi="Garamond"/>
        </w:rPr>
        <w:t>(2007)</w:t>
      </w:r>
      <w:r w:rsidR="00DF2DF8" w:rsidRPr="0001780A">
        <w:rPr>
          <w:rFonts w:ascii="Garamond" w:hAnsi="Garamond"/>
        </w:rPr>
        <w:fldChar w:fldCharType="end"/>
      </w:r>
      <w:r w:rsidRPr="0001780A">
        <w:rPr>
          <w:rFonts w:ascii="Garamond" w:hAnsi="Garamond"/>
        </w:rPr>
        <w:t xml:space="preserve"> approach the body-subject as an effect of social relations – contingent on the discursive and social context on which it lies </w:t>
      </w:r>
      <w:r w:rsidR="00DF2DF8" w:rsidRPr="0001780A">
        <w:rPr>
          <w:rFonts w:ascii="Garamond" w:hAnsi="Garamond"/>
        </w:rPr>
        <w:fldChar w:fldCharType="begin"/>
      </w:r>
      <w:r w:rsidRPr="0001780A">
        <w:rPr>
          <w:rFonts w:ascii="Garamond" w:hAnsi="Garamond"/>
        </w:rPr>
        <w:instrText xml:space="preserve"> ADDIN EN.CITE &lt;EndNote&gt;&lt;Cite&gt;&lt;Author&gt;Nettleton&lt;/Author&gt;&lt;Year&gt;1998&lt;/Year&gt;&lt;RecNum&gt;14&lt;/RecNum&gt;&lt;record&gt;&lt;rec-number&gt;14&lt;/rec-number&gt;&lt;foreign-keys&gt;&lt;key app="EN" db-id="2wrpwzvemxr2zzexxxyxf5abst5stst2rz22"&gt;14&lt;/key&gt;&lt;/foreign-keys&gt;&lt;ref-type name="Edited Book"&gt;28&lt;/ref-type&gt;&lt;contributors&gt;&lt;authors&gt;&lt;author&gt;Sarah Nettleton&lt;/author&gt;&lt;author&gt;Jonathan Watson&lt;/author&gt;&lt;/authors&gt;&lt;/contributors&gt;&lt;titles&gt;&lt;title&gt;The Body in Everyday Life&lt;/title&gt;&lt;/titles&gt;&lt;dates&gt;&lt;year&gt;1998&lt;/year&gt;&lt;/dates&gt;&lt;pub-location&gt;London&lt;/pub-location&gt;&lt;publisher&gt;Routledge&lt;/publisher&gt;&lt;urls&gt;&lt;/urls&gt;&lt;/record&gt;&lt;/Cite&gt;&lt;/EndNote&gt;</w:instrText>
      </w:r>
      <w:r w:rsidR="00DF2DF8" w:rsidRPr="0001780A">
        <w:rPr>
          <w:rFonts w:ascii="Garamond" w:hAnsi="Garamond"/>
        </w:rPr>
        <w:fldChar w:fldCharType="separate"/>
      </w:r>
      <w:r w:rsidRPr="0001780A">
        <w:rPr>
          <w:rFonts w:ascii="Garamond" w:hAnsi="Garamond"/>
        </w:rPr>
        <w:t>(Nettleton and Watson, 1998)</w:t>
      </w:r>
      <w:r w:rsidR="00DF2DF8" w:rsidRPr="0001780A">
        <w:rPr>
          <w:rFonts w:ascii="Garamond" w:hAnsi="Garamond"/>
        </w:rPr>
        <w:fldChar w:fldCharType="end"/>
      </w:r>
      <w:r w:rsidRPr="0001780A">
        <w:rPr>
          <w:rFonts w:ascii="Garamond" w:hAnsi="Garamond"/>
        </w:rPr>
        <w:t xml:space="preserve">. For post-structuralists, bodily meaning is created through discourses that ripple through society; here bodies are discursively produced through representations, practices and performances </w:t>
      </w:r>
      <w:r w:rsidR="00DF2DF8" w:rsidRPr="0001780A">
        <w:rPr>
          <w:rFonts w:ascii="Garamond" w:hAnsi="Garamond"/>
        </w:rPr>
        <w:fldChar w:fldCharType="begin"/>
      </w:r>
      <w:r w:rsidRPr="0001780A">
        <w:rPr>
          <w:rFonts w:ascii="Garamond" w:hAnsi="Garamond"/>
        </w:rPr>
        <w:instrText xml:space="preserve"> ADDIN EN.CITE &lt;EndNote&gt;&lt;Cite&gt;&lt;Author&gt;Hubbard&lt;/Author&gt;&lt;Year&gt;2002&lt;/Year&gt;&lt;RecNum&gt;40&lt;/RecNum&gt;&lt;record&gt;&lt;rec-number&gt;40&lt;/rec-number&gt;&lt;foreign-keys&gt;&lt;key app="EN" db-id="2wrpwzvemxr2zzexxxyxf5abst5stst2rz22"&gt;40&lt;/key&gt;&lt;/foreign-keys&gt;&lt;ref-type name="Book"&gt;6&lt;/ref-type&gt;&lt;contributors&gt;&lt;authors&gt;&lt;author&gt;Hubbard, Phil&lt;/author&gt;&lt;author&gt;Kitchin, Rob&lt;/author&gt;&lt;author&gt;Bartley, Brendan&lt;/author&gt;&lt;author&gt;Fuller, Duncan&lt;/author&gt;&lt;/authors&gt;&lt;/contributors&gt;&lt;titles&gt;&lt;title&gt;Thinking Geographically: Space, Theory and Contemporary Human Geography&lt;/title&gt;&lt;/titles&gt;&lt;dates&gt;&lt;year&gt;2002&lt;/year&gt;&lt;/dates&gt;&lt;pub-location&gt;London&lt;/pub-location&gt;&lt;publisher&gt;Continuum&lt;/publisher&gt;&lt;urls&gt;&lt;/urls&gt;&lt;/record&gt;&lt;/Cite&gt;&lt;/EndNote&gt;</w:instrText>
      </w:r>
      <w:r w:rsidR="00DF2DF8" w:rsidRPr="0001780A">
        <w:rPr>
          <w:rFonts w:ascii="Garamond" w:hAnsi="Garamond"/>
        </w:rPr>
        <w:fldChar w:fldCharType="separate"/>
      </w:r>
      <w:r w:rsidRPr="0001780A">
        <w:rPr>
          <w:rFonts w:ascii="Garamond" w:hAnsi="Garamond"/>
        </w:rPr>
        <w:t>(Hubbard et al., 2002)</w:t>
      </w:r>
      <w:r w:rsidR="00DF2DF8" w:rsidRPr="0001780A">
        <w:rPr>
          <w:rFonts w:ascii="Garamond" w:hAnsi="Garamond"/>
        </w:rPr>
        <w:fldChar w:fldCharType="end"/>
      </w:r>
      <w:r w:rsidRPr="0001780A">
        <w:rPr>
          <w:rFonts w:ascii="Garamond" w:hAnsi="Garamond"/>
        </w:rPr>
        <w:t xml:space="preserve">. Categories of gender, sexuality and ethnicity, and norms of acceptable behaviour and mentality, are socially constructed. Geographical theory on the social construction of bodies largely derives from three scholars: Michel Foucault’s histories of eighteenth and nineteenth century machinations of discipline, self-surveillance and categorizations of bodies in prisons </w:t>
      </w:r>
      <w:r w:rsidR="00DF2DF8" w:rsidRPr="0001780A">
        <w:rPr>
          <w:rFonts w:ascii="Garamond" w:hAnsi="Garamond"/>
        </w:rPr>
        <w:fldChar w:fldCharType="begin"/>
      </w:r>
      <w:r w:rsidRPr="0001780A">
        <w:rPr>
          <w:rFonts w:ascii="Garamond" w:hAnsi="Garamond"/>
        </w:rPr>
        <w:instrText xml:space="preserve"> ADDIN EN.CITE &lt;EndNote&gt;&lt;Cite ExcludeAuth="1"&gt;&lt;Author&gt;Foucault&lt;/Author&gt;&lt;Year&gt;1979[1975]&lt;/Year&gt;&lt;RecNum&gt;65&lt;/RecNum&gt;&lt;record&gt;&lt;rec-number&gt;65&lt;/rec-number&gt;&lt;foreign-keys&gt;&lt;key app="EN" db-id="2wrpwzvemxr2zzexxxyxf5abst5stst2rz22"&gt;65&lt;/key&gt;&lt;/foreign-keys&gt;&lt;ref-type name="Book"&gt;6&lt;/ref-type&gt;&lt;contributors&gt;&lt;authors&gt;&lt;author&gt;Foucault, Michel&lt;/author&gt;&lt;/authors&gt;&lt;/contributors&gt;&lt;titles&gt;&lt;title&gt;Discipline and Punish: The Birth of the Prison&lt;/title&gt;&lt;/titles&gt;&lt;dates&gt;&lt;year&gt;1979[1975]&lt;/year&gt;&lt;/dates&gt;&lt;pub-location&gt;New York&lt;/pub-location&gt;&lt;publisher&gt;Vintage&lt;/publisher&gt;&lt;urls&gt;&lt;/urls&gt;&lt;/record&gt;&lt;/Cite&gt;&lt;/EndNote&gt;</w:instrText>
      </w:r>
      <w:r w:rsidR="00DF2DF8" w:rsidRPr="0001780A">
        <w:rPr>
          <w:rFonts w:ascii="Garamond" w:hAnsi="Garamond"/>
        </w:rPr>
        <w:fldChar w:fldCharType="separate"/>
      </w:r>
      <w:r w:rsidRPr="0001780A">
        <w:rPr>
          <w:rFonts w:ascii="Garamond" w:hAnsi="Garamond"/>
        </w:rPr>
        <w:t>(1979[1975])</w:t>
      </w:r>
      <w:r w:rsidR="00DF2DF8" w:rsidRPr="0001780A">
        <w:rPr>
          <w:rFonts w:ascii="Garamond" w:hAnsi="Garamond"/>
        </w:rPr>
        <w:fldChar w:fldCharType="end"/>
      </w:r>
      <w:r>
        <w:rPr>
          <w:rFonts w:ascii="Garamond" w:hAnsi="Garamond"/>
        </w:rPr>
        <w:t xml:space="preserve">, </w:t>
      </w:r>
      <w:r w:rsidRPr="0001780A">
        <w:rPr>
          <w:rFonts w:ascii="Garamond" w:hAnsi="Garamond"/>
        </w:rPr>
        <w:t xml:space="preserve">asylums </w:t>
      </w:r>
      <w:r w:rsidR="00DF2DF8" w:rsidRPr="0001780A">
        <w:rPr>
          <w:rFonts w:ascii="Garamond" w:hAnsi="Garamond"/>
        </w:rPr>
        <w:fldChar w:fldCharType="begin"/>
      </w:r>
      <w:r w:rsidRPr="0001780A">
        <w:rPr>
          <w:rFonts w:ascii="Garamond" w:hAnsi="Garamond"/>
        </w:rPr>
        <w:instrText xml:space="preserve"> ADDIN EN.CITE &lt;EndNote&gt;&lt;Cite ExcludeAuth="1"&gt;&lt;Author&gt;Foucault&lt;/Author&gt;&lt;Year&gt;1998 [1976]&lt;/Year&gt;&lt;RecNum&gt;18&lt;/RecNum&gt;&lt;record&gt;&lt;rec-number&gt;18&lt;/rec-number&gt;&lt;foreign-keys&gt;&lt;key app="EN" db-id="2wrpwzvemxr2zzexxxyxf5abst5stst2rz22"&gt;18&lt;/key&gt;&lt;/foreign-keys&gt;&lt;ref-type name="Book"&gt;6&lt;/ref-type&gt;&lt;contributors&gt;&lt;authors&gt;&lt;author&gt;Foucault, Michel&lt;/author&gt;&lt;/authors&gt;&lt;subsidiary-authors&gt;&lt;author&gt;Robert Hurley&lt;/author&gt;&lt;/subsidiary-authors&gt;&lt;/contributors&gt;&lt;titles&gt;&lt;title&gt;The Will to Knowledge: The History of Sexuality Volume One &lt;/title&gt;&lt;/titles&gt;&lt;dates&gt;&lt;year&gt;1998 [1976]&lt;/year&gt;&lt;/dates&gt;&lt;pub-location&gt;London&lt;/pub-location&gt;&lt;publisher&gt;Penguin&lt;/publisher&gt;&lt;urls&gt;&lt;/urls&gt;&lt;/record&gt;&lt;/Cite&gt;&lt;/EndNote&gt;</w:instrText>
      </w:r>
      <w:r w:rsidR="00DF2DF8" w:rsidRPr="0001780A">
        <w:rPr>
          <w:rFonts w:ascii="Garamond" w:hAnsi="Garamond"/>
        </w:rPr>
        <w:fldChar w:fldCharType="separate"/>
      </w:r>
      <w:r>
        <w:rPr>
          <w:rFonts w:ascii="Garamond" w:hAnsi="Garamond"/>
        </w:rPr>
        <w:t>(2006 [1961</w:t>
      </w:r>
      <w:r w:rsidRPr="0001780A">
        <w:rPr>
          <w:rFonts w:ascii="Garamond" w:hAnsi="Garamond"/>
        </w:rPr>
        <w:t>])</w:t>
      </w:r>
      <w:r w:rsidR="00DF2DF8" w:rsidRPr="0001780A">
        <w:rPr>
          <w:rFonts w:ascii="Garamond" w:hAnsi="Garamond"/>
        </w:rPr>
        <w:fldChar w:fldCharType="end"/>
      </w:r>
      <w:r w:rsidRPr="0001780A">
        <w:rPr>
          <w:rFonts w:ascii="Garamond" w:hAnsi="Garamond"/>
        </w:rPr>
        <w:t xml:space="preserve"> and clinics </w:t>
      </w:r>
      <w:r w:rsidR="00DF2DF8" w:rsidRPr="0001780A">
        <w:rPr>
          <w:rFonts w:ascii="Garamond" w:hAnsi="Garamond"/>
        </w:rPr>
        <w:fldChar w:fldCharType="begin"/>
      </w:r>
      <w:r w:rsidRPr="0001780A">
        <w:rPr>
          <w:rFonts w:ascii="Garamond" w:hAnsi="Garamond"/>
        </w:rPr>
        <w:instrText xml:space="preserve"> ADDIN EN.CITE &lt;EndNote&gt;&lt;Cite ExcludeAuth="1"&gt;&lt;Author&gt;Foucault&lt;/Author&gt;&lt;Year&gt;2009 [1972]&lt;/Year&gt;&lt;RecNum&gt;19&lt;/RecNum&gt;&lt;record&gt;&lt;rec-number&gt;19&lt;/rec-number&gt;&lt;foreign-keys&gt;&lt;key app="EN" db-id="2wrpwzvemxr2zzexxxyxf5abst5stst2rz22"&gt;19&lt;/key&gt;&lt;/foreign-keys&gt;&lt;ref-type name="Book"&gt;6&lt;/ref-type&gt;&lt;contributors&gt;&lt;authors&gt;&lt;author&gt;Foucault, Michel&lt;/author&gt;&lt;/authors&gt;&lt;subsidiary-authors&gt;&lt;author&gt;Jonathan Murphy&lt;/author&gt;&lt;author&gt;Jean Khalfa&lt;/author&gt;&lt;/subsidiary-authors&gt;&lt;/contributors&gt;&lt;titles&gt;&lt;title&gt;History of Madness &lt;/title&gt;&lt;/titles&gt;&lt;dates&gt;&lt;year&gt;2009 [1972]&lt;/year&gt;&lt;/dates&gt;&lt;pub-location&gt;London&lt;/pub-location&gt;&lt;publisher&gt;Routledge&lt;/publisher&gt;&lt;urls&gt;&lt;/urls&gt;&lt;/record&gt;&lt;/Cite&gt;&lt;/EndNote&gt;</w:instrText>
      </w:r>
      <w:r w:rsidR="00DF2DF8" w:rsidRPr="0001780A">
        <w:rPr>
          <w:rFonts w:ascii="Garamond" w:hAnsi="Garamond"/>
        </w:rPr>
        <w:fldChar w:fldCharType="separate"/>
      </w:r>
      <w:r>
        <w:rPr>
          <w:rFonts w:ascii="Garamond" w:hAnsi="Garamond"/>
        </w:rPr>
        <w:t>(2003 [1963</w:t>
      </w:r>
      <w:r w:rsidRPr="0001780A">
        <w:rPr>
          <w:rFonts w:ascii="Garamond" w:hAnsi="Garamond"/>
        </w:rPr>
        <w:t>])</w:t>
      </w:r>
      <w:r w:rsidR="00DF2DF8" w:rsidRPr="0001780A">
        <w:rPr>
          <w:rFonts w:ascii="Garamond" w:hAnsi="Garamond"/>
        </w:rPr>
        <w:fldChar w:fldCharType="end"/>
      </w:r>
      <w:r w:rsidR="00C70D6B">
        <w:rPr>
          <w:rFonts w:ascii="Garamond" w:hAnsi="Garamond"/>
        </w:rPr>
        <w:t>; Norbert Elias’</w:t>
      </w:r>
      <w:r>
        <w:rPr>
          <w:rFonts w:ascii="Garamond" w:hAnsi="Garamond"/>
        </w:rPr>
        <w:t xml:space="preserve"> (1979</w:t>
      </w:r>
      <w:r w:rsidRPr="0001780A">
        <w:rPr>
          <w:rFonts w:ascii="Garamond" w:hAnsi="Garamond"/>
        </w:rPr>
        <w:t>) history of civilizi</w:t>
      </w:r>
      <w:r w:rsidR="00C70D6B">
        <w:rPr>
          <w:rFonts w:ascii="Garamond" w:hAnsi="Garamond"/>
        </w:rPr>
        <w:t>ng behaviour; and Mary Douglas’</w:t>
      </w:r>
      <w:r w:rsidRPr="0001780A">
        <w:rPr>
          <w:rFonts w:ascii="Garamond" w:hAnsi="Garamond"/>
        </w:rPr>
        <w:t xml:space="preserve"> work on physical and representational bodies and the social construction of purity and dirt </w:t>
      </w:r>
      <w:r w:rsidR="00DF2DF8" w:rsidRPr="0001780A">
        <w:rPr>
          <w:rFonts w:ascii="Garamond" w:hAnsi="Garamond"/>
        </w:rPr>
        <w:fldChar w:fldCharType="begin"/>
      </w:r>
      <w:r w:rsidRPr="0001780A">
        <w:rPr>
          <w:rFonts w:ascii="Garamond" w:hAnsi="Garamond"/>
        </w:rPr>
        <w:instrText xml:space="preserve"> ADDIN EN.CITE &lt;EndNote&gt;&lt;Cite ExcludeAuth="1"&gt;&lt;Author&gt;Douglas&lt;/Author&gt;&lt;Year&gt;2002 [1996]&lt;/Year&gt;&lt;RecNum&gt;20&lt;/RecNum&gt;&lt;record&gt;&lt;rec-number&gt;20&lt;/rec-number&gt;&lt;foreign-keys&gt;&lt;key app="EN" db-id="2wrpwzvemxr2zzexxxyxf5abst5stst2rz22"&gt;20&lt;/key&gt;&lt;/foreign-keys&gt;&lt;ref-type name="Book"&gt;6&lt;/ref-type&gt;&lt;contributors&gt;&lt;authors&gt;&lt;author&gt;Douglas, Mary&lt;/author&gt;&lt;/authors&gt;&lt;/contributors&gt;&lt;titles&gt;&lt;title&gt;Purity and Danger: An Analysis of Concept of Pollution and Taboo&lt;/title&gt;&lt;/titles&gt;&lt;dates&gt;&lt;year&gt;2002 [1996]&lt;/year&gt;&lt;/dates&gt;&lt;pub-location&gt;London&lt;/pub-location&gt;&lt;publisher&gt;Routledge&lt;/publisher&gt;&lt;urls&gt;&lt;/urls&gt;&lt;/record&gt;&lt;/Cite&gt;&lt;Cite&gt;&lt;Author&gt;Douglas&lt;/Author&gt;&lt;Year&gt;1979&lt;/Year&gt;&lt;RecNum&gt;21&lt;/RecNum&gt;&lt;record&gt;&lt;rec-number&gt;21&lt;/rec-number&gt;&lt;foreign-keys&gt;&lt;key app="EN" db-id="2wrpwzvemxr2zzexxxyxf5abst5stst2rz22"&gt;21&lt;/key&gt;&lt;/foreign-keys&gt;&lt;ref-type name="Book"&gt;6&lt;/ref-type&gt;&lt;contributors&gt;&lt;authors&gt;&lt;author&gt;Douglas, Mary&lt;/author&gt;&lt;author&gt;Baron Isherwood&lt;/author&gt;&lt;/authors&gt;&lt;/contributors&gt;&lt;titles&gt;&lt;title&gt;The World of Goods: Towards an Anthropology of Consumption&lt;/title&gt;&lt;/titles&gt;&lt;dates&gt;&lt;year&gt;1979&lt;/year&gt;&lt;/dates&gt;&lt;pub-location&gt;Harmondsworth&lt;/pub-location&gt;&lt;publisher&gt;Penguin&lt;/publisher&gt;&lt;urls&gt;&lt;/urls&gt;&lt;/record&gt;&lt;/Cite&gt;&lt;/EndNote&gt;</w:instrText>
      </w:r>
      <w:r w:rsidR="00DF2DF8" w:rsidRPr="0001780A">
        <w:rPr>
          <w:rFonts w:ascii="Garamond" w:hAnsi="Garamond"/>
        </w:rPr>
        <w:fldChar w:fldCharType="separate"/>
      </w:r>
      <w:r>
        <w:rPr>
          <w:rFonts w:ascii="Garamond" w:hAnsi="Garamond"/>
        </w:rPr>
        <w:t>(2002 [1960</w:t>
      </w:r>
      <w:r w:rsidRPr="0001780A">
        <w:rPr>
          <w:rFonts w:ascii="Garamond" w:hAnsi="Garamond"/>
        </w:rPr>
        <w:t>])</w:t>
      </w:r>
      <w:r w:rsidR="00DF2DF8" w:rsidRPr="0001780A">
        <w:rPr>
          <w:rFonts w:ascii="Garamond" w:hAnsi="Garamond"/>
        </w:rPr>
        <w:fldChar w:fldCharType="end"/>
      </w:r>
      <w:r w:rsidRPr="0001780A">
        <w:rPr>
          <w:rFonts w:ascii="Garamond" w:hAnsi="Garamond"/>
        </w:rPr>
        <w:t xml:space="preserve">. In addition, feminist </w:t>
      </w:r>
      <w:r w:rsidR="00DF2DF8" w:rsidRPr="0001780A">
        <w:rPr>
          <w:rFonts w:ascii="Garamond" w:hAnsi="Garamond"/>
        </w:rPr>
        <w:fldChar w:fldCharType="begin"/>
      </w:r>
      <w:r w:rsidRPr="0001780A">
        <w:rPr>
          <w:rFonts w:ascii="Garamond" w:hAnsi="Garamond"/>
        </w:rPr>
        <w:instrText xml:space="preserve"> ADDIN EN.CITE &lt;EndNote&gt;&lt;Cite&gt;&lt;Author&gt;Kristeva&lt;/Author&gt;&lt;Year&gt;1984&lt;/Year&gt;&lt;RecNum&gt;38&lt;/RecNum&gt;&lt;record&gt;&lt;rec-number&gt;38&lt;/rec-number&gt;&lt;foreign-keys&gt;&lt;key app="EN" db-id="2wrpwzvemxr2zzexxxyxf5abst5stst2rz22"&gt;38&lt;/key&gt;&lt;/foreign-keys&gt;&lt;ref-type name="Book"&gt;6&lt;/ref-type&gt;&lt;contributors&gt;&lt;authors&gt;&lt;author&gt;Kristeva, Julia&lt;/author&gt;&lt;/authors&gt;&lt;/contributors&gt;&lt;titles&gt;&lt;title&gt;Powers of Horror: An Essay on Abjection &lt;/title&gt;&lt;/titles&gt;&lt;dates&gt;&lt;year&gt;1984&lt;/year&gt;&lt;/dates&gt;&lt;pub-location&gt;New York&lt;/pub-location&gt;&lt;publisher&gt;Columbia University Press&lt;/publisher&gt;&lt;urls&gt;&lt;/urls&gt;&lt;/record&gt;&lt;/Cite&gt;&lt;/EndNote&gt;</w:instrText>
      </w:r>
      <w:r w:rsidR="00DF2DF8" w:rsidRPr="0001780A">
        <w:rPr>
          <w:rFonts w:ascii="Garamond" w:hAnsi="Garamond"/>
        </w:rPr>
        <w:fldChar w:fldCharType="separate"/>
      </w:r>
      <w:r w:rsidRPr="0001780A">
        <w:rPr>
          <w:rFonts w:ascii="Garamond" w:hAnsi="Garamond"/>
        </w:rPr>
        <w:t>(Kristeva, 1984)</w:t>
      </w:r>
      <w:r w:rsidR="00DF2DF8" w:rsidRPr="0001780A">
        <w:rPr>
          <w:rFonts w:ascii="Garamond" w:hAnsi="Garamond"/>
        </w:rPr>
        <w:fldChar w:fldCharType="end"/>
      </w:r>
      <w:r w:rsidRPr="0001780A">
        <w:rPr>
          <w:rFonts w:ascii="Garamond" w:hAnsi="Garamond"/>
        </w:rPr>
        <w:t xml:space="preserve">, and postcolonial theorists </w:t>
      </w:r>
      <w:r w:rsidR="00DF2DF8" w:rsidRPr="0001780A">
        <w:rPr>
          <w:rFonts w:ascii="Garamond" w:hAnsi="Garamond"/>
        </w:rPr>
        <w:fldChar w:fldCharType="begin">
          <w:fldData xml:space="preserve">PEVuZE5vdGU+PENpdGU+PEF1dGhvcj5TYWlkPC9BdXRob3I+PFllYXI+MTk3ODwvWWVhcj48UmVj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</w:fldData>
        </w:fldChar>
      </w:r>
      <w:r w:rsidRPr="0001780A">
        <w:rPr>
          <w:rFonts w:ascii="Garamond" w:hAnsi="Garamond"/>
        </w:rPr>
        <w:instrText xml:space="preserve"> ADDIN EN.CITE </w:instrText>
      </w:r>
      <w:r w:rsidR="00DF2DF8" w:rsidRPr="0001780A">
        <w:rPr>
          <w:rFonts w:ascii="Garamond" w:hAnsi="Garamond"/>
        </w:rPr>
        <w:fldChar w:fldCharType="begin">
          <w:fldData xml:space="preserve">PEVuZE5vdGU+PENpdGU+PEF1dGhvcj5TYWlkPC9BdXRob3I+PFllYXI+MTk3ODwvWWVhcj48UmVj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</w:fldData>
        </w:fldChar>
      </w:r>
      <w:r w:rsidRPr="0001780A">
        <w:rPr>
          <w:rFonts w:ascii="Garamond" w:hAnsi="Garamond"/>
        </w:rPr>
        <w:instrText xml:space="preserve"> ADDIN EN.CITE.DATA </w:instrText>
      </w:r>
      <w:r w:rsidR="00DF2DF8" w:rsidRPr="0001780A">
        <w:rPr>
          <w:rFonts w:ascii="Garamond" w:hAnsi="Garamond"/>
        </w:rPr>
      </w:r>
      <w:r w:rsidR="00DF2DF8" w:rsidRPr="0001780A">
        <w:rPr>
          <w:rFonts w:ascii="Garamond" w:hAnsi="Garamond"/>
        </w:rPr>
        <w:fldChar w:fldCharType="end"/>
      </w:r>
      <w:r w:rsidR="00DF2DF8" w:rsidRPr="0001780A">
        <w:rPr>
          <w:rFonts w:ascii="Garamond" w:hAnsi="Garamond"/>
        </w:rPr>
      </w:r>
      <w:r w:rsidR="00DF2DF8" w:rsidRPr="0001780A">
        <w:rPr>
          <w:rFonts w:ascii="Garamond" w:hAnsi="Garamond"/>
        </w:rPr>
        <w:fldChar w:fldCharType="separate"/>
      </w:r>
      <w:r w:rsidRPr="0001780A">
        <w:rPr>
          <w:rFonts w:ascii="Garamond" w:hAnsi="Garamond"/>
        </w:rPr>
        <w:t>(Bhabh</w:t>
      </w:r>
      <w:r>
        <w:rPr>
          <w:rFonts w:ascii="Garamond" w:hAnsi="Garamond"/>
        </w:rPr>
        <w:t xml:space="preserve">a, </w:t>
      </w:r>
      <w:r w:rsidRPr="0001780A">
        <w:rPr>
          <w:rFonts w:ascii="Garamond" w:hAnsi="Garamond"/>
        </w:rPr>
        <w:t xml:space="preserve">1988; </w:t>
      </w:r>
      <w:r>
        <w:rPr>
          <w:rFonts w:ascii="Garamond" w:hAnsi="Garamond"/>
        </w:rPr>
        <w:t xml:space="preserve">1994; </w:t>
      </w:r>
      <w:r w:rsidRPr="0001780A">
        <w:rPr>
          <w:rFonts w:ascii="Garamond" w:hAnsi="Garamond"/>
        </w:rPr>
        <w:t>Said, 1978; 1993; Serequeberhan, 1997</w:t>
      </w:r>
      <w:r>
        <w:rPr>
          <w:rFonts w:ascii="Garamond" w:hAnsi="Garamond"/>
        </w:rPr>
        <w:t>; Quijano, 2000</w:t>
      </w:r>
      <w:r w:rsidRPr="0001780A">
        <w:rPr>
          <w:rFonts w:ascii="Garamond" w:hAnsi="Garamond"/>
        </w:rPr>
        <w:t>)</w:t>
      </w:r>
      <w:r w:rsidR="00DF2DF8" w:rsidRPr="0001780A">
        <w:rPr>
          <w:rFonts w:ascii="Garamond" w:hAnsi="Garamond"/>
        </w:rPr>
        <w:fldChar w:fldCharType="end"/>
      </w:r>
      <w:r w:rsidRPr="0001780A">
        <w:rPr>
          <w:rFonts w:ascii="Garamond" w:hAnsi="Garamond"/>
        </w:rPr>
        <w:t xml:space="preserve"> have popularized the idea of bodily subjectivity as a form of social constructivism. </w:t>
      </w:r>
    </w:p>
    <w:p w:rsidR="002D22FA" w:rsidRPr="0001780A" w:rsidRDefault="002D22FA" w:rsidP="002D22FA">
      <w:pPr>
        <w:pStyle w:val="NormalWeb"/>
        <w:spacing w:before="0" w:beforeAutospacing="0" w:after="0" w:afterAutospacing="0" w:line="360" w:lineRule="auto"/>
        <w:jc w:val="both"/>
        <w:rPr>
          <w:rFonts w:ascii="Garamond" w:hAnsi="Garamond"/>
        </w:rPr>
      </w:pPr>
    </w:p>
    <w:p w:rsidR="002D22FA" w:rsidRPr="0001780A" w:rsidRDefault="002D22FA" w:rsidP="002D22FA">
      <w:pPr>
        <w:pStyle w:val="NormalWeb"/>
        <w:spacing w:before="0" w:beforeAutospacing="0" w:after="0" w:afterAutospacing="0" w:line="360" w:lineRule="auto"/>
        <w:jc w:val="both"/>
        <w:rPr>
          <w:rFonts w:ascii="Garamond" w:hAnsi="Garamond"/>
        </w:rPr>
      </w:pPr>
      <w:r>
        <w:rPr>
          <w:rFonts w:ascii="Garamond" w:hAnsi="Garamond"/>
        </w:rPr>
        <w:t>Throughout Chapter T</w:t>
      </w:r>
      <w:r w:rsidRPr="0001780A">
        <w:rPr>
          <w:rFonts w:ascii="Garamond" w:hAnsi="Garamond"/>
        </w:rPr>
        <w:t>hree</w:t>
      </w:r>
      <w:r>
        <w:rPr>
          <w:rFonts w:ascii="Garamond" w:hAnsi="Garamond"/>
        </w:rPr>
        <w:t xml:space="preserve"> and </w:t>
      </w:r>
      <w:r w:rsidR="00943FE2">
        <w:rPr>
          <w:rFonts w:ascii="Garamond" w:hAnsi="Garamond"/>
        </w:rPr>
        <w:t xml:space="preserve">Chapter </w:t>
      </w:r>
      <w:r>
        <w:rPr>
          <w:rFonts w:ascii="Garamond" w:hAnsi="Garamond"/>
        </w:rPr>
        <w:t>F</w:t>
      </w:r>
      <w:r w:rsidRPr="0001780A">
        <w:rPr>
          <w:rFonts w:ascii="Garamond" w:hAnsi="Garamond"/>
        </w:rPr>
        <w:t>our</w:t>
      </w:r>
      <w:r>
        <w:rPr>
          <w:rFonts w:ascii="Garamond" w:hAnsi="Garamond"/>
        </w:rPr>
        <w:t>,</w:t>
      </w:r>
      <w:r w:rsidRPr="0001780A">
        <w:rPr>
          <w:rFonts w:ascii="Garamond" w:hAnsi="Garamond"/>
        </w:rPr>
        <w:t xml:space="preserve"> I show how power is mapped onto flesh to fictionalise and make emblematic social and cultural practices. Bodies become narratives in practice – reworking, refining and redefining cultural meanings</w:t>
      </w:r>
      <w:r w:rsidR="00AE09DA">
        <w:rPr>
          <w:rFonts w:ascii="Garamond" w:hAnsi="Garamond"/>
        </w:rPr>
        <w:t xml:space="preserve"> through their actions. Michel de Certeau (1984</w:t>
      </w:r>
      <w:r w:rsidRPr="0001780A">
        <w:rPr>
          <w:rFonts w:ascii="Garamond" w:hAnsi="Garamond"/>
        </w:rPr>
        <w:t xml:space="preserve">) perceives this as the textualization of bodies where corporeal inscriptions (judicial, medical, punitive and disciplinary) meet the material embodied resistance of flesh. Where Derrida insists that there is always a pre-discursive outside of every text </w:t>
      </w:r>
      <w:r w:rsidR="00AE09DA">
        <w:rPr>
          <w:rFonts w:ascii="Garamond" w:hAnsi="Garamond"/>
        </w:rPr>
        <w:t>or frame, for d</w:t>
      </w:r>
      <w:r w:rsidRPr="0001780A">
        <w:rPr>
          <w:rFonts w:ascii="Garamond" w:hAnsi="Garamond"/>
        </w:rPr>
        <w:t xml:space="preserve">e Certeau, this outside is the ‘inarticulate’ carnality of flesh itself. Narrating an encounter with a white boy in 'The Fact of </w:t>
      </w:r>
      <w:r w:rsidRPr="0001780A">
        <w:rPr>
          <w:rFonts w:ascii="Garamond" w:hAnsi="Garamond"/>
        </w:rPr>
        <w:lastRenderedPageBreak/>
        <w:t>Blackness' (1952),</w:t>
      </w:r>
      <w:r w:rsidRPr="0001780A">
        <w:rPr>
          <w:rStyle w:val="FootnoteReference"/>
          <w:rFonts w:ascii="Garamond" w:hAnsi="Garamond"/>
        </w:rPr>
        <w:footnoteReference w:id="50"/>
      </w:r>
      <w:r w:rsidRPr="0001780A">
        <w:rPr>
          <w:rFonts w:ascii="Garamond" w:hAnsi="Garamond"/>
        </w:rPr>
        <w:t xml:space="preserve"> Fanon graphically describes how the immediate textualization of his body</w:t>
      </w:r>
      <w:r>
        <w:rPr>
          <w:rFonts w:ascii="Garamond" w:hAnsi="Garamond"/>
        </w:rPr>
        <w:t xml:space="preserve"> as black</w:t>
      </w:r>
      <w:r w:rsidRPr="0001780A">
        <w:rPr>
          <w:rFonts w:ascii="Garamond" w:hAnsi="Garamond"/>
        </w:rPr>
        <w:t xml:space="preserve"> leads to the internalization of Foucauldian discipline and the development of naturalized feelings of inferiority and self-depreciation</w:t>
      </w:r>
      <w:r>
        <w:rPr>
          <w:rFonts w:ascii="Garamond" w:hAnsi="Garamond"/>
        </w:rPr>
        <w:t>. In Chapter S</w:t>
      </w:r>
      <w:r w:rsidRPr="0001780A">
        <w:rPr>
          <w:rFonts w:ascii="Garamond" w:hAnsi="Garamond"/>
        </w:rPr>
        <w:t xml:space="preserve">ix, I explain how the BOA harnessed the black consciousness as a counter-discourse to challenge the transnational pro-apartheid textualization of the black body. </w:t>
      </w:r>
    </w:p>
    <w:p w:rsidR="002D22FA" w:rsidRPr="0001780A" w:rsidRDefault="002D22FA" w:rsidP="002D22FA">
      <w:pPr>
        <w:pStyle w:val="NormalWeb"/>
        <w:spacing w:before="0" w:beforeAutospacing="0" w:after="0" w:afterAutospacing="0" w:line="360" w:lineRule="auto"/>
        <w:jc w:val="both"/>
        <w:rPr>
          <w:rFonts w:ascii="Garamond" w:hAnsi="Garamond"/>
        </w:rPr>
      </w:pPr>
    </w:p>
    <w:p w:rsidR="004A7172" w:rsidRDefault="004A7172" w:rsidP="002D22FA">
      <w:pPr>
        <w:autoSpaceDE w:val="0"/>
        <w:autoSpaceDN w:val="0"/>
        <w:adjustRightInd w:val="0"/>
        <w:spacing w:after="0" w:line="360" w:lineRule="auto"/>
        <w:ind w:right="1088"/>
        <w:jc w:val="both"/>
        <w:rPr>
          <w:rFonts w:ascii="Garamond" w:hAnsi="Garamond"/>
          <w:b/>
          <w:i/>
          <w:szCs w:val="24"/>
        </w:rPr>
      </w:pPr>
    </w:p>
    <w:p w:rsidR="002D22FA" w:rsidRPr="00C93102" w:rsidRDefault="002D22FA" w:rsidP="002D22FA">
      <w:pPr>
        <w:autoSpaceDE w:val="0"/>
        <w:autoSpaceDN w:val="0"/>
        <w:adjustRightInd w:val="0"/>
        <w:spacing w:after="0" w:line="360" w:lineRule="auto"/>
        <w:ind w:right="1088"/>
        <w:jc w:val="both"/>
        <w:rPr>
          <w:rFonts w:ascii="Garamond" w:hAnsi="Garamond"/>
          <w:b/>
          <w:i/>
          <w:szCs w:val="24"/>
        </w:rPr>
      </w:pPr>
      <w:r w:rsidRPr="00C93102">
        <w:rPr>
          <w:rFonts w:ascii="Garamond" w:hAnsi="Garamond"/>
          <w:b/>
          <w:i/>
          <w:szCs w:val="24"/>
        </w:rPr>
        <w:t xml:space="preserve">The fluid material body </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Boycotter bodywork is not simply represe</w:t>
      </w:r>
      <w:r w:rsidR="00F44C33">
        <w:rPr>
          <w:rFonts w:ascii="Garamond" w:hAnsi="Garamond"/>
          <w:sz w:val="24"/>
          <w:szCs w:val="24"/>
        </w:rPr>
        <w:t>nted. It is felt, eaten, smelt.</w:t>
      </w:r>
      <w:r w:rsidRPr="0001780A">
        <w:rPr>
          <w:rFonts w:ascii="Garamond" w:hAnsi="Garamond"/>
          <w:sz w:val="24"/>
          <w:szCs w:val="24"/>
        </w:rPr>
        <w:t xml:space="preserve"> Boycotting a commodity is a tangible, visceral act that uses consumer corporeality and engagement with the outside world as a starting point for political action.  As William Fox, a Quaker boycott activist and abolitionist, argued in 1791, “if we purchase the commodity, we part</w:t>
      </w:r>
      <w:r w:rsidR="00F44C33">
        <w:rPr>
          <w:rFonts w:ascii="Garamond" w:hAnsi="Garamond"/>
          <w:sz w:val="24"/>
          <w:szCs w:val="24"/>
        </w:rPr>
        <w:t>icipate</w:t>
      </w:r>
      <w:r w:rsidRPr="0001780A">
        <w:rPr>
          <w:rFonts w:ascii="Garamond" w:hAnsi="Garamond"/>
          <w:sz w:val="24"/>
          <w:szCs w:val="24"/>
        </w:rPr>
        <w:t xml:space="preserve"> in the crime”</w:t>
      </w:r>
      <w:r w:rsidR="007B431E">
        <w:rPr>
          <w:rFonts w:ascii="Garamond" w:hAnsi="Garamond"/>
          <w:sz w:val="24"/>
          <w:szCs w:val="24"/>
        </w:rPr>
        <w:t xml:space="preserve"> (Fox cited in Plasa, 2009: 41)</w:t>
      </w:r>
      <w:r w:rsidRPr="0001780A">
        <w:rPr>
          <w:rFonts w:ascii="Garamond" w:hAnsi="Garamond"/>
          <w:sz w:val="24"/>
          <w:szCs w:val="24"/>
        </w:rPr>
        <w:t>.</w:t>
      </w:r>
      <w:r w:rsidR="007B431E" w:rsidRPr="0001780A">
        <w:rPr>
          <w:rFonts w:ascii="Garamond" w:hAnsi="Garamond"/>
          <w:sz w:val="24"/>
          <w:szCs w:val="24"/>
        </w:rPr>
        <w:t xml:space="preserve"> </w:t>
      </w:r>
      <w:r w:rsidRPr="0001780A">
        <w:rPr>
          <w:rFonts w:ascii="Garamond" w:hAnsi="Garamond"/>
          <w:sz w:val="24"/>
          <w:szCs w:val="24"/>
        </w:rPr>
        <w:t>Thomas Cooper’s pamphlet from the same era quantified the issue of market causation into exchangeable units of sugar and slaves by suggesting how if “one family abstained from the consumption of sugar for 21 months they could prevent the enslavement or murder of one fellow creature”</w:t>
      </w:r>
      <w:r>
        <w:rPr>
          <w:rFonts w:ascii="Garamond" w:hAnsi="Garamond"/>
          <w:sz w:val="24"/>
          <w:szCs w:val="24"/>
        </w:rPr>
        <w:t xml:space="preserve"> (Cooper, 1791 in Sheller, 2003: 88)</w:t>
      </w:r>
      <w:r w:rsidRPr="0001780A">
        <w:rPr>
          <w:rFonts w:ascii="Garamond" w:hAnsi="Garamond"/>
          <w:sz w:val="24"/>
          <w:szCs w:val="24"/>
        </w:rPr>
        <w:t xml:space="preserve">. In the withdrawal from, and discernment of, particular forms of consumption over others, boycott movements draw consumers into a lived, sensual and somatic relationship with commodities. From here, to purge the consuming body of a commodity is to purge oneself from compliance in the pain of producers. In turn, to ply oneself with sugar, cocoa or diamonds has at times meant to engorge oneself with the blood, sweat and tears of labourers. </w:t>
      </w:r>
    </w:p>
    <w:p w:rsidR="002D22FA" w:rsidRPr="0001780A" w:rsidRDefault="002D22FA" w:rsidP="002D22FA">
      <w:pPr>
        <w:spacing w:after="0" w:line="360" w:lineRule="auto"/>
        <w:jc w:val="both"/>
        <w:rPr>
          <w:rFonts w:ascii="Garamond" w:hAnsi="Garamond"/>
          <w:sz w:val="24"/>
          <w:szCs w:val="24"/>
        </w:rPr>
      </w:pPr>
    </w:p>
    <w:p w:rsidR="002D22FA" w:rsidRPr="0001780A" w:rsidRDefault="002D22FA" w:rsidP="002D22FA">
      <w:pPr>
        <w:autoSpaceDE w:val="0"/>
        <w:autoSpaceDN w:val="0"/>
        <w:adjustRightInd w:val="0"/>
        <w:spacing w:after="0" w:line="360" w:lineRule="auto"/>
        <w:ind w:right="95"/>
        <w:jc w:val="both"/>
        <w:rPr>
          <w:rFonts w:ascii="Garamond" w:hAnsi="Garamond"/>
          <w:sz w:val="24"/>
          <w:szCs w:val="24"/>
        </w:rPr>
      </w:pPr>
      <w:r w:rsidRPr="0001780A">
        <w:rPr>
          <w:rFonts w:ascii="Garamond" w:hAnsi="Garamond"/>
          <w:sz w:val="24"/>
          <w:szCs w:val="24"/>
        </w:rPr>
        <w:t xml:space="preserve">For Nietzsche, the body was made from active and reactive forces; the active forces are concerned only with their own expansion and well being, whilst reactive forces “decompose; separate active force </w:t>
      </w:r>
      <w:r w:rsidRPr="0001780A">
        <w:rPr>
          <w:rFonts w:ascii="Garamond" w:hAnsi="Garamond"/>
          <w:i/>
          <w:sz w:val="24"/>
          <w:szCs w:val="24"/>
        </w:rPr>
        <w:t>from what it can do</w:t>
      </w:r>
      <w:r w:rsidRPr="0001780A">
        <w:rPr>
          <w:rFonts w:ascii="Garamond" w:hAnsi="Garamond"/>
          <w:sz w:val="24"/>
          <w:szCs w:val="24"/>
        </w:rPr>
        <w:t>” (Deleuze, 1983: 57). Grosz contends that the Nietzschean body “must be seen as a pliable and potentially infinitely diverse set of energies... we cannot know what the body is capable of doing... the body’s capacity for becoming cannot be charted” (1994: 125). The Nietzschian reality is a world of organic and inorganic matter, fluids and forces:</w:t>
      </w:r>
    </w:p>
    <w:p w:rsidR="002D22FA" w:rsidRPr="0001780A" w:rsidRDefault="002D22FA" w:rsidP="002D22FA">
      <w:pPr>
        <w:autoSpaceDE w:val="0"/>
        <w:autoSpaceDN w:val="0"/>
        <w:adjustRightInd w:val="0"/>
        <w:spacing w:after="0" w:line="360" w:lineRule="auto"/>
        <w:ind w:right="95"/>
        <w:jc w:val="both"/>
        <w:rPr>
          <w:rFonts w:ascii="Garamond" w:hAnsi="Garamond"/>
          <w:sz w:val="24"/>
          <w:szCs w:val="24"/>
        </w:rPr>
      </w:pPr>
      <w:r w:rsidRPr="0001780A">
        <w:rPr>
          <w:rFonts w:ascii="Garamond" w:hAnsi="Garamond"/>
          <w:sz w:val="24"/>
          <w:szCs w:val="24"/>
        </w:rPr>
        <w:t xml:space="preserve">   </w:t>
      </w:r>
    </w:p>
    <w:p w:rsidR="002D22FA" w:rsidRPr="007B431E" w:rsidRDefault="002D22FA" w:rsidP="002D22FA">
      <w:pPr>
        <w:spacing w:after="0" w:line="360" w:lineRule="auto"/>
        <w:ind w:left="284" w:right="284"/>
        <w:jc w:val="both"/>
        <w:rPr>
          <w:rFonts w:ascii="Garamond" w:hAnsi="Garamond"/>
        </w:rPr>
      </w:pPr>
      <w:r w:rsidRPr="007B431E">
        <w:rPr>
          <w:rFonts w:ascii="Garamond" w:hAnsi="Garamond"/>
        </w:rPr>
        <w:t xml:space="preserve">flowing and rushing together, eternally changing, eternally flooding back, with tremendous years of recurrence... as a </w:t>
      </w:r>
      <w:r w:rsidRPr="007B431E">
        <w:rPr>
          <w:rFonts w:ascii="Garamond" w:hAnsi="Garamond"/>
          <w:i/>
        </w:rPr>
        <w:t>becoming</w:t>
      </w:r>
      <w:r w:rsidRPr="007B431E">
        <w:rPr>
          <w:rFonts w:ascii="Garamond" w:hAnsi="Garamond"/>
        </w:rPr>
        <w:t xml:space="preserve"> that knows no satiety, no disgust, no weariness: this is </w:t>
      </w:r>
      <w:r w:rsidRPr="007B431E">
        <w:rPr>
          <w:rFonts w:ascii="Garamond" w:hAnsi="Garamond"/>
        </w:rPr>
        <w:lastRenderedPageBreak/>
        <w:t xml:space="preserve">my Dionysian world of the eternally self creating, the eternally self-destroying. (Nietzsche, 2011 [1967]: 550, </w:t>
      </w:r>
      <w:r w:rsidR="007B431E" w:rsidRPr="007B431E">
        <w:rPr>
          <w:rFonts w:ascii="Garamond" w:hAnsi="Garamond"/>
        </w:rPr>
        <w:t>emphasis added</w:t>
      </w:r>
      <w:r w:rsidRPr="007B431E">
        <w:rPr>
          <w:rFonts w:ascii="Garamond" w:hAnsi="Garamond"/>
        </w:rPr>
        <w:t>)</w:t>
      </w:r>
    </w:p>
    <w:p w:rsidR="002D22FA" w:rsidRPr="0001780A" w:rsidRDefault="002D22FA" w:rsidP="002D22FA">
      <w:pPr>
        <w:spacing w:after="0" w:line="360" w:lineRule="auto"/>
        <w:ind w:right="1088"/>
        <w:jc w:val="both"/>
        <w:rPr>
          <w:rFonts w:ascii="Garamond" w:hAnsi="Garamond"/>
          <w:sz w:val="24"/>
        </w:rPr>
      </w:pPr>
    </w:p>
    <w:p w:rsidR="002D22FA" w:rsidRPr="0001780A" w:rsidRDefault="002D22FA" w:rsidP="002D22FA">
      <w:pPr>
        <w:spacing w:after="0" w:line="360" w:lineRule="auto"/>
        <w:jc w:val="both"/>
        <w:rPr>
          <w:rFonts w:ascii="Garamond" w:hAnsi="Garamond"/>
          <w:sz w:val="24"/>
          <w:szCs w:val="24"/>
        </w:rPr>
      </w:pPr>
      <w:r w:rsidRPr="0001780A">
        <w:rPr>
          <w:rFonts w:ascii="Garamond" w:hAnsi="Garamond"/>
          <w:sz w:val="24"/>
          <w:szCs w:val="24"/>
        </w:rPr>
        <w:t>The impact of Nietzsche’s understanding of the body on modern literary theory and the social sciences should not be underestimated. Drawing on Nietzsche, f</w:t>
      </w:r>
      <w:r>
        <w:rPr>
          <w:rFonts w:ascii="Garamond" w:hAnsi="Garamond"/>
          <w:sz w:val="24"/>
          <w:szCs w:val="24"/>
        </w:rPr>
        <w:t>eminists Iris Marion Young (1980</w:t>
      </w:r>
      <w:r w:rsidRPr="0001780A">
        <w:rPr>
          <w:rFonts w:ascii="Garamond" w:hAnsi="Garamond"/>
          <w:sz w:val="24"/>
          <w:szCs w:val="24"/>
        </w:rPr>
        <w:t xml:space="preserve">) and Gatens (1996) attempted to overcome body/mind dualisms replicated in the sexual difference/equality debate (McDowell </w:t>
      </w:r>
      <w:r w:rsidR="00F152DB">
        <w:rPr>
          <w:rFonts w:ascii="Garamond" w:hAnsi="Garamond"/>
          <w:sz w:val="24"/>
          <w:szCs w:val="24"/>
        </w:rPr>
        <w:t>and</w:t>
      </w:r>
      <w:r w:rsidRPr="0001780A">
        <w:rPr>
          <w:rFonts w:ascii="Garamond" w:hAnsi="Garamond"/>
          <w:sz w:val="24"/>
          <w:szCs w:val="24"/>
        </w:rPr>
        <w:t xml:space="preserve"> Sharp, 1999). They did this by presenting the body as a state of constant becoming, actively involved in the production of subjectivity and lived experience. According to Young and Gatens the lived body is psychic as much as it is anatomical. Combining Nietzsche’s ‘metaphorical intuitions’ and fluid becomings with Merleau-Ponty’s (1962) analysis of phantom limbs and hysterical paralysis, they argue that it is the imaginary body r</w:t>
      </w:r>
      <w:r>
        <w:rPr>
          <w:rFonts w:ascii="Garamond" w:hAnsi="Garamond"/>
          <w:sz w:val="24"/>
          <w:szCs w:val="24"/>
        </w:rPr>
        <w:t>ather than the anatomical body that</w:t>
      </w:r>
      <w:r w:rsidRPr="0001780A">
        <w:rPr>
          <w:rFonts w:ascii="Garamond" w:hAnsi="Garamond"/>
          <w:sz w:val="24"/>
          <w:szCs w:val="24"/>
        </w:rPr>
        <w:t xml:space="preserve"> is actively experienced. The fluid Nietzschean body of active and reactive forces - of organic and inorganic constellations </w:t>
      </w:r>
      <w:r w:rsidR="00943FE2">
        <w:rPr>
          <w:rFonts w:ascii="Garamond" w:hAnsi="Garamond"/>
          <w:sz w:val="24"/>
          <w:szCs w:val="24"/>
        </w:rPr>
        <w:t>–</w:t>
      </w:r>
      <w:r w:rsidRPr="0001780A">
        <w:rPr>
          <w:rFonts w:ascii="Garamond" w:hAnsi="Garamond"/>
          <w:sz w:val="24"/>
          <w:szCs w:val="24"/>
        </w:rPr>
        <w:t xml:space="preserve"> resonates with the animate materialis</w:t>
      </w:r>
      <w:r w:rsidR="00AE09DA">
        <w:rPr>
          <w:rFonts w:ascii="Garamond" w:hAnsi="Garamond"/>
          <w:sz w:val="24"/>
          <w:szCs w:val="24"/>
        </w:rPr>
        <w:t>ms of recent feminist</w:t>
      </w:r>
      <w:r w:rsidRPr="0001780A">
        <w:rPr>
          <w:rFonts w:ascii="Garamond" w:hAnsi="Garamond"/>
          <w:sz w:val="24"/>
          <w:szCs w:val="24"/>
        </w:rPr>
        <w:t xml:space="preserve"> and disability geographies. </w:t>
      </w:r>
      <w:r>
        <w:rPr>
          <w:rFonts w:ascii="Garamond" w:hAnsi="Garamond"/>
          <w:sz w:val="24"/>
          <w:szCs w:val="24"/>
        </w:rPr>
        <w:t xml:space="preserve"> For feminists like</w:t>
      </w:r>
      <w:r w:rsidRPr="0001780A">
        <w:rPr>
          <w:rFonts w:ascii="Garamond" w:hAnsi="Garamond"/>
          <w:sz w:val="24"/>
          <w:szCs w:val="24"/>
        </w:rPr>
        <w:t xml:space="preserve"> Grosz (1995) and Longhurst (2000), the ‘corporeal-geographical body’ (Rose, 1993); i) opposes bodies as mere sites of inscription, ii) suggests that the production of bodily subjectivities in turn produces space in quotidian interactions, and iii) is fluid, messy and leaky. </w:t>
      </w:r>
    </w:p>
    <w:p w:rsidR="002D22FA" w:rsidRPr="0001780A" w:rsidRDefault="002D22FA" w:rsidP="002D22FA">
      <w:pPr>
        <w:spacing w:after="0" w:line="360" w:lineRule="auto"/>
        <w:jc w:val="both"/>
        <w:rPr>
          <w:rFonts w:ascii="Garamond" w:hAnsi="Garamond"/>
          <w:sz w:val="24"/>
          <w:szCs w:val="24"/>
        </w:rPr>
      </w:pPr>
    </w:p>
    <w:p w:rsidR="002D22FA" w:rsidRDefault="002D22FA" w:rsidP="002D22FA">
      <w:pPr>
        <w:spacing w:after="0" w:line="360" w:lineRule="auto"/>
        <w:jc w:val="both"/>
        <w:rPr>
          <w:rFonts w:ascii="Garamond" w:eastAsia="Times New Roman" w:hAnsi="Garamond"/>
          <w:sz w:val="24"/>
          <w:szCs w:val="24"/>
          <w:lang w:eastAsia="en-GB"/>
        </w:rPr>
      </w:pPr>
      <w:r w:rsidRPr="0001780A">
        <w:rPr>
          <w:rFonts w:ascii="Garamond" w:hAnsi="Garamond"/>
          <w:sz w:val="24"/>
          <w:szCs w:val="24"/>
        </w:rPr>
        <w:t>Disabled and messy bodies are sometimes interpreted as abject. On this theme the geographers Sibley (1995) and Longhurst (2000) borrow from Kristeva’s (1984) notion of abjection (the bodily revulsion to that whi</w:t>
      </w:r>
      <w:r w:rsidR="00C70D6B">
        <w:rPr>
          <w:rFonts w:ascii="Garamond" w:hAnsi="Garamond"/>
          <w:sz w:val="24"/>
          <w:szCs w:val="24"/>
        </w:rPr>
        <w:t>ch is waste) and Douglas’</w:t>
      </w:r>
      <w:r>
        <w:rPr>
          <w:rFonts w:ascii="Garamond" w:hAnsi="Garamond"/>
          <w:sz w:val="24"/>
          <w:szCs w:val="24"/>
        </w:rPr>
        <w:t xml:space="preserve"> (1960</w:t>
      </w:r>
      <w:r w:rsidRPr="0001780A">
        <w:rPr>
          <w:rFonts w:ascii="Garamond" w:hAnsi="Garamond"/>
          <w:sz w:val="24"/>
          <w:szCs w:val="24"/>
        </w:rPr>
        <w:t>) understanding of dirt (as matter out of place) to describe the fear of the (masculine, patriarchal, white) self being defiled or polluted. The abject is mapped onto dangerous or deviant bodies and groups without interrogating the abject itself. Longhurst embraces the abject, the grotesque, and the defiled to demystify it and to show, to quote Nietzsche, there is “no satiety, no disgust, no weariness” (1967: 550) in the becoming of grotesque, abject or defiled bodies</w:t>
      </w:r>
      <w:r w:rsidRPr="0001780A">
        <w:rPr>
          <w:rFonts w:ascii="Garamond" w:eastAsia="Times New Roman" w:hAnsi="Garamond"/>
          <w:sz w:val="24"/>
          <w:szCs w:val="24"/>
          <w:lang w:eastAsia="en-GB"/>
        </w:rPr>
        <w:t xml:space="preserve">. As famously noted by Bahktin in </w:t>
      </w:r>
      <w:r w:rsidRPr="0001780A">
        <w:rPr>
          <w:rFonts w:ascii="Garamond" w:eastAsia="Times New Roman" w:hAnsi="Garamond"/>
          <w:i/>
          <w:sz w:val="24"/>
          <w:szCs w:val="24"/>
          <w:lang w:eastAsia="en-GB"/>
        </w:rPr>
        <w:t xml:space="preserve">Rabelais and His World </w:t>
      </w:r>
      <w:r w:rsidRPr="0001780A">
        <w:rPr>
          <w:rFonts w:ascii="Garamond" w:eastAsia="Times New Roman" w:hAnsi="Garamond"/>
          <w:sz w:val="24"/>
          <w:szCs w:val="24"/>
          <w:lang w:eastAsia="en-GB"/>
        </w:rPr>
        <w:t xml:space="preserve">(1984), there is a resistant fluidity to these bodies </w:t>
      </w:r>
      <w:r>
        <w:rPr>
          <w:rFonts w:ascii="Garamond" w:eastAsia="Times New Roman" w:hAnsi="Garamond"/>
          <w:sz w:val="24"/>
          <w:szCs w:val="24"/>
          <w:lang w:eastAsia="en-GB"/>
        </w:rPr>
        <w:t>that challenges</w:t>
      </w:r>
      <w:r w:rsidRPr="0001780A">
        <w:rPr>
          <w:rFonts w:ascii="Garamond" w:eastAsia="Times New Roman" w:hAnsi="Garamond"/>
          <w:sz w:val="24"/>
          <w:szCs w:val="24"/>
          <w:lang w:eastAsia="en-GB"/>
        </w:rPr>
        <w:t xml:space="preserve"> official culture. In addition there is a critical mobility to these fluid bodies (the gypsy, the exile, the refugee) that challenges a sedentarist metaphysics of conservative media, town councils, and states alike (Malkii, 1992; Urry, 2000; Cresswell, 2006). Boycotter bodywork is often made to harness the transgressive potential of bodily fluids, of porous boundaries between commodities and bodies that challenge culturally acceptable mannerisms and behaviours. Nowhere is this more apparent than in boycotts involving food. </w:t>
      </w:r>
    </w:p>
    <w:p w:rsidR="002D22FA" w:rsidRPr="0001780A" w:rsidRDefault="002D22FA" w:rsidP="002D22FA">
      <w:pPr>
        <w:spacing w:after="0" w:line="360" w:lineRule="auto"/>
        <w:jc w:val="both"/>
        <w:rPr>
          <w:rFonts w:ascii="Garamond" w:eastAsia="Times New Roman" w:hAnsi="Garamond"/>
          <w:sz w:val="24"/>
          <w:szCs w:val="24"/>
          <w:lang w:eastAsia="en-GB"/>
        </w:rPr>
      </w:pPr>
    </w:p>
    <w:p w:rsidR="002D22FA" w:rsidRPr="00AD3957" w:rsidRDefault="002D22FA" w:rsidP="002D22FA">
      <w:pPr>
        <w:spacing w:after="0" w:line="360" w:lineRule="auto"/>
        <w:jc w:val="both"/>
        <w:rPr>
          <w:rFonts w:ascii="Garamond" w:hAnsi="Garamond"/>
          <w:sz w:val="24"/>
          <w:szCs w:val="24"/>
        </w:rPr>
      </w:pPr>
      <w:r w:rsidRPr="0001780A">
        <w:rPr>
          <w:rFonts w:ascii="Garamond" w:hAnsi="Garamond"/>
          <w:sz w:val="24"/>
          <w:szCs w:val="24"/>
        </w:rPr>
        <w:t>Recent scholarship across disciplines has critiqued the hegemony of the visual in understanding the mechanisms of production, display and consumption (Thrift, 2003; Sennett, 2007).</w:t>
      </w:r>
      <w:r>
        <w:rPr>
          <w:rFonts w:ascii="Garamond" w:hAnsi="Garamond"/>
          <w:sz w:val="24"/>
          <w:szCs w:val="24"/>
        </w:rPr>
        <w:t xml:space="preserve"> By engaging the body and its multiple senses boycotters create shortcuts to political action. This is recognized by</w:t>
      </w:r>
      <w:r w:rsidRPr="00AD3957">
        <w:rPr>
          <w:rFonts w:ascii="Garamond" w:hAnsi="Garamond"/>
          <w:sz w:val="24"/>
          <w:szCs w:val="24"/>
        </w:rPr>
        <w:t xml:space="preserve"> Ó Tauthail (2003) and Dittmer </w:t>
      </w:r>
      <w:r w:rsidR="00DF2DF8" w:rsidRPr="00AD3957">
        <w:rPr>
          <w:rFonts w:ascii="Garamond" w:hAnsi="Garamond"/>
          <w:sz w:val="24"/>
          <w:szCs w:val="24"/>
        </w:rPr>
        <w:fldChar w:fldCharType="begin"/>
      </w:r>
      <w:r w:rsidRPr="00AD3957">
        <w:rPr>
          <w:rFonts w:ascii="Garamond" w:hAnsi="Garamond"/>
          <w:sz w:val="24"/>
          <w:szCs w:val="24"/>
        </w:rPr>
        <w:instrText xml:space="preserve"> ADDIN ZOTERO_ITEM {"citationItems":[{"suppressAuthor":true,"uri":["http://zotero.org/users/533342/items/6SWIF3I4"]}]} </w:instrText>
      </w:r>
      <w:r w:rsidR="00DF2DF8" w:rsidRPr="00AD3957">
        <w:rPr>
          <w:rFonts w:ascii="Garamond" w:hAnsi="Garamond"/>
          <w:sz w:val="24"/>
          <w:szCs w:val="24"/>
        </w:rPr>
        <w:fldChar w:fldCharType="separate"/>
      </w:r>
      <w:r w:rsidRPr="00AD3957">
        <w:rPr>
          <w:rFonts w:ascii="Garamond" w:hAnsi="Garamond"/>
          <w:sz w:val="24"/>
          <w:szCs w:val="24"/>
        </w:rPr>
        <w:t>(2010)</w:t>
      </w:r>
      <w:r w:rsidR="00DF2DF8" w:rsidRPr="00AD3957">
        <w:rPr>
          <w:rFonts w:ascii="Garamond" w:hAnsi="Garamond"/>
          <w:sz w:val="24"/>
          <w:szCs w:val="24"/>
        </w:rPr>
        <w:fldChar w:fldCharType="end"/>
      </w:r>
      <w:r>
        <w:rPr>
          <w:rFonts w:ascii="Garamond" w:hAnsi="Garamond"/>
          <w:sz w:val="24"/>
          <w:szCs w:val="24"/>
        </w:rPr>
        <w:t>, who</w:t>
      </w:r>
      <w:r w:rsidRPr="00AD3957">
        <w:rPr>
          <w:rFonts w:ascii="Garamond" w:hAnsi="Garamond"/>
          <w:sz w:val="24"/>
          <w:szCs w:val="24"/>
        </w:rPr>
        <w:t xml:space="preserve"> take gut feelings and ‘somatic markers’ into the realm of geopolitical decision making,</w:t>
      </w:r>
      <w:r>
        <w:rPr>
          <w:rFonts w:ascii="Garamond" w:hAnsi="Garamond"/>
        </w:rPr>
        <w:t xml:space="preserve"> </w:t>
      </w:r>
    </w:p>
    <w:p w:rsidR="002D22F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Default="002D22FA" w:rsidP="002D22FA">
      <w:pPr>
        <w:pStyle w:val="NormalWeb"/>
        <w:shd w:val="clear" w:color="auto" w:fill="FFFFFF"/>
        <w:spacing w:before="0" w:beforeAutospacing="0" w:after="0" w:afterAutospacing="0" w:line="360" w:lineRule="auto"/>
        <w:ind w:left="284" w:right="284"/>
        <w:jc w:val="both"/>
        <w:textAlignment w:val="baseline"/>
        <w:rPr>
          <w:rFonts w:ascii="Garamond" w:hAnsi="Garamond"/>
        </w:rPr>
      </w:pPr>
      <w:r>
        <w:rPr>
          <w:rFonts w:ascii="Garamond" w:hAnsi="Garamond"/>
        </w:rPr>
        <w:t>as an organizing and categorizing capacity that sets the ground for higher-order 'deliberative thinking'. Operating below the threshold of reflection and structured by affect-saturated memory and 'gut feelings', it simplifies and speeds the process of calculative reasoning. (Ó Tauthail, 2003 in Dittmer, 2010: 95)</w:t>
      </w:r>
    </w:p>
    <w:p w:rsidR="002D22F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4A7172" w:rsidRDefault="004A7172"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p>
    <w:p w:rsidR="002D22FA" w:rsidRPr="00C93102" w:rsidRDefault="002D22FA"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sidRPr="00C93102">
        <w:rPr>
          <w:rFonts w:ascii="Garamond" w:hAnsi="Garamond"/>
          <w:b/>
          <w:i/>
          <w:sz w:val="22"/>
        </w:rPr>
        <w:t>Commodity/body topoi</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 xml:space="preserve">My thinking around activist bodywork began in 2009 when I read literary historian Timothy Morton's (2000) work on the 'blood-sugar topos' of the anti-saccharites. </w:t>
      </w:r>
      <w:r w:rsidRPr="0001780A">
        <w:rPr>
          <w:rFonts w:ascii="Garamond" w:hAnsi="Garamond" w:cs="Courier New"/>
        </w:rPr>
        <w:t>Morton coined the idea of the blood-sugar topos as a way to understand how the anti-saccharites managed to contaminate social practices of eating sugar from the West Indies. Morton's work provides a ripe starting point for geographic inquiry. Topos, after all, is the word used by Aristotle to describe a particular type of place: the inner lining of a place, or a place contained. In literary circles a topos is also a commonplace argument, myth or illusion that is important to the formation of rhetoric. The anti-saccharites and food radicals of the late eighteenth century, Morton argues, used the blood-sugar topos to spoil appetites for West Indian sugar by showing how the sugar that sweetened a mug of tea was boiled up with the bitter blood of slaves.</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cs="Courier New"/>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cs="Courier New"/>
        </w:rPr>
      </w:pPr>
    </w:p>
    <w:p w:rsidR="002D22FA" w:rsidRPr="0001780A" w:rsidRDefault="002D22FA" w:rsidP="002D22FA">
      <w:pPr>
        <w:pStyle w:val="NormalWeb"/>
        <w:shd w:val="clear" w:color="auto" w:fill="FFFFFF"/>
        <w:spacing w:before="0" w:beforeAutospacing="0" w:after="0" w:afterAutospacing="0" w:line="360" w:lineRule="auto"/>
        <w:jc w:val="center"/>
        <w:textAlignment w:val="baseline"/>
        <w:rPr>
          <w:rFonts w:ascii="Garamond" w:hAnsi="Garamond" w:cs="Courier New"/>
          <w:color w:val="7A7A7A"/>
          <w:szCs w:val="23"/>
        </w:rPr>
      </w:pPr>
      <w:r w:rsidRPr="0001780A">
        <w:rPr>
          <w:rFonts w:ascii="Garamond" w:hAnsi="Garamond" w:cs="Courier New"/>
          <w:noProof/>
          <w:color w:val="F3686D"/>
          <w:szCs w:val="23"/>
          <w:bdr w:val="none" w:sz="0" w:space="0" w:color="auto" w:frame="1"/>
        </w:rPr>
        <w:lastRenderedPageBreak/>
        <w:drawing>
          <wp:inline distT="0" distB="0" distL="0" distR="0">
            <wp:extent cx="5080000" cy="3644380"/>
            <wp:effectExtent l="25400" t="0" r="0" b="0"/>
            <wp:docPr id="35" name="Picture 1" descr="http://hughcrosfield.files.wordpress.com/2012/07/mw61443.jpg?w=462&amp;h=33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ughcrosfield.files.wordpress.com/2012/07/mw61443.jpg?w=462&amp;h=332">
                      <a:hlinkClick r:id="rId25"/>
                    </pic:cNvPr>
                    <pic:cNvPicPr>
                      <a:picLocks noChangeAspect="1" noChangeArrowheads="1"/>
                    </pic:cNvPicPr>
                  </pic:nvPicPr>
                  <pic:blipFill>
                    <a:blip r:embed="rId26" cstate="print"/>
                    <a:srcRect/>
                    <a:stretch>
                      <a:fillRect/>
                    </a:stretch>
                  </pic:blipFill>
                  <pic:spPr bwMode="auto">
                    <a:xfrm>
                      <a:off x="0" y="0"/>
                      <a:ext cx="5081466" cy="3645432"/>
                    </a:xfrm>
                    <a:prstGeom prst="rect">
                      <a:avLst/>
                    </a:prstGeom>
                    <a:noFill/>
                    <a:ln w="9525">
                      <a:noFill/>
                      <a:miter lim="800000"/>
                      <a:headEnd/>
                      <a:tailEnd/>
                    </a:ln>
                  </pic:spPr>
                </pic:pic>
              </a:graphicData>
            </a:graphic>
          </wp:inline>
        </w:drawing>
      </w:r>
    </w:p>
    <w:p w:rsidR="001A482E" w:rsidRDefault="00691864" w:rsidP="00691864">
      <w:pPr>
        <w:pStyle w:val="Caption"/>
        <w:ind w:left="142"/>
        <w:rPr>
          <w:rFonts w:ascii="Perpetua" w:hAnsi="Perpetua"/>
          <w:b w:val="0"/>
          <w:color w:val="auto"/>
          <w:sz w:val="20"/>
          <w:szCs w:val="22"/>
        </w:rPr>
      </w:pPr>
      <w:bookmarkStart w:id="301" w:name="_Toc263509010"/>
      <w:bookmarkStart w:id="302" w:name="_Toc263510797"/>
      <w:bookmarkStart w:id="303" w:name="_Toc244437518"/>
      <w:bookmarkStart w:id="304" w:name="_Toc244508213"/>
      <w:bookmarkStart w:id="305" w:name="_Toc244577275"/>
      <w:bookmarkStart w:id="306" w:name="_Toc263495744"/>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13</w:t>
      </w:r>
      <w:r w:rsidR="00DF2DF8" w:rsidRPr="00691864">
        <w:rPr>
          <w:rFonts w:ascii="Perpetua" w:hAnsi="Perpetua"/>
          <w:b w:val="0"/>
          <w:color w:val="auto"/>
          <w:sz w:val="20"/>
        </w:rPr>
        <w:fldChar w:fldCharType="end"/>
      </w:r>
      <w:r w:rsidRPr="00691864">
        <w:rPr>
          <w:rFonts w:ascii="Perpetua" w:hAnsi="Perpetua"/>
          <w:b w:val="0"/>
          <w:color w:val="auto"/>
          <w:sz w:val="20"/>
        </w:rPr>
        <w:t>: 'Barbarities in the West Indies' illustration by James Gillray.</w:t>
      </w:r>
      <w:bookmarkEnd w:id="301"/>
      <w:bookmarkEnd w:id="302"/>
      <w:r w:rsidRPr="00691864">
        <w:rPr>
          <w:rFonts w:ascii="Perpetua" w:hAnsi="Perpetua"/>
          <w:b w:val="0"/>
          <w:color w:val="auto"/>
          <w:sz w:val="20"/>
          <w:szCs w:val="22"/>
        </w:rPr>
        <w:t xml:space="preserve"> </w:t>
      </w:r>
    </w:p>
    <w:p w:rsidR="002D22FA" w:rsidRPr="001A482E" w:rsidRDefault="00691864" w:rsidP="001A482E">
      <w:pPr>
        <w:ind w:left="142"/>
        <w:rPr>
          <w:rFonts w:ascii="Perpetua" w:hAnsi="Perpetua"/>
          <w:sz w:val="20"/>
        </w:rPr>
      </w:pPr>
      <w:r w:rsidRPr="001A482E">
        <w:rPr>
          <w:rFonts w:ascii="Perpetua" w:hAnsi="Perpetua"/>
          <w:sz w:val="20"/>
        </w:rPr>
        <w:t>P</w:t>
      </w:r>
      <w:r w:rsidR="002D22FA" w:rsidRPr="001A482E">
        <w:rPr>
          <w:rFonts w:ascii="Perpetua" w:hAnsi="Perpetua"/>
          <w:sz w:val="20"/>
        </w:rPr>
        <w:t>ublished by Hannah Humphrey</w:t>
      </w:r>
      <w:r w:rsidRPr="001A482E">
        <w:rPr>
          <w:rFonts w:ascii="Perpetua" w:hAnsi="Perpetua"/>
          <w:sz w:val="20"/>
        </w:rPr>
        <w:t>,</w:t>
      </w:r>
      <w:r w:rsidR="002D22FA" w:rsidRPr="001A482E">
        <w:rPr>
          <w:rFonts w:ascii="Perpetua" w:hAnsi="Perpetua"/>
          <w:sz w:val="20"/>
        </w:rPr>
        <w:t xml:space="preserve"> hand-coloured etching, published 23 April 1791. Image courtesy of the National Portrait Gallery.</w:t>
      </w:r>
      <w:bookmarkEnd w:id="303"/>
      <w:bookmarkEnd w:id="304"/>
      <w:bookmarkEnd w:id="305"/>
      <w:bookmarkEnd w:id="306"/>
    </w:p>
    <w:p w:rsidR="002D22FA" w:rsidRPr="0001780A" w:rsidRDefault="002D22FA" w:rsidP="002D22FA">
      <w:pPr>
        <w:pStyle w:val="NormalWeb"/>
        <w:shd w:val="clear" w:color="auto" w:fill="FFFFFF"/>
        <w:spacing w:before="0" w:beforeAutospacing="0" w:after="0" w:afterAutospacing="0" w:line="360" w:lineRule="auto"/>
        <w:ind w:right="379"/>
        <w:jc w:val="both"/>
        <w:textAlignment w:val="baseline"/>
        <w:rPr>
          <w:rFonts w:ascii="Garamond" w:hAnsi="Garamond" w:cs="Courier New"/>
        </w:rPr>
      </w:pPr>
    </w:p>
    <w:p w:rsidR="002D22FA" w:rsidRPr="0001780A" w:rsidRDefault="002D22FA" w:rsidP="002D22FA">
      <w:pPr>
        <w:pStyle w:val="NormalWeb"/>
        <w:shd w:val="clear" w:color="auto" w:fill="FFFFFF"/>
        <w:spacing w:before="0" w:beforeAutospacing="0" w:after="0" w:afterAutospacing="0" w:line="360" w:lineRule="auto"/>
        <w:ind w:right="379"/>
        <w:jc w:val="both"/>
        <w:textAlignment w:val="baseline"/>
        <w:rPr>
          <w:rFonts w:ascii="Garamond" w:hAnsi="Garamond" w:cs="Courier New"/>
        </w:rPr>
      </w:pPr>
      <w:r w:rsidRPr="0001780A">
        <w:rPr>
          <w:rFonts w:ascii="Garamond" w:hAnsi="Garamond" w:cs="Courier New"/>
        </w:rPr>
        <w:t>The above is a cartoon by James Gillray</w:t>
      </w:r>
      <w:r w:rsidR="004B75DB">
        <w:rPr>
          <w:rFonts w:ascii="Garamond" w:hAnsi="Garamond" w:cs="Courier New"/>
        </w:rPr>
        <w:t xml:space="preserve"> (see Figure 13</w:t>
      </w:r>
      <w:r>
        <w:rPr>
          <w:rFonts w:ascii="Garamond" w:hAnsi="Garamond" w:cs="Courier New"/>
        </w:rPr>
        <w:t>)</w:t>
      </w:r>
      <w:r w:rsidRPr="0001780A">
        <w:rPr>
          <w:rFonts w:ascii="Garamond" w:hAnsi="Garamond" w:cs="Courier New"/>
        </w:rPr>
        <w:t>, a talented caricaturist who rose to prominence in the late eighteenth century. Etched just before the peak of the public sugar abstinence campaign in 1791, Gillray depicts a slave driver stirring a cauldron of boiling (white) sugar and (black) slaves in an ironic reversal of the imperial myth of Caribbean cannibalism. Underneath is the headline 'Barbarities in the West Indias'.  The urgent visceral and carnal fear of eating the flesh of producers</w:t>
      </w:r>
      <w:r>
        <w:rPr>
          <w:rFonts w:ascii="Garamond" w:hAnsi="Garamond" w:cs="Courier New"/>
        </w:rPr>
        <w:t xml:space="preserve"> is distinguished in anti</w:t>
      </w:r>
      <w:r w:rsidRPr="0001780A">
        <w:rPr>
          <w:rFonts w:ascii="Garamond" w:hAnsi="Garamond" w:cs="Courier New"/>
        </w:rPr>
        <w:t>slavery food</w:t>
      </w:r>
      <w:r>
        <w:rPr>
          <w:rFonts w:ascii="Garamond" w:hAnsi="Garamond" w:cs="Courier New"/>
        </w:rPr>
        <w:t xml:space="preserve"> activism. In the hands of anti</w:t>
      </w:r>
      <w:r w:rsidRPr="0001780A">
        <w:rPr>
          <w:rFonts w:ascii="Garamond" w:hAnsi="Garamond" w:cs="Courier New"/>
        </w:rPr>
        <w:t>slavery activists consumer anthropophagy (after Lévi-Strauss, to swallow up, to incorporate) has manifested in different guises during the slave sugar boycotts (1790s), the Sao Tome cocoa crisis (early 1900-1909), anti-apartheid citrus boycotts (1970s), and contemporary a</w:t>
      </w:r>
      <w:r>
        <w:rPr>
          <w:rFonts w:ascii="Garamond" w:hAnsi="Garamond" w:cs="Courier New"/>
        </w:rPr>
        <w:t>nti</w:t>
      </w:r>
      <w:r w:rsidRPr="0001780A">
        <w:rPr>
          <w:rFonts w:ascii="Garamond" w:hAnsi="Garamond" w:cs="Courier New"/>
        </w:rPr>
        <w:t xml:space="preserve">slavery chocolate activism. </w:t>
      </w:r>
      <w:r w:rsidR="00C70D6B">
        <w:rPr>
          <w:rFonts w:ascii="Garamond" w:hAnsi="Garamond"/>
        </w:rPr>
        <w:t>I use Levi-Strauss’</w:t>
      </w:r>
      <w:r w:rsidRPr="0001780A">
        <w:rPr>
          <w:rFonts w:ascii="Garamond" w:hAnsi="Garamond"/>
        </w:rPr>
        <w:t xml:space="preserve"> delineation of anthropophagic (to swallow up, incorporate) and anthropoemic (to expel) societies</w:t>
      </w:r>
      <w:r w:rsidRPr="0001780A">
        <w:rPr>
          <w:rStyle w:val="FootnoteReference"/>
          <w:rFonts w:ascii="Garamond" w:hAnsi="Garamond"/>
        </w:rPr>
        <w:footnoteReference w:id="51"/>
      </w:r>
      <w:r w:rsidRPr="0001780A">
        <w:rPr>
          <w:rFonts w:ascii="Garamond" w:hAnsi="Garamond"/>
        </w:rPr>
        <w:t xml:space="preserve"> as a framework for consumer/producer relationships. </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B83595" w:rsidRDefault="00B83595"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Pr>
          <w:rFonts w:ascii="Garamond" w:hAnsi="Garamond"/>
          <w:b/>
          <w:i/>
          <w:sz w:val="22"/>
        </w:rPr>
        <w:t>Embodied Food</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I situate my thinking on bodywork with</w:t>
      </w:r>
      <w:r w:rsidR="00AE09DA">
        <w:rPr>
          <w:rFonts w:ascii="Garamond" w:hAnsi="Garamond"/>
        </w:rPr>
        <w:t>in</w:t>
      </w:r>
      <w:r w:rsidRPr="0001780A">
        <w:rPr>
          <w:rFonts w:ascii="Garamond" w:hAnsi="Garamond"/>
        </w:rPr>
        <w:t xml:space="preserve"> broader historical, sociological and geographical scholarship on the body and food.  Since the 1980s research in geography, food studies and sociology has been showing how food transgresses and enforces all sorts of boundaries from the corporeal to cultural identities and economic s</w:t>
      </w:r>
      <w:r>
        <w:rPr>
          <w:rFonts w:ascii="Garamond" w:hAnsi="Garamond"/>
        </w:rPr>
        <w:t xml:space="preserve">ystems of provisioning (see </w:t>
      </w:r>
      <w:r w:rsidRPr="0001780A">
        <w:rPr>
          <w:rFonts w:ascii="Garamond" w:hAnsi="Garamond"/>
        </w:rPr>
        <w:t xml:space="preserve">Goodman </w:t>
      </w:r>
      <w:r w:rsidR="00F152DB">
        <w:rPr>
          <w:rFonts w:ascii="Garamond" w:hAnsi="Garamond"/>
        </w:rPr>
        <w:t>and</w:t>
      </w:r>
      <w:r w:rsidRPr="0001780A">
        <w:rPr>
          <w:rFonts w:ascii="Garamond" w:hAnsi="Garamond"/>
        </w:rPr>
        <w:t xml:space="preserve"> Sage, 2014 forthcoming). Food also serves as a cultural messaging system; the production, purchasing, preparation and eating of food plays a leading role in constructing everyday life. Food is made up from social and material process</w:t>
      </w:r>
      <w:r w:rsidR="00AE09DA">
        <w:rPr>
          <w:rFonts w:ascii="Garamond" w:hAnsi="Garamond"/>
        </w:rPr>
        <w:t>es,</w:t>
      </w:r>
      <w:r w:rsidRPr="0001780A">
        <w:rPr>
          <w:rFonts w:ascii="Garamond" w:hAnsi="Garamond"/>
        </w:rPr>
        <w:t xml:space="preserve"> and appetites are ea</w:t>
      </w:r>
      <w:r>
        <w:rPr>
          <w:rFonts w:ascii="Garamond" w:hAnsi="Garamond"/>
        </w:rPr>
        <w:t>sily deconstructed (Lupton, 1997</w:t>
      </w:r>
      <w:r w:rsidRPr="0001780A">
        <w:rPr>
          <w:rFonts w:ascii="Garamond" w:hAnsi="Garamond"/>
        </w:rPr>
        <w:t>; Probyn, 2000; Mol, 2002). Disgust, as Lupton writes, is "never far away from the pleasures of food and eating... food is a great source of ambivalence: it forever threatens contamination and bodily impurity, but</w:t>
      </w:r>
      <w:r>
        <w:rPr>
          <w:rFonts w:ascii="Garamond" w:hAnsi="Garamond"/>
        </w:rPr>
        <w:t xml:space="preserve"> is necessary for survival</w:t>
      </w:r>
      <w:r w:rsidR="00AE09DA" w:rsidRPr="0001780A">
        <w:rPr>
          <w:rFonts w:ascii="Garamond" w:hAnsi="Garamond"/>
        </w:rPr>
        <w:t>"</w:t>
      </w:r>
      <w:r>
        <w:rPr>
          <w:rFonts w:ascii="Garamond" w:hAnsi="Garamond"/>
        </w:rPr>
        <w:t xml:space="preserve"> (1997</w:t>
      </w:r>
      <w:r w:rsidRPr="0001780A">
        <w:rPr>
          <w:rFonts w:ascii="Garamond" w:hAnsi="Garamond"/>
        </w:rPr>
        <w:t>: 3).</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B83595"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I am indebted to feminist contributions which foreground the body in relationships with food, be it as ‘eating the other’ (Hooks,1992; Root</w:t>
      </w:r>
      <w:r>
        <w:rPr>
          <w:rFonts w:ascii="Garamond" w:hAnsi="Garamond"/>
        </w:rPr>
        <w:t>, 1996</w:t>
      </w:r>
      <w:r w:rsidRPr="0001780A">
        <w:rPr>
          <w:rFonts w:ascii="Garamond" w:hAnsi="Garamond"/>
        </w:rPr>
        <w:t xml:space="preserve">), in sticky, leaking, liminal and viscous forms (Grosz, 1995; Longhurst, 2004), or as part of a visceral ethics of appetite, hunger, pleasure, gluttony, restraint and disgust (Kristeva, 1982; Bell </w:t>
      </w:r>
      <w:r w:rsidR="00F152DB">
        <w:rPr>
          <w:rFonts w:ascii="Garamond" w:hAnsi="Garamond"/>
        </w:rPr>
        <w:t>and</w:t>
      </w:r>
      <w:r w:rsidRPr="0001780A">
        <w:rPr>
          <w:rFonts w:ascii="Garamond" w:hAnsi="Garamond"/>
        </w:rPr>
        <w:t xml:space="preserve"> Valentine, 1997; Lupton 1997; Probyn, 2000). The visceral ethics of bodies and food are given spatial and temporal context by Douglas (1960) who assigns dirt as any matter-out-of-place</w:t>
      </w:r>
      <w:r>
        <w:rPr>
          <w:rFonts w:ascii="Garamond" w:hAnsi="Garamond"/>
        </w:rPr>
        <w:t>, and Sibley (1995)</w:t>
      </w:r>
      <w:r w:rsidRPr="0001780A">
        <w:rPr>
          <w:rFonts w:ascii="Garamond" w:hAnsi="Garamond"/>
        </w:rPr>
        <w:t xml:space="preserve"> who points to the spatial arrangements of abjection</w:t>
      </w:r>
      <w:r>
        <w:rPr>
          <w:rFonts w:ascii="Garamond" w:hAnsi="Garamond"/>
        </w:rPr>
        <w:t xml:space="preserve">. Food is given biographies and cultural histories by </w:t>
      </w:r>
      <w:r w:rsidRPr="0001780A">
        <w:rPr>
          <w:rFonts w:ascii="Garamond" w:hAnsi="Garamond"/>
        </w:rPr>
        <w:t>Mintz (1985), Abbott (2009), Schivelbusch (1993), Bell et al. (2002), Braudel (1979), Berry (1994) a</w:t>
      </w:r>
      <w:r w:rsidR="00AE09DA">
        <w:rPr>
          <w:rFonts w:ascii="Garamond" w:hAnsi="Garamond"/>
        </w:rPr>
        <w:t>nd Carolan (2011) who historiciz</w:t>
      </w:r>
      <w:r w:rsidRPr="0001780A">
        <w:rPr>
          <w:rFonts w:ascii="Garamond" w:hAnsi="Garamond"/>
        </w:rPr>
        <w:t>e human relationships with sugar, spices and intoxicants, fruit, commercial chicken, luxury food and 'global food' provisioning respectively.</w:t>
      </w:r>
    </w:p>
    <w:p w:rsidR="002D22FA" w:rsidRPr="005C2571"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rPr>
      </w:pPr>
      <w:r w:rsidRPr="0001780A">
        <w:rPr>
          <w:rFonts w:ascii="Garamond" w:hAnsi="Garamond"/>
        </w:rPr>
        <w:t>In particular, the thesis develops the idea of bodywork to describe: i) the activist performance of linking wider egregious politics (often signified by a particular commodity) to violence insinuated in producer and consumer body relationships (e.g. anthropophagia); ii) the visceral affects of body-commodity interventions; and iii) how differently racially inscribed bodies are used to perform uneven geographies of pity, persuasion, complicity, guilt, solidarity and respo</w:t>
      </w:r>
      <w:r>
        <w:rPr>
          <w:rFonts w:ascii="Garamond" w:hAnsi="Garamond"/>
        </w:rPr>
        <w:t xml:space="preserve">nsibility over distance. In Chapter Five, </w:t>
      </w:r>
      <w:r>
        <w:rPr>
          <w:rFonts w:ascii="Garamond" w:hAnsi="Garamond"/>
        </w:rPr>
        <w:lastRenderedPageBreak/>
        <w:t>Chapter Six,</w:t>
      </w:r>
      <w:r w:rsidRPr="0001780A">
        <w:rPr>
          <w:rFonts w:ascii="Garamond" w:hAnsi="Garamond"/>
        </w:rPr>
        <w:t xml:space="preserve"> </w:t>
      </w:r>
      <w:r>
        <w:rPr>
          <w:rFonts w:ascii="Garamond" w:hAnsi="Garamond"/>
        </w:rPr>
        <w:t>and Chapter Seven,</w:t>
      </w:r>
      <w:r w:rsidRPr="0001780A">
        <w:rPr>
          <w:rFonts w:ascii="Garamond" w:hAnsi="Garamond"/>
        </w:rPr>
        <w:t xml:space="preserve"> I show that such bodywork and other boycotter tactics extend from consumer boycotts into other forms of anti-apartheid and anti-trafficking activism.</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eastAsiaTheme="minorHAnsi" w:hAnsi="Garamond" w:cstheme="minorBidi"/>
          <w:iCs/>
          <w:lang w:eastAsia="en-US"/>
        </w:rPr>
      </w:pPr>
    </w:p>
    <w:p w:rsidR="002D22FA" w:rsidRPr="007B431E" w:rsidRDefault="002D22FA" w:rsidP="002D22FA">
      <w:pPr>
        <w:pStyle w:val="Heading2"/>
      </w:pPr>
      <w:bookmarkStart w:id="307" w:name="_Toc244453632"/>
      <w:bookmarkStart w:id="308" w:name="_Toc244454149"/>
      <w:bookmarkStart w:id="309" w:name="_Toc244469596"/>
      <w:bookmarkStart w:id="310" w:name="_Toc244508052"/>
      <w:bookmarkStart w:id="311" w:name="_Toc244535746"/>
      <w:bookmarkStart w:id="312" w:name="_Toc244578378"/>
      <w:bookmarkStart w:id="313" w:name="_Toc244578762"/>
      <w:bookmarkStart w:id="314" w:name="_Toc263452012"/>
      <w:bookmarkStart w:id="315" w:name="_Toc263510930"/>
      <w:r w:rsidRPr="007B431E">
        <w:t>Six: The production of race</w:t>
      </w:r>
      <w:bookmarkEnd w:id="307"/>
      <w:bookmarkEnd w:id="308"/>
      <w:bookmarkEnd w:id="309"/>
      <w:bookmarkEnd w:id="310"/>
      <w:bookmarkEnd w:id="311"/>
      <w:bookmarkEnd w:id="312"/>
      <w:bookmarkEnd w:id="313"/>
      <w:bookmarkEnd w:id="314"/>
      <w:bookmarkEnd w:id="315"/>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b/>
        </w:rPr>
      </w:pP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r w:rsidRPr="0001780A">
        <w:rPr>
          <w:rFonts w:ascii="Garamond" w:eastAsia="Times New Roman" w:hAnsi="Garamond" w:cs="Times New Roman"/>
          <w:sz w:val="24"/>
          <w:szCs w:val="24"/>
        </w:rPr>
        <w:t>There are two main registers where the production of race comes to the fore across the thesis. The first is concerned with detail, and follows the thread of the previous section on bodywork. Here I consider how race is produced through bodywork and conversely how bodywork derives meaning from racializations. The second describes my broad a</w:t>
      </w:r>
      <w:r w:rsidR="00AE09DA">
        <w:rPr>
          <w:rFonts w:ascii="Garamond" w:eastAsia="Times New Roman" w:hAnsi="Garamond" w:cs="Times New Roman"/>
          <w:sz w:val="24"/>
          <w:szCs w:val="24"/>
        </w:rPr>
        <w:t>daoption</w:t>
      </w:r>
      <w:r w:rsidRPr="0001780A">
        <w:rPr>
          <w:rFonts w:ascii="Garamond" w:eastAsia="Times New Roman" w:hAnsi="Garamond" w:cs="Times New Roman"/>
          <w:sz w:val="24"/>
          <w:szCs w:val="24"/>
        </w:rPr>
        <w:t xml:space="preserve"> of critical race theory which undergirds my analysis of the BOA and STT.</w:t>
      </w: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p>
    <w:p w:rsidR="002D22FA" w:rsidRPr="00B83595" w:rsidRDefault="002D22FA" w:rsidP="002D22FA">
      <w:pPr>
        <w:autoSpaceDE w:val="0"/>
        <w:autoSpaceDN w:val="0"/>
        <w:adjustRightInd w:val="0"/>
        <w:spacing w:after="0" w:line="360" w:lineRule="auto"/>
        <w:jc w:val="both"/>
        <w:rPr>
          <w:rFonts w:ascii="Garamond" w:eastAsia="Times New Roman" w:hAnsi="Garamond" w:cs="Times New Roman"/>
          <w:b/>
          <w:i/>
          <w:szCs w:val="24"/>
        </w:rPr>
      </w:pPr>
      <w:r w:rsidRPr="00B83595">
        <w:rPr>
          <w:rFonts w:ascii="Garamond" w:eastAsia="Times New Roman" w:hAnsi="Garamond" w:cs="Times New Roman"/>
          <w:b/>
          <w:i/>
          <w:szCs w:val="24"/>
        </w:rPr>
        <w:t>Race as bodywork inscription and affect</w:t>
      </w: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r w:rsidRPr="0001780A">
        <w:rPr>
          <w:rFonts w:ascii="Garamond" w:eastAsia="Times New Roman" w:hAnsi="Garamond" w:cs="Times New Roman"/>
          <w:sz w:val="24"/>
          <w:szCs w:val="24"/>
        </w:rPr>
        <w:t>To consider the everyday physical and psychical effects of race on bodies, geographers have tended to utilize either Foucauldian notions of biopolitics, or phenomenological, material and psychoanalytical theory. The racialized</w:t>
      </w:r>
      <w:r w:rsidRPr="0001780A">
        <w:rPr>
          <w:rFonts w:ascii="Garamond" w:hAnsi="Garamond" w:cs="Times New Roman"/>
          <w:sz w:val="24"/>
          <w:szCs w:val="24"/>
        </w:rPr>
        <w:t xml:space="preserve"> body becomes the outcome and product of social relations (Valentine, 1997</w:t>
      </w:r>
      <w:r w:rsidRPr="0001780A">
        <w:rPr>
          <w:rFonts w:ascii="Garamond" w:hAnsi="Garamond"/>
          <w:sz w:val="24"/>
          <w:szCs w:val="24"/>
        </w:rPr>
        <w:t>)</w:t>
      </w:r>
      <w:r w:rsidRPr="0001780A">
        <w:rPr>
          <w:rFonts w:ascii="Garamond" w:eastAsia="Times New Roman" w:hAnsi="Garamond" w:cs="Times New Roman"/>
          <w:sz w:val="24"/>
          <w:szCs w:val="24"/>
        </w:rPr>
        <w:t>. The former approach forwards the ways in which race is inscribed onto bodies as a means of governing life, while the latter theories take the body to be an active, fluid and dynamic entity in the production of race. As discussed earlier, for Grosz the body is not a passive vessel waiting to be filled with identity, but is characterized by “distinctive complexities, the fact that bodies construct and in turn are constructed by an interior, a psychical</w:t>
      </w:r>
      <w:r w:rsidR="00AE09DA">
        <w:rPr>
          <w:rFonts w:ascii="Garamond" w:eastAsia="Times New Roman" w:hAnsi="Garamond" w:cs="Times New Roman"/>
          <w:sz w:val="24"/>
          <w:szCs w:val="24"/>
        </w:rPr>
        <w:t xml:space="preserve"> and</w:t>
      </w:r>
      <w:r w:rsidRPr="0001780A">
        <w:rPr>
          <w:rFonts w:ascii="Garamond" w:eastAsia="Times New Roman" w:hAnsi="Garamond" w:cs="Times New Roman"/>
          <w:sz w:val="24"/>
          <w:szCs w:val="24"/>
        </w:rPr>
        <w:t xml:space="preserve"> a signifying view-point” (Grosz, 1994: 8). Fanon has it that race and racism, however propounded, always return to the body for their meaning and enunciation. The logic is simple, “nobody has a race, but bodies are racialized” (Saldanha, 2006: 19). </w:t>
      </w: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r w:rsidRPr="0001780A">
        <w:rPr>
          <w:rFonts w:ascii="Garamond" w:hAnsi="Garamond" w:cs="Times New Roman"/>
          <w:sz w:val="24"/>
          <w:szCs w:val="24"/>
        </w:rPr>
        <w:t>Geographers Hook (2006), Saldanha (2006), and Swanton (2010</w:t>
      </w:r>
      <w:r w:rsidR="00DB7421">
        <w:rPr>
          <w:rFonts w:ascii="Garamond" w:hAnsi="Garamond" w:cs="Times New Roman"/>
          <w:sz w:val="24"/>
          <w:szCs w:val="24"/>
        </w:rPr>
        <w:t>a</w:t>
      </w:r>
      <w:r w:rsidRPr="0001780A">
        <w:rPr>
          <w:rFonts w:ascii="Garamond" w:hAnsi="Garamond" w:cs="Times New Roman"/>
          <w:sz w:val="24"/>
          <w:szCs w:val="24"/>
        </w:rPr>
        <w:t>) have added fresh impetus to the idea of race and racism as materializing in phenomenological encounters that cannot be fully explained in text or by representation. These approaches build on Fanon’s phenomenology to foreground ‘real’ effects of racial encounters from embodied perspectives and to contest racism as a cultural or social construct; bodies have “real, tangible differences…that matter in face-to-face encounters” (Saldanha, 2006: 14).</w:t>
      </w:r>
      <w:r w:rsidRPr="0001780A">
        <w:rPr>
          <w:rFonts w:ascii="Garamond" w:eastAsia="Times New Roman" w:hAnsi="Garamond" w:cs="Times New Roman"/>
          <w:sz w:val="24"/>
          <w:szCs w:val="24"/>
        </w:rPr>
        <w:t xml:space="preserve"> Where racial difference may be visually located on the anatomical body through skin colour and phenotype (Alcoff, 2006), the material violence of racism cuts deep into the </w:t>
      </w:r>
      <w:r w:rsidRPr="0001780A">
        <w:rPr>
          <w:rFonts w:ascii="Garamond" w:eastAsia="Times New Roman" w:hAnsi="Garamond" w:cs="Times New Roman"/>
          <w:sz w:val="24"/>
          <w:szCs w:val="24"/>
        </w:rPr>
        <w:lastRenderedPageBreak/>
        <w:t>subject’s imagi</w:t>
      </w:r>
      <w:r w:rsidR="00AE09DA">
        <w:rPr>
          <w:rFonts w:ascii="Garamond" w:eastAsia="Times New Roman" w:hAnsi="Garamond" w:cs="Times New Roman"/>
          <w:sz w:val="24"/>
          <w:szCs w:val="24"/>
        </w:rPr>
        <w:t xml:space="preserve">nary body as Fanon elucidates: </w:t>
      </w:r>
      <w:r w:rsidRPr="0001780A">
        <w:rPr>
          <w:rFonts w:ascii="Garamond" w:eastAsia="Times New Roman" w:hAnsi="Garamond" w:cs="Times New Roman"/>
          <w:sz w:val="24"/>
          <w:szCs w:val="24"/>
        </w:rPr>
        <w:t>“</w:t>
      </w:r>
      <w:r w:rsidRPr="0001780A">
        <w:rPr>
          <w:rFonts w:ascii="Garamond" w:hAnsi="Garamond" w:cs="Times New Roman"/>
          <w:sz w:val="24"/>
          <w:szCs w:val="24"/>
        </w:rPr>
        <w:t>my body was given back to me sprawled out, distorted, recoloured, clad in mourning in that white winter day” (1952: 112). Real visual differences between bodies can work pre-discursively to produce fear that the self could be contaminated, and when projected onto a minority that fear, Derek Hook</w:t>
      </w:r>
      <w:r w:rsidRPr="0001780A">
        <w:rPr>
          <w:rFonts w:ascii="Garamond" w:hAnsi="Garamond"/>
          <w:sz w:val="24"/>
          <w:szCs w:val="20"/>
        </w:rPr>
        <w:t xml:space="preserve"> </w:t>
      </w:r>
      <w:r w:rsidRPr="0001780A">
        <w:rPr>
          <w:rFonts w:ascii="Garamond" w:eastAsia="Times New Roman" w:hAnsi="Garamond" w:cs="Times New Roman"/>
          <w:sz w:val="24"/>
          <w:szCs w:val="24"/>
        </w:rPr>
        <w:t xml:space="preserve">suggests, </w:t>
      </w:r>
      <w:r w:rsidRPr="0001780A">
        <w:rPr>
          <w:rFonts w:ascii="Garamond" w:hAnsi="Garamond" w:cs="Times New Roman"/>
          <w:sz w:val="24"/>
          <w:szCs w:val="24"/>
        </w:rPr>
        <w:t>is spatialized as racism:</w:t>
      </w:r>
    </w:p>
    <w:p w:rsidR="002D22FA" w:rsidRPr="0001780A" w:rsidRDefault="002D22FA" w:rsidP="002D22FA">
      <w:pPr>
        <w:autoSpaceDE w:val="0"/>
        <w:autoSpaceDN w:val="0"/>
        <w:adjustRightInd w:val="0"/>
        <w:spacing w:after="0" w:line="360" w:lineRule="auto"/>
        <w:ind w:left="284" w:right="284"/>
        <w:jc w:val="both"/>
        <w:rPr>
          <w:rFonts w:ascii="Garamond" w:hAnsi="Garamond" w:cs="Times New Roman"/>
          <w:sz w:val="24"/>
        </w:rPr>
      </w:pPr>
    </w:p>
    <w:p w:rsidR="002D22FA" w:rsidRPr="007B431E" w:rsidRDefault="002D22FA" w:rsidP="002D22FA">
      <w:pPr>
        <w:autoSpaceDE w:val="0"/>
        <w:autoSpaceDN w:val="0"/>
        <w:adjustRightInd w:val="0"/>
        <w:spacing w:after="0" w:line="360" w:lineRule="auto"/>
        <w:ind w:left="284" w:right="284"/>
        <w:jc w:val="both"/>
        <w:rPr>
          <w:rFonts w:ascii="Garamond" w:hAnsi="Garamond" w:cs="Times New Roman"/>
        </w:rPr>
      </w:pPr>
      <w:r w:rsidRPr="007B431E">
        <w:rPr>
          <w:rFonts w:ascii="Garamond" w:hAnsi="Garamond" w:cs="Times New Roman"/>
        </w:rPr>
        <w:t>Based, as it is on a constitutive kind of fear, on a form of horror that is at the same time a kind of incoherence and dissolution, the notion of abjection enables us to think a theory of racism that is based on boundary threats, on threats to the physical, psychological and symbolic integrity of the racist subject. (2006: 15)</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r w:rsidRPr="0001780A">
        <w:rPr>
          <w:rFonts w:ascii="Garamond" w:eastAsia="Times New Roman" w:hAnsi="Garamond" w:cs="Times New Roman"/>
          <w:sz w:val="24"/>
          <w:szCs w:val="24"/>
        </w:rPr>
        <w:t xml:space="preserve">The fluid Nietzschean body </w:t>
      </w:r>
      <w:r w:rsidR="00DB7421">
        <w:rPr>
          <w:rFonts w:ascii="Garamond" w:eastAsia="Times New Roman" w:hAnsi="Garamond" w:cs="Times New Roman"/>
          <w:sz w:val="24"/>
          <w:szCs w:val="24"/>
        </w:rPr>
        <w:t xml:space="preserve">of active and reactive forces – </w:t>
      </w:r>
      <w:r w:rsidRPr="0001780A">
        <w:rPr>
          <w:rFonts w:ascii="Garamond" w:eastAsia="Times New Roman" w:hAnsi="Garamond" w:cs="Times New Roman"/>
          <w:sz w:val="24"/>
          <w:szCs w:val="24"/>
        </w:rPr>
        <w:t>of organic</w:t>
      </w:r>
      <w:r w:rsidR="00DB7421">
        <w:rPr>
          <w:rFonts w:ascii="Garamond" w:eastAsia="Times New Roman" w:hAnsi="Garamond" w:cs="Times New Roman"/>
          <w:sz w:val="24"/>
          <w:szCs w:val="24"/>
        </w:rPr>
        <w:t xml:space="preserve"> and inorganic constellations – </w:t>
      </w:r>
      <w:r w:rsidRPr="0001780A">
        <w:rPr>
          <w:rFonts w:ascii="Garamond" w:eastAsia="Times New Roman" w:hAnsi="Garamond" w:cs="Times New Roman"/>
          <w:sz w:val="24"/>
          <w:szCs w:val="24"/>
        </w:rPr>
        <w:t>resonates with the racial materialism of Saldanha (2006) and Swanton (2010</w:t>
      </w:r>
      <w:r w:rsidR="00DB7421">
        <w:rPr>
          <w:rFonts w:ascii="Garamond" w:eastAsia="Times New Roman" w:hAnsi="Garamond" w:cs="Times New Roman"/>
          <w:sz w:val="24"/>
          <w:szCs w:val="24"/>
        </w:rPr>
        <w:t>a</w:t>
      </w:r>
      <w:r w:rsidRPr="0001780A">
        <w:rPr>
          <w:rFonts w:ascii="Garamond" w:eastAsia="Times New Roman" w:hAnsi="Garamond" w:cs="Times New Roman"/>
          <w:sz w:val="24"/>
          <w:szCs w:val="24"/>
        </w:rPr>
        <w:t>). For Saldanha, race is conceived as a ‘chain of contingency’:</w:t>
      </w:r>
    </w:p>
    <w:p w:rsidR="002D22FA" w:rsidRPr="0001780A" w:rsidRDefault="002D22FA" w:rsidP="002D22FA">
      <w:pPr>
        <w:autoSpaceDE w:val="0"/>
        <w:autoSpaceDN w:val="0"/>
        <w:adjustRightInd w:val="0"/>
        <w:spacing w:after="0" w:line="360" w:lineRule="auto"/>
        <w:ind w:left="284" w:right="284"/>
        <w:jc w:val="both"/>
        <w:rPr>
          <w:rFonts w:ascii="Garamond" w:hAnsi="Garamond" w:cs="Times New Roman"/>
          <w:sz w:val="24"/>
        </w:rPr>
      </w:pPr>
    </w:p>
    <w:p w:rsidR="002D22FA" w:rsidRPr="007B431E" w:rsidRDefault="002D22FA" w:rsidP="002D22FA">
      <w:pPr>
        <w:autoSpaceDE w:val="0"/>
        <w:autoSpaceDN w:val="0"/>
        <w:adjustRightInd w:val="0"/>
        <w:spacing w:after="0" w:line="360" w:lineRule="auto"/>
        <w:ind w:left="284" w:right="284"/>
        <w:jc w:val="both"/>
        <w:rPr>
          <w:rFonts w:ascii="Garamond" w:hAnsi="Garamond" w:cs="Times New Roman"/>
        </w:rPr>
      </w:pPr>
      <w:r w:rsidRPr="007B431E">
        <w:rPr>
          <w:rFonts w:ascii="Garamond" w:hAnsi="Garamond" w:cs="Times New Roman"/>
        </w:rPr>
        <w:t>Race must similarly be conceived as a chain of contingency, in which the connections between its constituent components are not given, but are made viscous through local attractions. Whiteness, for example, is about the sticky connections between property, privilege, and a paler skin. There is no essence of whiteness, but there is a relative fixity that inheres in all the `local pulls' of its many elements in flux. (2006: 18)</w:t>
      </w: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eastAsia="Times New Roman" w:hAnsi="Garamond" w:cs="Times New Roman"/>
          <w:sz w:val="24"/>
          <w:szCs w:val="24"/>
        </w:rPr>
      </w:pPr>
      <w:r w:rsidRPr="0001780A">
        <w:rPr>
          <w:rFonts w:ascii="Garamond" w:eastAsia="Times New Roman" w:hAnsi="Garamond" w:cs="Times New Roman"/>
          <w:sz w:val="24"/>
          <w:szCs w:val="24"/>
        </w:rPr>
        <w:t>Swanton’s ‘racism of assemblages’ does similar work in examinin</w:t>
      </w:r>
      <w:r w:rsidR="00DB7421">
        <w:rPr>
          <w:rFonts w:ascii="Garamond" w:eastAsia="Times New Roman" w:hAnsi="Garamond" w:cs="Times New Roman"/>
          <w:sz w:val="24"/>
          <w:szCs w:val="24"/>
        </w:rPr>
        <w:t>g the dynamism of race as “loose</w:t>
      </w:r>
      <w:r w:rsidRPr="0001780A">
        <w:rPr>
          <w:rFonts w:ascii="Garamond" w:eastAsia="Times New Roman" w:hAnsi="Garamond" w:cs="Times New Roman"/>
          <w:sz w:val="24"/>
          <w:szCs w:val="24"/>
        </w:rPr>
        <w:t xml:space="preserve"> and mobile racial summaries that can stick to and arrange bodies, things, and spaces” (2010</w:t>
      </w:r>
      <w:r w:rsidR="00DB7421">
        <w:rPr>
          <w:rFonts w:ascii="Garamond" w:eastAsia="Times New Roman" w:hAnsi="Garamond" w:cs="Times New Roman"/>
          <w:sz w:val="24"/>
          <w:szCs w:val="24"/>
        </w:rPr>
        <w:t>b</w:t>
      </w:r>
      <w:r w:rsidRPr="0001780A">
        <w:rPr>
          <w:rFonts w:ascii="Garamond" w:eastAsia="Times New Roman" w:hAnsi="Garamond" w:cs="Times New Roman"/>
          <w:sz w:val="24"/>
          <w:szCs w:val="24"/>
        </w:rPr>
        <w:t xml:space="preserve">: 2335). Swanton’s project is to examine the ‘different intensities’ of race to judge and sort through human difference. Nayak’s (2010) ethnography of white territoriality in rural ‘doxic’ landscapes (Cresswell, 2003) and suburbia uses geographies of affect and performance “to </w:t>
      </w:r>
      <w:r w:rsidRPr="0001780A">
        <w:rPr>
          <w:rFonts w:ascii="Garamond" w:hAnsi="Garamond" w:cs="Times New Roman"/>
          <w:sz w:val="24"/>
          <w:szCs w:val="24"/>
        </w:rPr>
        <w:t>argue that a postcolonial geography of the</w:t>
      </w:r>
      <w:r w:rsidRPr="0001780A">
        <w:rPr>
          <w:rFonts w:ascii="Garamond" w:eastAsia="Times New Roman" w:hAnsi="Garamond" w:cs="Times New Roman"/>
          <w:sz w:val="24"/>
          <w:szCs w:val="24"/>
        </w:rPr>
        <w:t xml:space="preserve"> </w:t>
      </w:r>
      <w:r w:rsidRPr="0001780A">
        <w:rPr>
          <w:rFonts w:ascii="Garamond" w:hAnsi="Garamond" w:cs="Times New Roman"/>
          <w:sz w:val="24"/>
          <w:szCs w:val="24"/>
        </w:rPr>
        <w:t>suburbs can be used as a circuit br</w:t>
      </w:r>
      <w:r w:rsidR="00AE09DA">
        <w:rPr>
          <w:rFonts w:ascii="Garamond" w:hAnsi="Garamond" w:cs="Times New Roman"/>
          <w:sz w:val="24"/>
          <w:szCs w:val="24"/>
        </w:rPr>
        <w:t xml:space="preserve">eaker to disrupt the affective </w:t>
      </w:r>
      <w:r w:rsidR="00AE09DA" w:rsidRPr="0001780A">
        <w:rPr>
          <w:rFonts w:ascii="Garamond" w:hAnsi="Garamond" w:cs="Times New Roman"/>
          <w:sz w:val="24"/>
          <w:szCs w:val="24"/>
        </w:rPr>
        <w:t>'</w:t>
      </w:r>
      <w:r w:rsidRPr="0001780A">
        <w:rPr>
          <w:rFonts w:ascii="Garamond" w:hAnsi="Garamond" w:cs="Times New Roman"/>
          <w:sz w:val="24"/>
          <w:szCs w:val="24"/>
        </w:rPr>
        <w:t>chaining' of race to particular bodies, sites, and landscapes” (2010: 2371).</w:t>
      </w:r>
      <w:r w:rsidRPr="0001780A">
        <w:rPr>
          <w:rFonts w:ascii="Garamond" w:eastAsia="Times New Roman" w:hAnsi="Garamond" w:cs="Times New Roman"/>
          <w:sz w:val="24"/>
          <w:szCs w:val="24"/>
        </w:rPr>
        <w:t xml:space="preserve"> Affective geographies of race suggest how race exerts power on consumers through implicating on the taste of foods, and for conceiving the emotional valence of boycotting publications. </w:t>
      </w:r>
      <w:r w:rsidRPr="0001780A">
        <w:rPr>
          <w:rFonts w:ascii="Garamond" w:hAnsi="Garamond" w:cs="Times New Roman"/>
          <w:sz w:val="24"/>
          <w:szCs w:val="24"/>
        </w:rPr>
        <w:t xml:space="preserve">Thinking about racism in terms of assemblages does not constitute a radical or </w:t>
      </w:r>
      <w:r w:rsidR="00CE4428">
        <w:rPr>
          <w:rFonts w:ascii="Garamond" w:hAnsi="Garamond" w:cs="Times New Roman"/>
          <w:sz w:val="24"/>
          <w:szCs w:val="24"/>
        </w:rPr>
        <w:t xml:space="preserve">resistive geography on its own </w:t>
      </w:r>
      <w:r w:rsidRPr="0001780A">
        <w:rPr>
          <w:rFonts w:ascii="Garamond" w:hAnsi="Garamond" w:cs="Times New Roman"/>
          <w:sz w:val="24"/>
          <w:szCs w:val="24"/>
        </w:rPr>
        <w:t>but</w:t>
      </w:r>
      <w:r w:rsidR="00CE4428">
        <w:rPr>
          <w:rFonts w:ascii="Garamond" w:hAnsi="Garamond" w:cs="Times New Roman"/>
          <w:sz w:val="24"/>
          <w:szCs w:val="24"/>
        </w:rPr>
        <w:t>,</w:t>
      </w:r>
      <w:r w:rsidRPr="0001780A">
        <w:rPr>
          <w:rFonts w:ascii="Garamond" w:hAnsi="Garamond" w:cs="Times New Roman"/>
          <w:sz w:val="24"/>
          <w:szCs w:val="24"/>
        </w:rPr>
        <w:t xml:space="preserve"> as Nayak suggests, when tied to a postcolonial imperative, pointing out the assemblages can act as a ‘circuit breaker’. </w:t>
      </w:r>
    </w:p>
    <w:p w:rsidR="00B83595" w:rsidRDefault="00B83595"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B83595" w:rsidRDefault="00B83595"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B83595" w:rsidRDefault="002D22FA" w:rsidP="002D22FA">
      <w:pPr>
        <w:pStyle w:val="NormalWeb"/>
        <w:shd w:val="clear" w:color="auto" w:fill="FFFFFF"/>
        <w:spacing w:before="0" w:beforeAutospacing="0" w:after="0" w:afterAutospacing="0" w:line="360" w:lineRule="auto"/>
        <w:jc w:val="both"/>
        <w:textAlignment w:val="baseline"/>
        <w:rPr>
          <w:rFonts w:ascii="Garamond" w:hAnsi="Garamond"/>
          <w:b/>
          <w:i/>
          <w:sz w:val="22"/>
        </w:rPr>
      </w:pPr>
      <w:r w:rsidRPr="00B83595">
        <w:rPr>
          <w:rFonts w:ascii="Garamond" w:hAnsi="Garamond"/>
          <w:b/>
          <w:i/>
          <w:sz w:val="22"/>
        </w:rPr>
        <w:lastRenderedPageBreak/>
        <w:t>Critical race theory and wholly racialized worlds</w:t>
      </w:r>
    </w:p>
    <w:p w:rsidR="002D22FA" w:rsidRPr="0001780A" w:rsidRDefault="002D22FA" w:rsidP="002D22FA">
      <w:pPr>
        <w:pStyle w:val="NormalWeb"/>
        <w:shd w:val="clear" w:color="auto" w:fill="FFFFFF"/>
        <w:spacing w:before="0" w:beforeAutospacing="0" w:after="0" w:afterAutospacing="0" w:line="360" w:lineRule="auto"/>
        <w:jc w:val="both"/>
        <w:textAlignment w:val="baseline"/>
        <w:rPr>
          <w:rFonts w:ascii="Garamond" w:hAnsi="Garamond"/>
          <w:i/>
        </w:rPr>
      </w:pPr>
    </w:p>
    <w:p w:rsidR="002D22FA" w:rsidRPr="0001780A" w:rsidRDefault="002D22FA" w:rsidP="002D22FA">
      <w:pPr>
        <w:spacing w:after="0" w:line="360" w:lineRule="auto"/>
        <w:jc w:val="both"/>
        <w:rPr>
          <w:rFonts w:ascii="Garamond" w:hAnsi="Garamond" w:cs="Times New Roman"/>
          <w:sz w:val="24"/>
          <w:szCs w:val="24"/>
        </w:rPr>
      </w:pPr>
      <w:r w:rsidRPr="0001780A">
        <w:rPr>
          <w:rFonts w:ascii="Garamond" w:hAnsi="Garamond" w:cs="Times New Roman"/>
          <w:sz w:val="24"/>
          <w:szCs w:val="24"/>
        </w:rPr>
        <w:t>In order to spatialize the temporal problems of racial privilege</w:t>
      </w:r>
      <w:r w:rsidR="00CE4428">
        <w:rPr>
          <w:rFonts w:ascii="Garamond" w:hAnsi="Garamond" w:cs="Times New Roman"/>
          <w:sz w:val="24"/>
          <w:szCs w:val="24"/>
        </w:rPr>
        <w:t>,</w:t>
      </w:r>
      <w:r w:rsidRPr="0001780A">
        <w:rPr>
          <w:rFonts w:ascii="Garamond" w:hAnsi="Garamond" w:cs="Times New Roman"/>
          <w:sz w:val="24"/>
          <w:szCs w:val="24"/>
        </w:rPr>
        <w:t xml:space="preserve"> geographers have increasingly turned to inspiration from historico-geographical materialism, critical theory and theories of affect. These theoretical coalitions are not new by any means; in 1978 Derek Gregory introduced critical theory into active dialogue with geographies of ideology and race, and since 1974 the radical journal </w:t>
      </w:r>
      <w:r w:rsidRPr="0001780A">
        <w:rPr>
          <w:rFonts w:ascii="Garamond" w:hAnsi="Garamond" w:cs="Times New Roman"/>
          <w:i/>
          <w:sz w:val="24"/>
          <w:szCs w:val="24"/>
        </w:rPr>
        <w:t>Race and Class</w:t>
      </w:r>
      <w:r w:rsidRPr="0001780A">
        <w:rPr>
          <w:rFonts w:ascii="Garamond" w:hAnsi="Garamond" w:cs="Times New Roman"/>
          <w:sz w:val="24"/>
          <w:szCs w:val="24"/>
        </w:rPr>
        <w:t xml:space="preserve"> and its parent organization, the </w:t>
      </w:r>
      <w:r w:rsidRPr="006F2CC8">
        <w:rPr>
          <w:rFonts w:ascii="Garamond" w:hAnsi="Garamond" w:cs="Times New Roman"/>
          <w:i/>
          <w:sz w:val="24"/>
          <w:szCs w:val="24"/>
        </w:rPr>
        <w:t>Institute of Race Relations</w:t>
      </w:r>
      <w:r w:rsidRPr="0001780A">
        <w:rPr>
          <w:rFonts w:ascii="Garamond" w:hAnsi="Garamond" w:cs="Times New Roman"/>
          <w:sz w:val="24"/>
          <w:szCs w:val="24"/>
        </w:rPr>
        <w:t xml:space="preserve">, have published articles on race that have been influenced by historical materialism and critical theory. However, the last decade has seen a proliferation of geographical ethnographies and empirical studies on the racialized production of </w:t>
      </w:r>
      <w:r w:rsidRPr="001D5031">
        <w:rPr>
          <w:rFonts w:ascii="Garamond" w:hAnsi="Garamond" w:cs="Times New Roman"/>
          <w:sz w:val="24"/>
          <w:szCs w:val="24"/>
        </w:rPr>
        <w:t>space that have advanced these theories in nuanced combinations with placed investigations to imagine better futures (Gilmore, 2002, 2007; Keith, 2005</w:t>
      </w:r>
      <w:r>
        <w:rPr>
          <w:rFonts w:ascii="Garamond" w:hAnsi="Garamond" w:cs="Times New Roman"/>
          <w:sz w:val="24"/>
          <w:szCs w:val="24"/>
        </w:rPr>
        <w:t xml:space="preserve">; </w:t>
      </w:r>
      <w:r w:rsidRPr="001D5031">
        <w:rPr>
          <w:rFonts w:ascii="Garamond" w:hAnsi="Garamond" w:cs="Times New Roman"/>
          <w:sz w:val="24"/>
          <w:szCs w:val="24"/>
        </w:rPr>
        <w:t>Saldanha, 2006; Swanton, 2010</w:t>
      </w:r>
      <w:r w:rsidR="00DB7421">
        <w:rPr>
          <w:rFonts w:ascii="Garamond" w:hAnsi="Garamond" w:cs="Times New Roman"/>
          <w:sz w:val="24"/>
          <w:szCs w:val="24"/>
        </w:rPr>
        <w:t>a, 2010b</w:t>
      </w:r>
      <w:r w:rsidRPr="001D5031">
        <w:rPr>
          <w:rFonts w:ascii="Garamond" w:hAnsi="Garamond" w:cs="Times New Roman"/>
          <w:sz w:val="24"/>
          <w:szCs w:val="24"/>
        </w:rPr>
        <w:t>; Slocum, 2008; McKittrick, 2006;</w:t>
      </w:r>
      <w:r>
        <w:rPr>
          <w:rFonts w:ascii="Garamond" w:hAnsi="Garamond" w:cs="Times New Roman"/>
          <w:sz w:val="24"/>
          <w:szCs w:val="24"/>
        </w:rPr>
        <w:t xml:space="preserve"> </w:t>
      </w:r>
      <w:r w:rsidRPr="001D5031">
        <w:rPr>
          <w:rFonts w:ascii="Garamond" w:hAnsi="Garamond" w:cs="Times New Roman"/>
          <w:sz w:val="24"/>
          <w:szCs w:val="24"/>
        </w:rPr>
        <w:t xml:space="preserve">Price, 2010; </w:t>
      </w:r>
      <w:r>
        <w:rPr>
          <w:rFonts w:ascii="Garamond" w:hAnsi="Garamond" w:cs="Times New Roman"/>
          <w:sz w:val="24"/>
          <w:szCs w:val="24"/>
        </w:rPr>
        <w:t>Tollia-Kelly, 2010</w:t>
      </w:r>
      <w:r w:rsidRPr="001D5031">
        <w:rPr>
          <w:rFonts w:ascii="Garamond" w:hAnsi="Garamond" w:cs="Times New Roman"/>
          <w:sz w:val="24"/>
          <w:szCs w:val="24"/>
        </w:rPr>
        <w:t xml:space="preserve">; Nast, 2011; Lipsitz, 2011; </w:t>
      </w:r>
      <w:r>
        <w:rPr>
          <w:rFonts w:ascii="Garamond" w:hAnsi="Garamond" w:cs="Times New Roman"/>
          <w:sz w:val="24"/>
          <w:szCs w:val="24"/>
        </w:rPr>
        <w:t>McKintyre, 2011</w:t>
      </w:r>
      <w:r w:rsidRPr="001D5031">
        <w:rPr>
          <w:rFonts w:ascii="Garamond" w:hAnsi="Garamond" w:cs="Times New Roman"/>
          <w:sz w:val="24"/>
          <w:szCs w:val="24"/>
        </w:rPr>
        <w:t>).</w:t>
      </w:r>
      <w:r w:rsidRPr="0001780A">
        <w:rPr>
          <w:rFonts w:ascii="Garamond" w:hAnsi="Garamond" w:cs="Times New Roman"/>
          <w:sz w:val="24"/>
          <w:szCs w:val="24"/>
        </w:rPr>
        <w:t xml:space="preserve"> </w:t>
      </w:r>
    </w:p>
    <w:p w:rsidR="002D22FA" w:rsidRPr="0001780A" w:rsidRDefault="002D22FA" w:rsidP="002D22FA">
      <w:pPr>
        <w:autoSpaceDE w:val="0"/>
        <w:autoSpaceDN w:val="0"/>
        <w:adjustRightInd w:val="0"/>
        <w:spacing w:after="0" w:line="360" w:lineRule="auto"/>
        <w:rPr>
          <w:rFonts w:ascii="Garamond" w:hAnsi="Garamond" w:cs="BookAntiqua"/>
          <w:sz w:val="24"/>
          <w:szCs w:val="20"/>
        </w:rPr>
      </w:pPr>
    </w:p>
    <w:p w:rsidR="002D22FA" w:rsidRPr="0001780A" w:rsidRDefault="002D22FA" w:rsidP="002D22FA">
      <w:pPr>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Critical race </w:t>
      </w:r>
      <w:r w:rsidR="00CE4428">
        <w:rPr>
          <w:rFonts w:ascii="Garamond" w:hAnsi="Garamond" w:cs="Times New Roman"/>
          <w:sz w:val="24"/>
          <w:szCs w:val="24"/>
        </w:rPr>
        <w:t>theory makes two key assertions:</w:t>
      </w:r>
      <w:r w:rsidRPr="0001780A">
        <w:rPr>
          <w:rFonts w:ascii="Garamond" w:hAnsi="Garamond" w:cs="Times New Roman"/>
          <w:sz w:val="24"/>
          <w:szCs w:val="24"/>
        </w:rPr>
        <w:t xml:space="preserve"> firstly</w:t>
      </w:r>
      <w:r w:rsidR="00CE4428">
        <w:rPr>
          <w:rFonts w:ascii="Garamond" w:hAnsi="Garamond" w:cs="Times New Roman"/>
          <w:sz w:val="24"/>
          <w:szCs w:val="24"/>
        </w:rPr>
        <w:t>,</w:t>
      </w:r>
      <w:r w:rsidRPr="0001780A">
        <w:rPr>
          <w:rFonts w:ascii="Garamond" w:hAnsi="Garamond" w:cs="Times New Roman"/>
          <w:sz w:val="24"/>
          <w:szCs w:val="24"/>
        </w:rPr>
        <w:t xml:space="preserve"> that race is socially </w:t>
      </w:r>
      <w:r w:rsidR="00CE4428">
        <w:rPr>
          <w:rFonts w:ascii="Garamond" w:hAnsi="Garamond" w:cs="Times New Roman"/>
          <w:sz w:val="24"/>
          <w:szCs w:val="24"/>
        </w:rPr>
        <w:t xml:space="preserve">produced with material effects; </w:t>
      </w:r>
      <w:r w:rsidRPr="0001780A">
        <w:rPr>
          <w:rFonts w:ascii="Garamond" w:hAnsi="Garamond" w:cs="Times New Roman"/>
          <w:sz w:val="24"/>
          <w:szCs w:val="24"/>
        </w:rPr>
        <w:t>secondly</w:t>
      </w:r>
      <w:r w:rsidR="00CE4428">
        <w:rPr>
          <w:rFonts w:ascii="Garamond" w:hAnsi="Garamond" w:cs="Times New Roman"/>
          <w:sz w:val="24"/>
          <w:szCs w:val="24"/>
        </w:rPr>
        <w:t>,</w:t>
      </w:r>
      <w:r w:rsidRPr="0001780A">
        <w:rPr>
          <w:rFonts w:ascii="Garamond" w:hAnsi="Garamond" w:cs="Times New Roman"/>
          <w:sz w:val="24"/>
          <w:szCs w:val="24"/>
        </w:rPr>
        <w:t xml:space="preserve"> that research should involve an element of praxis (Nash, 2003; Price, 2010). Marx famously wrote in the eleventh thesis on Feuerbach “the philosophers only interpret the world in various ways, the point is to</w:t>
      </w:r>
      <w:r>
        <w:rPr>
          <w:rFonts w:ascii="Garamond" w:hAnsi="Garamond" w:cs="Times New Roman"/>
          <w:sz w:val="24"/>
          <w:szCs w:val="24"/>
        </w:rPr>
        <w:t xml:space="preserve"> change it” (Marx </w:t>
      </w:r>
      <w:r w:rsidR="00F152DB">
        <w:rPr>
          <w:rFonts w:ascii="Garamond" w:hAnsi="Garamond" w:cs="Times New Roman"/>
          <w:sz w:val="24"/>
          <w:szCs w:val="24"/>
        </w:rPr>
        <w:t>and</w:t>
      </w:r>
      <w:r>
        <w:rPr>
          <w:rFonts w:ascii="Garamond" w:hAnsi="Garamond" w:cs="Times New Roman"/>
          <w:sz w:val="24"/>
          <w:szCs w:val="24"/>
        </w:rPr>
        <w:t xml:space="preserve"> Engels, 1969</w:t>
      </w:r>
      <w:r w:rsidRPr="0001780A">
        <w:rPr>
          <w:rFonts w:ascii="Garamond" w:hAnsi="Garamond" w:cs="Times New Roman"/>
          <w:sz w:val="24"/>
          <w:szCs w:val="24"/>
        </w:rPr>
        <w:t>: 3). Thinking along a similar tangent over a century later, Martin Luther King suggested that the aim of the civil rights movement was to</w:t>
      </w:r>
      <w:r w:rsidRPr="0001780A">
        <w:rPr>
          <w:rFonts w:ascii="Garamond" w:hAnsi="Garamond" w:cs="Times New Roman"/>
          <w:i/>
          <w:sz w:val="24"/>
          <w:szCs w:val="24"/>
        </w:rPr>
        <w:t xml:space="preserve"> take</w:t>
      </w:r>
      <w:r w:rsidRPr="0001780A">
        <w:rPr>
          <w:rFonts w:ascii="Garamond" w:hAnsi="Garamond" w:cs="Times New Roman"/>
          <w:sz w:val="24"/>
          <w:szCs w:val="24"/>
        </w:rPr>
        <w:t xml:space="preserve"> equality, not to wait for it to arrive at the feet of black people. For practitioners of CRT, the critical element of the theory equates to the will to partake in antiracist activism within and beyond the academy (Peake </w:t>
      </w:r>
      <w:r w:rsidR="00F152DB">
        <w:rPr>
          <w:rFonts w:ascii="Garamond" w:hAnsi="Garamond" w:cs="Times New Roman"/>
          <w:sz w:val="24"/>
          <w:szCs w:val="24"/>
        </w:rPr>
        <w:t>and</w:t>
      </w:r>
      <w:r w:rsidRPr="0001780A">
        <w:rPr>
          <w:rFonts w:ascii="Garamond" w:hAnsi="Garamond" w:cs="Times New Roman"/>
          <w:sz w:val="24"/>
          <w:szCs w:val="24"/>
        </w:rPr>
        <w:t xml:space="preserve"> Kobayashi, 2002). Much of the urgency for CRT derives from the recognition that there is time to be made up, a temporal lag that is built into spatial relations; “you came too late, much too late, there will always be a world – a white world between you and us” (Bhabha, 1994: 238). Antiracist praxis and redistributive interventions are required because histories and cycles of racial discrimination are locked into the present in the form of taken-for-granted privileges in economic and social relation</w:t>
      </w:r>
      <w:r>
        <w:rPr>
          <w:rFonts w:ascii="Garamond" w:hAnsi="Garamond" w:cs="Times New Roman"/>
          <w:sz w:val="24"/>
          <w:szCs w:val="24"/>
        </w:rPr>
        <w:t>s (McKittrick, 2006; Eisenstein, 2004; Lipsitz, 2011</w:t>
      </w:r>
      <w:r w:rsidRPr="0001780A">
        <w:rPr>
          <w:rFonts w:ascii="Garamond" w:hAnsi="Garamond" w:cs="Times New Roman"/>
          <w:sz w:val="24"/>
          <w:szCs w:val="24"/>
        </w:rPr>
        <w:t>), in the social reproduction of capital, and the spatial solutions to crises of accumulation (Harvey, 2003), in statecraf</w:t>
      </w:r>
      <w:r>
        <w:rPr>
          <w:rFonts w:ascii="Garamond" w:hAnsi="Garamond" w:cs="Times New Roman"/>
          <w:sz w:val="24"/>
          <w:szCs w:val="24"/>
        </w:rPr>
        <w:t>t and government (Goldberg, 2009</w:t>
      </w:r>
      <w:r w:rsidRPr="0001780A">
        <w:rPr>
          <w:rFonts w:ascii="Garamond" w:hAnsi="Garamond" w:cs="Times New Roman"/>
          <w:sz w:val="24"/>
          <w:szCs w:val="24"/>
        </w:rPr>
        <w:t xml:space="preserve">; Lentin </w:t>
      </w:r>
      <w:r w:rsidR="00F152DB">
        <w:rPr>
          <w:rFonts w:ascii="Garamond" w:hAnsi="Garamond" w:cs="Times New Roman"/>
          <w:sz w:val="24"/>
          <w:szCs w:val="24"/>
        </w:rPr>
        <w:t>and</w:t>
      </w:r>
      <w:r w:rsidRPr="0001780A">
        <w:rPr>
          <w:rFonts w:ascii="Garamond" w:hAnsi="Garamond" w:cs="Times New Roman"/>
          <w:sz w:val="24"/>
          <w:szCs w:val="24"/>
        </w:rPr>
        <w:t xml:space="preserve"> Titley, 2011), and in the creation of particular legacies of slavery and antislavery (Bonnett, 1997) or master narratives that ‘reveal’ objective truths about slavery (Lambert, 2011). These scholars argue that internal multicultural and 'anti</w:t>
      </w:r>
      <w:r>
        <w:rPr>
          <w:rFonts w:ascii="Garamond" w:hAnsi="Garamond" w:cs="Times New Roman"/>
          <w:sz w:val="24"/>
          <w:szCs w:val="24"/>
        </w:rPr>
        <w:t>-</w:t>
      </w:r>
      <w:r w:rsidRPr="0001780A">
        <w:rPr>
          <w:rFonts w:ascii="Garamond" w:hAnsi="Garamond" w:cs="Times New Roman"/>
          <w:sz w:val="24"/>
          <w:szCs w:val="24"/>
        </w:rPr>
        <w:t xml:space="preserve">racialist' policies of Western democracies </w:t>
      </w:r>
      <w:r w:rsidRPr="0001780A">
        <w:rPr>
          <w:rFonts w:ascii="Garamond" w:hAnsi="Garamond" w:cs="Times New Roman"/>
          <w:i/>
          <w:sz w:val="24"/>
          <w:szCs w:val="24"/>
        </w:rPr>
        <w:t>and</w:t>
      </w:r>
      <w:r w:rsidRPr="0001780A">
        <w:rPr>
          <w:rFonts w:ascii="Garamond" w:hAnsi="Garamond" w:cs="Times New Roman"/>
          <w:sz w:val="24"/>
          <w:szCs w:val="24"/>
        </w:rPr>
        <w:t xml:space="preserve"> their external </w:t>
      </w:r>
      <w:r w:rsidRPr="0001780A">
        <w:rPr>
          <w:rFonts w:ascii="Garamond" w:hAnsi="Garamond" w:cs="Times New Roman"/>
          <w:sz w:val="24"/>
          <w:szCs w:val="24"/>
        </w:rPr>
        <w:lastRenderedPageBreak/>
        <w:t xml:space="preserve">engagements, in both hard and soft forms of power, are often complicit in perpetuating the inherited conditions of racism. </w:t>
      </w:r>
    </w:p>
    <w:p w:rsidR="002D22FA" w:rsidRPr="0001780A" w:rsidRDefault="002D22FA" w:rsidP="002D22FA">
      <w:pPr>
        <w:spacing w:after="0" w:line="360" w:lineRule="auto"/>
        <w:jc w:val="both"/>
        <w:rPr>
          <w:rFonts w:ascii="Garamond" w:hAnsi="Garamond" w:cs="Times New Roman"/>
          <w:sz w:val="24"/>
          <w:szCs w:val="24"/>
        </w:rPr>
      </w:pPr>
    </w:p>
    <w:p w:rsidR="002D22FA" w:rsidRPr="0001780A" w:rsidRDefault="002D22FA" w:rsidP="002D22FA">
      <w:pPr>
        <w:spacing w:after="0" w:line="360" w:lineRule="auto"/>
        <w:jc w:val="both"/>
        <w:rPr>
          <w:rFonts w:ascii="Garamond" w:hAnsi="Garamond" w:cs="Times New Roman"/>
          <w:sz w:val="24"/>
          <w:szCs w:val="24"/>
        </w:rPr>
      </w:pPr>
      <w:r w:rsidRPr="0001780A">
        <w:rPr>
          <w:rFonts w:ascii="Garamond" w:hAnsi="Garamond" w:cs="Times New Roman"/>
          <w:sz w:val="24"/>
          <w:szCs w:val="24"/>
        </w:rPr>
        <w:t>Critical race theory, and more latterly, critical geographies of slavery, derive from the Frankfurt school of critical theory after Horkheimer, Adorno, Benjamin, and later Habermas. Horkheimer’s treatise on traditional and critical theory is particularly instructive to CRT; theory is only critical if it has a practical purpose to “liberate human beings from the circumstances that ensla</w:t>
      </w:r>
      <w:r>
        <w:rPr>
          <w:rFonts w:ascii="Garamond" w:hAnsi="Garamond" w:cs="Times New Roman"/>
          <w:sz w:val="24"/>
          <w:szCs w:val="24"/>
        </w:rPr>
        <w:t>ve them” (Horkheimer 1982</w:t>
      </w:r>
      <w:r w:rsidRPr="0001780A">
        <w:rPr>
          <w:rFonts w:ascii="Garamond" w:hAnsi="Garamond" w:cs="Times New Roman"/>
          <w:sz w:val="24"/>
          <w:szCs w:val="24"/>
        </w:rPr>
        <w:t>; 244). The practical and emancipatory logic of Horkheimer’s statement is found in Goldberg’s (2009) definition of antiracism:</w:t>
      </w:r>
    </w:p>
    <w:p w:rsidR="002D22FA" w:rsidRPr="0001780A" w:rsidRDefault="002D22FA" w:rsidP="002D22FA">
      <w:pPr>
        <w:spacing w:after="0" w:line="360" w:lineRule="auto"/>
        <w:jc w:val="both"/>
        <w:rPr>
          <w:rFonts w:ascii="Garamond" w:hAnsi="Garamond" w:cs="Times New Roman"/>
          <w:sz w:val="24"/>
          <w:szCs w:val="24"/>
        </w:rPr>
      </w:pPr>
    </w:p>
    <w:p w:rsidR="002D22FA" w:rsidRPr="007B431E" w:rsidRDefault="002D22FA" w:rsidP="002D22FA">
      <w:pPr>
        <w:autoSpaceDE w:val="0"/>
        <w:autoSpaceDN w:val="0"/>
        <w:adjustRightInd w:val="0"/>
        <w:spacing w:after="0" w:line="360" w:lineRule="auto"/>
        <w:ind w:left="284" w:right="284"/>
        <w:jc w:val="both"/>
        <w:rPr>
          <w:rFonts w:ascii="Garamond" w:hAnsi="Garamond" w:cs="Times New Roman"/>
        </w:rPr>
      </w:pPr>
      <w:r w:rsidRPr="007B431E">
        <w:rPr>
          <w:rFonts w:ascii="Garamond" w:hAnsi="Garamond" w:cs="Times New Roman"/>
        </w:rPr>
        <w:t>Antiracism…conjures a stance against an imposed condition, or set of conditions, an explicit refusal or a living of one’s life in such a way one refuses the imposition, whether one is a member of the subjugated population or the subjug</w:t>
      </w:r>
      <w:r w:rsidR="007B431E" w:rsidRPr="007B431E">
        <w:rPr>
          <w:rFonts w:ascii="Garamond" w:hAnsi="Garamond" w:cs="Times New Roman"/>
        </w:rPr>
        <w:t>ating one. (Goldberg, 2009; 10)</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According to Gilmore (2006), McKittr</w:t>
      </w:r>
      <w:r>
        <w:rPr>
          <w:rFonts w:ascii="Garamond" w:hAnsi="Garamond" w:cs="Times New Roman"/>
          <w:sz w:val="24"/>
          <w:szCs w:val="24"/>
        </w:rPr>
        <w:t>ick (2006), Goldberg (2009</w:t>
      </w:r>
      <w:r w:rsidRPr="0001780A">
        <w:rPr>
          <w:rFonts w:ascii="Garamond" w:hAnsi="Garamond" w:cs="Times New Roman"/>
          <w:sz w:val="24"/>
          <w:szCs w:val="24"/>
        </w:rPr>
        <w:t xml:space="preserve">), Lentin </w:t>
      </w:r>
      <w:r w:rsidR="00F152DB">
        <w:rPr>
          <w:rFonts w:ascii="Garamond" w:hAnsi="Garamond" w:cs="Times New Roman"/>
          <w:sz w:val="24"/>
          <w:szCs w:val="24"/>
        </w:rPr>
        <w:t>and</w:t>
      </w:r>
      <w:r w:rsidRPr="0001780A">
        <w:rPr>
          <w:rFonts w:ascii="Garamond" w:hAnsi="Garamond" w:cs="Times New Roman"/>
          <w:sz w:val="24"/>
          <w:szCs w:val="24"/>
        </w:rPr>
        <w:t xml:space="preserve"> Titley (2011) and Winant (2011) late modernity has presented a series of racial proble</w:t>
      </w:r>
      <w:r w:rsidR="00CE4428">
        <w:rPr>
          <w:rFonts w:ascii="Garamond" w:hAnsi="Garamond" w:cs="Times New Roman"/>
          <w:sz w:val="24"/>
          <w:szCs w:val="24"/>
        </w:rPr>
        <w:t xml:space="preserve">ms that in its various guises – such as </w:t>
      </w:r>
      <w:r w:rsidRPr="0001780A">
        <w:rPr>
          <w:rFonts w:ascii="Garamond" w:hAnsi="Garamond" w:cs="Times New Roman"/>
          <w:sz w:val="24"/>
          <w:szCs w:val="24"/>
        </w:rPr>
        <w:t xml:space="preserve">colour-blindness (Giroux, 2006; Alcoff, 2006), anti-racialism (Goldberg, 2009), </w:t>
      </w:r>
      <w:r w:rsidR="00CE4428">
        <w:rPr>
          <w:rFonts w:ascii="Garamond" w:hAnsi="Garamond" w:cs="Times New Roman"/>
          <w:sz w:val="24"/>
          <w:szCs w:val="24"/>
        </w:rPr>
        <w:t xml:space="preserve">and </w:t>
      </w:r>
      <w:r w:rsidRPr="0001780A">
        <w:rPr>
          <w:rFonts w:ascii="Garamond" w:hAnsi="Garamond" w:cs="Times New Roman"/>
          <w:sz w:val="24"/>
          <w:szCs w:val="24"/>
        </w:rPr>
        <w:t>post-raci</w:t>
      </w:r>
      <w:r w:rsidR="00CE4428">
        <w:rPr>
          <w:rFonts w:ascii="Garamond" w:hAnsi="Garamond" w:cs="Times New Roman"/>
          <w:sz w:val="24"/>
          <w:szCs w:val="24"/>
        </w:rPr>
        <w:t xml:space="preserve">alism (Lentin </w:t>
      </w:r>
      <w:r w:rsidR="00F152DB">
        <w:rPr>
          <w:rFonts w:ascii="Garamond" w:hAnsi="Garamond" w:cs="Times New Roman"/>
          <w:sz w:val="24"/>
          <w:szCs w:val="24"/>
        </w:rPr>
        <w:t>and</w:t>
      </w:r>
      <w:r w:rsidR="00CE4428">
        <w:rPr>
          <w:rFonts w:ascii="Garamond" w:hAnsi="Garamond" w:cs="Times New Roman"/>
          <w:sz w:val="24"/>
          <w:szCs w:val="24"/>
        </w:rPr>
        <w:t xml:space="preserve"> Titley, 2011) – </w:t>
      </w:r>
      <w:r w:rsidRPr="0001780A">
        <w:rPr>
          <w:rFonts w:ascii="Garamond" w:hAnsi="Garamond" w:cs="Times New Roman"/>
          <w:sz w:val="24"/>
          <w:szCs w:val="24"/>
        </w:rPr>
        <w:t>materializes through varying degrees of den</w:t>
      </w:r>
      <w:r w:rsidR="00CE4428">
        <w:rPr>
          <w:rFonts w:ascii="Garamond" w:hAnsi="Garamond" w:cs="Times New Roman"/>
          <w:sz w:val="24"/>
          <w:szCs w:val="24"/>
        </w:rPr>
        <w:t>ial about the existence of race:</w:t>
      </w:r>
      <w:r w:rsidRPr="0001780A">
        <w:rPr>
          <w:rFonts w:ascii="Garamond" w:hAnsi="Garamond" w:cs="Times New Roman"/>
          <w:sz w:val="24"/>
          <w:szCs w:val="24"/>
        </w:rPr>
        <w:t xml:space="preserve"> denial of its cut and thrust across public institutions and services, and denial of its effects in the distribution of everyday rights, requirements and privileges (Goldberg, 2009).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If race </w:t>
      </w:r>
      <w:r w:rsidR="003F019C">
        <w:rPr>
          <w:rFonts w:ascii="Garamond" w:hAnsi="Garamond" w:cs="Times New Roman"/>
          <w:sz w:val="24"/>
          <w:szCs w:val="24"/>
        </w:rPr>
        <w:t xml:space="preserve">is </w:t>
      </w:r>
      <w:r w:rsidRPr="0001780A">
        <w:rPr>
          <w:rFonts w:ascii="Garamond" w:hAnsi="Garamond" w:cs="Times New Roman"/>
          <w:sz w:val="24"/>
          <w:szCs w:val="24"/>
        </w:rPr>
        <w:t>part of the Western condition, where</w:t>
      </w:r>
      <w:r w:rsidR="003F019C">
        <w:rPr>
          <w:rFonts w:ascii="Garamond" w:hAnsi="Garamond" w:cs="Times New Roman"/>
          <w:sz w:val="24"/>
          <w:szCs w:val="24"/>
        </w:rPr>
        <w:t xml:space="preserve"> does</w:t>
      </w:r>
      <w:r w:rsidRPr="0001780A">
        <w:rPr>
          <w:rFonts w:ascii="Garamond" w:hAnsi="Garamond" w:cs="Times New Roman"/>
          <w:sz w:val="24"/>
          <w:szCs w:val="24"/>
        </w:rPr>
        <w:t xml:space="preserve"> it come from? And from where does it derive its power? Homi Bhabha writes in </w:t>
      </w:r>
      <w:r w:rsidRPr="0001780A">
        <w:rPr>
          <w:rFonts w:ascii="Garamond" w:hAnsi="Garamond" w:cs="Times New Roman"/>
          <w:i/>
          <w:sz w:val="24"/>
          <w:szCs w:val="24"/>
        </w:rPr>
        <w:t xml:space="preserve">Race, Time and the Revision of Modernity </w:t>
      </w:r>
      <w:r w:rsidRPr="0001780A">
        <w:rPr>
          <w:rFonts w:ascii="Garamond" w:hAnsi="Garamond" w:cs="Times New Roman"/>
          <w:sz w:val="24"/>
          <w:szCs w:val="24"/>
        </w:rPr>
        <w:t>(1994) that liberal humanism and racism were part of the same project that created “the ideological matrices of national aspiration, together with their notions of people and imagined community” (1994: 366). Bhabha’s statement opens up the possibility of a postcolonial enquiry into Western spaces of modernity, and carries contemporary resonance. During the eighteenth century the relationship between the ‘birth twins’ of liberalism and slavery, Domenico Losurdo argues, was the productive matrix from which the ideology of race and the colourline emerged:</w:t>
      </w:r>
    </w:p>
    <w:p w:rsidR="002D22FA" w:rsidRPr="0001780A" w:rsidRDefault="002D22FA" w:rsidP="002D22FA">
      <w:pPr>
        <w:autoSpaceDE w:val="0"/>
        <w:autoSpaceDN w:val="0"/>
        <w:adjustRightInd w:val="0"/>
        <w:spacing w:after="0" w:line="360" w:lineRule="auto"/>
        <w:rPr>
          <w:rFonts w:ascii="Garamond" w:hAnsi="Garamond" w:cs="Fd339368-Identity-H"/>
          <w:color w:val="151515"/>
          <w:sz w:val="24"/>
          <w:szCs w:val="19"/>
        </w:rPr>
      </w:pPr>
    </w:p>
    <w:p w:rsidR="002D22FA" w:rsidRPr="0001780A" w:rsidRDefault="002D22FA" w:rsidP="002D22FA">
      <w:pPr>
        <w:autoSpaceDE w:val="0"/>
        <w:autoSpaceDN w:val="0"/>
        <w:adjustRightInd w:val="0"/>
        <w:spacing w:after="0" w:line="360" w:lineRule="auto"/>
        <w:ind w:left="284" w:right="284"/>
        <w:jc w:val="both"/>
        <w:rPr>
          <w:rFonts w:ascii="Garamond" w:hAnsi="Garamond" w:cs="Times New Roman"/>
          <w:color w:val="151515"/>
          <w:sz w:val="24"/>
        </w:rPr>
      </w:pPr>
      <w:r w:rsidRPr="0001780A">
        <w:rPr>
          <w:rFonts w:ascii="Garamond" w:hAnsi="Garamond" w:cs="Times New Roman"/>
          <w:color w:val="151515"/>
          <w:sz w:val="24"/>
        </w:rPr>
        <w:lastRenderedPageBreak/>
        <w:t>The triumph of the ethnic delimitation of the community of the free was bound seriously to affect the condition of those blacks who were notionally free. They were now struck by a series of measures that tended to render the colour line, the demarcation between the race of the free</w:t>
      </w:r>
      <w:r w:rsidRPr="0001780A">
        <w:rPr>
          <w:rFonts w:ascii="Garamond" w:hAnsi="Garamond" w:cs="Times New Roman"/>
          <w:color w:val="4C4C4C"/>
          <w:sz w:val="24"/>
        </w:rPr>
        <w:t xml:space="preserve"> </w:t>
      </w:r>
      <w:r w:rsidRPr="0001780A">
        <w:rPr>
          <w:rFonts w:ascii="Garamond" w:hAnsi="Garamond" w:cs="Times New Roman"/>
          <w:color w:val="151515"/>
          <w:sz w:val="24"/>
        </w:rPr>
        <w:t>and the race of slaves, inviolable. (Losurdo, 2011; 51)</w:t>
      </w:r>
    </w:p>
    <w:p w:rsidR="002D22FA" w:rsidRPr="0001780A" w:rsidRDefault="002D22FA" w:rsidP="002D22FA">
      <w:pPr>
        <w:autoSpaceDE w:val="0"/>
        <w:autoSpaceDN w:val="0"/>
        <w:adjustRightInd w:val="0"/>
        <w:spacing w:after="0" w:line="360" w:lineRule="auto"/>
        <w:ind w:left="284" w:right="284"/>
        <w:jc w:val="both"/>
        <w:rPr>
          <w:rFonts w:ascii="Garamond" w:hAnsi="Garamond" w:cs="Times New Roman"/>
          <w:sz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Race scholars on both sides of the Atlantic have commented on the inadequacy of libertarian theory and policy in contesting the epistemic violence of racism (Gilmore, 2006; Giroux, 2006; Lentin </w:t>
      </w:r>
      <w:r w:rsidR="00F152DB">
        <w:rPr>
          <w:rFonts w:ascii="Garamond" w:hAnsi="Garamond" w:cs="Times New Roman"/>
          <w:sz w:val="24"/>
          <w:szCs w:val="24"/>
        </w:rPr>
        <w:t>and</w:t>
      </w:r>
      <w:r w:rsidRPr="0001780A">
        <w:rPr>
          <w:rFonts w:ascii="Garamond" w:hAnsi="Garamond" w:cs="Times New Roman"/>
          <w:sz w:val="24"/>
          <w:szCs w:val="24"/>
        </w:rPr>
        <w:t xml:space="preserve"> Titley, 2011). Individual rights and negative liberty cannot conceive, let alone act on, redistributive justice. In their hidden racial assumptions and aggressive monolithic application, progressive enlightenment theories can be understood as totems of oppression. Rosseau’s social contract was anything but universal and concealed the existence of slavery (Buck-Morss, 2000; Crang </w:t>
      </w:r>
      <w:r w:rsidR="00F152DB">
        <w:rPr>
          <w:rFonts w:ascii="Garamond" w:hAnsi="Garamond" w:cs="Times New Roman"/>
          <w:sz w:val="24"/>
          <w:szCs w:val="24"/>
        </w:rPr>
        <w:t>and</w:t>
      </w:r>
      <w:r w:rsidRPr="0001780A">
        <w:rPr>
          <w:rFonts w:ascii="Garamond" w:hAnsi="Garamond" w:cs="Times New Roman"/>
          <w:sz w:val="24"/>
          <w:szCs w:val="24"/>
        </w:rPr>
        <w:t xml:space="preserve"> Tolia-Kelly, 2010). Charles Mills (1997) persuasively argues that the social contract was also a racial contract; a c</w:t>
      </w:r>
      <w:r w:rsidR="003F019C">
        <w:rPr>
          <w:rFonts w:ascii="Garamond" w:hAnsi="Garamond" w:cs="Times New Roman"/>
          <w:sz w:val="24"/>
          <w:szCs w:val="24"/>
        </w:rPr>
        <w:t>ontract agreed between European men</w:t>
      </w:r>
      <w:r w:rsidRPr="0001780A">
        <w:rPr>
          <w:rFonts w:ascii="Garamond" w:hAnsi="Garamond" w:cs="Times New Roman"/>
          <w:sz w:val="24"/>
          <w:szCs w:val="24"/>
        </w:rPr>
        <w:t xml:space="preserve"> that naturalized white privilege and excluded black people and women from liberties.</w:t>
      </w:r>
      <w:r>
        <w:rPr>
          <w:rFonts w:ascii="Garamond" w:hAnsi="Garamond" w:cs="Times New Roman"/>
          <w:sz w:val="24"/>
          <w:szCs w:val="24"/>
        </w:rPr>
        <w:t xml:space="preserve"> Working from Mills in Chapter S</w:t>
      </w:r>
      <w:r w:rsidRPr="0001780A">
        <w:rPr>
          <w:rFonts w:ascii="Garamond" w:hAnsi="Garamond" w:cs="Times New Roman"/>
          <w:sz w:val="24"/>
          <w:szCs w:val="24"/>
        </w:rPr>
        <w:t>ix</w:t>
      </w:r>
      <w:r w:rsidR="003F019C">
        <w:rPr>
          <w:rFonts w:ascii="Garamond" w:hAnsi="Garamond" w:cs="Times New Roman"/>
          <w:sz w:val="24"/>
          <w:szCs w:val="24"/>
        </w:rPr>
        <w:t>,</w:t>
      </w:r>
      <w:r w:rsidRPr="0001780A">
        <w:rPr>
          <w:rFonts w:ascii="Garamond" w:hAnsi="Garamond" w:cs="Times New Roman"/>
          <w:sz w:val="24"/>
          <w:szCs w:val="24"/>
        </w:rPr>
        <w:t xml:space="preserve"> I show how white migration to South Africa literally produced a racial contract between white Europeans and white South Africa. Kant’s democratic ideals could not encompass the humanity of black people (Gilroy, 2000), and should not be celebrated as being truly cosmopolitan (Crang </w:t>
      </w:r>
      <w:r w:rsidR="00F152DB">
        <w:rPr>
          <w:rFonts w:ascii="Garamond" w:hAnsi="Garamond" w:cs="Times New Roman"/>
          <w:sz w:val="24"/>
          <w:szCs w:val="24"/>
        </w:rPr>
        <w:t>and</w:t>
      </w:r>
      <w:r w:rsidRPr="0001780A">
        <w:rPr>
          <w:rFonts w:ascii="Garamond" w:hAnsi="Garamond" w:cs="Times New Roman"/>
          <w:sz w:val="24"/>
          <w:szCs w:val="24"/>
        </w:rPr>
        <w:t xml:space="preserve"> Tolia-Kelly, 2010):</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7B431E" w:rsidRDefault="002D22FA" w:rsidP="002D22FA">
      <w:pPr>
        <w:autoSpaceDE w:val="0"/>
        <w:autoSpaceDN w:val="0"/>
        <w:adjustRightInd w:val="0"/>
        <w:spacing w:after="0" w:line="360" w:lineRule="auto"/>
        <w:ind w:left="284" w:right="284"/>
        <w:jc w:val="both"/>
        <w:rPr>
          <w:rFonts w:ascii="Garamond" w:hAnsi="Garamond" w:cs="Times New Roman"/>
        </w:rPr>
      </w:pPr>
      <w:r w:rsidRPr="007B431E">
        <w:rPr>
          <w:rFonts w:ascii="Garamond" w:hAnsi="Garamond" w:cs="Times New Roman"/>
        </w:rPr>
        <w:t xml:space="preserve">The Negroes of Africa have by nature no feeling that arises above the trifling …So fundamental is the difference between these two races of man, and it appears to be as great in regard to mental capacities as in colour. (Kant 1991, in Crang </w:t>
      </w:r>
      <w:r w:rsidR="00F152DB">
        <w:rPr>
          <w:rFonts w:ascii="Garamond" w:hAnsi="Garamond" w:cs="Times New Roman"/>
        </w:rPr>
        <w:t>and</w:t>
      </w:r>
      <w:r w:rsidRPr="007B431E">
        <w:rPr>
          <w:rFonts w:ascii="Garamond" w:hAnsi="Garamond" w:cs="Times New Roman"/>
        </w:rPr>
        <w:t xml:space="preserve"> Tolia-Kelly, 2010; 2311)</w:t>
      </w:r>
    </w:p>
    <w:p w:rsidR="002D22FA" w:rsidRPr="0001780A" w:rsidRDefault="002D22FA" w:rsidP="002D22FA">
      <w:pPr>
        <w:autoSpaceDE w:val="0"/>
        <w:autoSpaceDN w:val="0"/>
        <w:adjustRightInd w:val="0"/>
        <w:spacing w:after="0" w:line="360" w:lineRule="auto"/>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For each moment or place where Kant or Rousseau’s philosophies are positioned as universal, another layer of white privilege is laid atop of white foundations. The whiteness comes from a denial of historicism (a refusal to give credence to how philosophies as social phenomena are historically determined), and critics of Kant’s universalism show how the historical context of his philosophy is rendered invisible, a process that commits epistemic v</w:t>
      </w:r>
      <w:r>
        <w:rPr>
          <w:rFonts w:ascii="Garamond" w:hAnsi="Garamond" w:cs="Times New Roman"/>
          <w:sz w:val="24"/>
          <w:szCs w:val="24"/>
        </w:rPr>
        <w:t>iolence to ‘others’ (</w:t>
      </w:r>
      <w:r w:rsidRPr="0001780A">
        <w:rPr>
          <w:rFonts w:ascii="Garamond" w:hAnsi="Garamond" w:cs="Times New Roman"/>
          <w:sz w:val="24"/>
          <w:szCs w:val="24"/>
        </w:rPr>
        <w:t xml:space="preserve">Crang </w:t>
      </w:r>
      <w:r w:rsidR="00F152DB">
        <w:rPr>
          <w:rFonts w:ascii="Garamond" w:hAnsi="Garamond" w:cs="Times New Roman"/>
          <w:sz w:val="24"/>
          <w:szCs w:val="24"/>
        </w:rPr>
        <w:t>and</w:t>
      </w:r>
      <w:r w:rsidRPr="0001780A">
        <w:rPr>
          <w:rFonts w:ascii="Garamond" w:hAnsi="Garamond" w:cs="Times New Roman"/>
          <w:sz w:val="24"/>
          <w:szCs w:val="24"/>
        </w:rPr>
        <w:t xml:space="preserve"> Tolia-Kelly, 2010). Here we can see that colourlines are given power in the global ratification and policing of theories that spoke only of the emancipation of particular social groups. </w:t>
      </w:r>
      <w:r>
        <w:rPr>
          <w:rFonts w:ascii="Garamond" w:hAnsi="Garamond" w:cs="Times New Roman"/>
          <w:sz w:val="24"/>
          <w:szCs w:val="24"/>
        </w:rPr>
        <w:t xml:space="preserve">In Chapter Four </w:t>
      </w:r>
      <w:r>
        <w:rPr>
          <w:rFonts w:ascii="Garamond" w:hAnsi="Garamond" w:cs="Times New Roman"/>
          <w:sz w:val="24"/>
          <w:szCs w:val="24"/>
        </w:rPr>
        <w:lastRenderedPageBreak/>
        <w:t>and F</w:t>
      </w:r>
      <w:r w:rsidRPr="0001780A">
        <w:rPr>
          <w:rFonts w:ascii="Garamond" w:hAnsi="Garamond" w:cs="Times New Roman"/>
          <w:sz w:val="24"/>
          <w:szCs w:val="24"/>
        </w:rPr>
        <w:t>ive</w:t>
      </w:r>
      <w:r w:rsidR="003F019C">
        <w:rPr>
          <w:rFonts w:ascii="Garamond" w:hAnsi="Garamond" w:cs="Times New Roman"/>
          <w:sz w:val="24"/>
          <w:szCs w:val="24"/>
        </w:rPr>
        <w:t>,</w:t>
      </w:r>
      <w:r w:rsidRPr="0001780A">
        <w:rPr>
          <w:rFonts w:ascii="Garamond" w:hAnsi="Garamond" w:cs="Times New Roman"/>
          <w:sz w:val="24"/>
          <w:szCs w:val="24"/>
        </w:rPr>
        <w:t xml:space="preserve"> this thinking bears fruit in my critique of the universalization of Western ideas of childhood across places of cocoa production in relation to anti-trafficking.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The colourline is lent material power by a further separation of context from theory</w:t>
      </w:r>
      <w:r w:rsidR="003F019C">
        <w:rPr>
          <w:rFonts w:ascii="Garamond" w:hAnsi="Garamond" w:cs="Times New Roman"/>
          <w:sz w:val="24"/>
          <w:szCs w:val="24"/>
        </w:rPr>
        <w:t xml:space="preserve"> achieved in modern capitalism: </w:t>
      </w:r>
      <w:r w:rsidRPr="0001780A">
        <w:rPr>
          <w:rFonts w:ascii="Garamond" w:hAnsi="Garamond" w:cs="Times New Roman"/>
          <w:sz w:val="24"/>
          <w:szCs w:val="24"/>
        </w:rPr>
        <w:t>in the separation of politics from economics in c</w:t>
      </w:r>
      <w:r w:rsidR="003F019C">
        <w:rPr>
          <w:rFonts w:ascii="Garamond" w:hAnsi="Garamond" w:cs="Times New Roman"/>
          <w:sz w:val="24"/>
          <w:szCs w:val="24"/>
        </w:rPr>
        <w:t>onventional analyses of economy,</w:t>
      </w:r>
      <w:r w:rsidRPr="0001780A">
        <w:rPr>
          <w:rFonts w:ascii="Garamond" w:hAnsi="Garamond" w:cs="Times New Roman"/>
          <w:sz w:val="24"/>
          <w:szCs w:val="24"/>
        </w:rPr>
        <w:t xml:space="preserve"> and in the role of neoliberal governance to protect the separation between individual freedoms and property rights from st</w:t>
      </w:r>
      <w:r>
        <w:rPr>
          <w:rFonts w:ascii="Garamond" w:hAnsi="Garamond" w:cs="Times New Roman"/>
          <w:sz w:val="24"/>
          <w:szCs w:val="24"/>
        </w:rPr>
        <w:t>ate intervention (Foucault, 1979</w:t>
      </w:r>
      <w:r w:rsidRPr="0001780A">
        <w:rPr>
          <w:rFonts w:ascii="Garamond" w:hAnsi="Garamond" w:cs="Times New Roman"/>
          <w:sz w:val="24"/>
          <w:szCs w:val="24"/>
        </w:rPr>
        <w:t>).</w:t>
      </w:r>
      <w:r>
        <w:rPr>
          <w:rFonts w:ascii="Garamond" w:hAnsi="Garamond" w:cs="Times New Roman"/>
          <w:sz w:val="24"/>
          <w:szCs w:val="24"/>
        </w:rPr>
        <w:t xml:space="preserve"> In Chapter T</w:t>
      </w:r>
      <w:r w:rsidRPr="0001780A">
        <w:rPr>
          <w:rFonts w:ascii="Garamond" w:hAnsi="Garamond" w:cs="Times New Roman"/>
          <w:sz w:val="24"/>
          <w:szCs w:val="24"/>
        </w:rPr>
        <w:t>hree</w:t>
      </w:r>
      <w:r w:rsidR="003F019C">
        <w:rPr>
          <w:rFonts w:ascii="Garamond" w:hAnsi="Garamond" w:cs="Times New Roman"/>
          <w:sz w:val="24"/>
          <w:szCs w:val="24"/>
        </w:rPr>
        <w:t>,</w:t>
      </w:r>
      <w:r w:rsidRPr="0001780A">
        <w:rPr>
          <w:rFonts w:ascii="Garamond" w:hAnsi="Garamond" w:cs="Times New Roman"/>
          <w:sz w:val="24"/>
          <w:szCs w:val="24"/>
        </w:rPr>
        <w:t xml:space="preserve"> I show how by reconnecting politics with economics, the BOA encouraged Dutch consumers to become more racially reflexive. Centuries of state supported white inheritance in assets and property have created a gaping racial disparity in wealth within Western democracies, and contribute to the premature deaths that characterize ‘fatal couplings of race and place’ (Gilmore, 2002: 15). To begin undoing these accretions of privilege and ‘locked in cycle</w:t>
      </w:r>
      <w:r>
        <w:rPr>
          <w:rFonts w:ascii="Garamond" w:hAnsi="Garamond" w:cs="Times New Roman"/>
          <w:sz w:val="24"/>
          <w:szCs w:val="24"/>
        </w:rPr>
        <w:t>s of subjugation’ (Lipsitz, 2011</w:t>
      </w:r>
      <w:r w:rsidRPr="0001780A">
        <w:rPr>
          <w:rFonts w:ascii="Garamond" w:hAnsi="Garamond" w:cs="Times New Roman"/>
          <w:sz w:val="24"/>
          <w:szCs w:val="24"/>
        </w:rPr>
        <w:t>) requires a commitment to ‘seeing’ how racial inequality is inherited after official and overt types of racism have ceased (e.g. post-slavery, post-apartheid, post-segregation), and a commitment to action in the present. This requires that the pasts are retold, and the role of Western regimes</w:t>
      </w:r>
      <w:r>
        <w:rPr>
          <w:rFonts w:ascii="Garamond" w:hAnsi="Garamond" w:cs="Times New Roman"/>
          <w:sz w:val="24"/>
          <w:szCs w:val="24"/>
        </w:rPr>
        <w:t xml:space="preserve"> (and boycotting NGOs – see C</w:t>
      </w:r>
      <w:r w:rsidRPr="0001780A">
        <w:rPr>
          <w:rFonts w:ascii="Garamond" w:hAnsi="Garamond" w:cs="Times New Roman"/>
          <w:sz w:val="24"/>
          <w:szCs w:val="24"/>
        </w:rPr>
        <w:t>hapte</w:t>
      </w:r>
      <w:r>
        <w:rPr>
          <w:rFonts w:ascii="Garamond" w:hAnsi="Garamond" w:cs="Times New Roman"/>
          <w:sz w:val="24"/>
          <w:szCs w:val="24"/>
        </w:rPr>
        <w:t>r F</w:t>
      </w:r>
      <w:r w:rsidRPr="0001780A">
        <w:rPr>
          <w:rFonts w:ascii="Garamond" w:hAnsi="Garamond" w:cs="Times New Roman"/>
          <w:sz w:val="24"/>
          <w:szCs w:val="24"/>
        </w:rPr>
        <w:t xml:space="preserve">our) in shaping historiographies need critiquing (Said, 1978; Keith, 2006). Accretions of privilege, and cycles of impoverishment, are temporal problems that require spatial solutions.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Antiracisms that address the colourline must intervene across the full spectrum of social and economic production, and be sensitive to the different contexts of its manifestation. With regards to the former imperative, geographers have examined how the power of whiteness and racial neutrality is worked through didactics of imperial patriarchy and sexuality</w:t>
      </w:r>
      <w:r>
        <w:rPr>
          <w:rFonts w:ascii="Garamond" w:hAnsi="Garamond" w:cs="Times New Roman"/>
          <w:sz w:val="24"/>
          <w:szCs w:val="24"/>
        </w:rPr>
        <w:t xml:space="preserve"> (McClintock, 2000; Stoler, 1995</w:t>
      </w:r>
      <w:r w:rsidRPr="0001780A">
        <w:rPr>
          <w:rFonts w:ascii="Garamond" w:hAnsi="Garamond" w:cs="Times New Roman"/>
          <w:sz w:val="24"/>
          <w:szCs w:val="24"/>
        </w:rPr>
        <w:t xml:space="preserve">), and given economic utility in the assignment of grades of whiteness (and corresponding wages) to labouring bodies (Alcoff, 2006). On the subject of capitalist production, in the last decade Marxist geographers have shown how global and national industries continue to profit from the economic utility of racialization (Murji </w:t>
      </w:r>
      <w:r w:rsidR="00F152DB">
        <w:rPr>
          <w:rFonts w:ascii="Garamond" w:hAnsi="Garamond" w:cs="Times New Roman"/>
          <w:sz w:val="24"/>
          <w:szCs w:val="24"/>
        </w:rPr>
        <w:t>and</w:t>
      </w:r>
      <w:r w:rsidRPr="0001780A">
        <w:rPr>
          <w:rFonts w:ascii="Garamond" w:hAnsi="Garamond" w:cs="Times New Roman"/>
          <w:sz w:val="24"/>
          <w:szCs w:val="24"/>
        </w:rPr>
        <w:t xml:space="preserve"> Solomos, 2005; Harvey, 2003; Nast, 2010). Authors includin</w:t>
      </w:r>
      <w:r w:rsidR="003F019C">
        <w:rPr>
          <w:rFonts w:ascii="Garamond" w:hAnsi="Garamond" w:cs="Times New Roman"/>
          <w:sz w:val="24"/>
          <w:szCs w:val="24"/>
        </w:rPr>
        <w:t xml:space="preserve">g Gilmore (2006) and Roberts </w:t>
      </w:r>
      <w:r w:rsidR="00F152DB">
        <w:rPr>
          <w:rFonts w:ascii="Garamond" w:hAnsi="Garamond" w:cs="Times New Roman"/>
          <w:sz w:val="24"/>
          <w:szCs w:val="24"/>
        </w:rPr>
        <w:t>and</w:t>
      </w:r>
      <w:r w:rsidRPr="0001780A">
        <w:rPr>
          <w:rFonts w:ascii="Garamond" w:hAnsi="Garamond" w:cs="Times New Roman"/>
          <w:sz w:val="24"/>
          <w:szCs w:val="24"/>
        </w:rPr>
        <w:t xml:space="preserve"> Mahktani (2010) make this point in relation to the </w:t>
      </w:r>
      <w:r w:rsidR="003F019C">
        <w:rPr>
          <w:rFonts w:ascii="Garamond" w:hAnsi="Garamond" w:cs="Times New Roman"/>
          <w:sz w:val="24"/>
          <w:szCs w:val="24"/>
        </w:rPr>
        <w:t>body of the immigrant under neo</w:t>
      </w:r>
      <w:r w:rsidRPr="0001780A">
        <w:rPr>
          <w:rFonts w:ascii="Garamond" w:hAnsi="Garamond" w:cs="Times New Roman"/>
          <w:sz w:val="24"/>
          <w:szCs w:val="24"/>
        </w:rPr>
        <w:t xml:space="preserve">liberal forms of governance; and historically, Robertson (2011) illuminates how Rowntrees and Cadburys made profit through white privilege and racial paternalism. Other work has investigated how specific imperial contexts can be made to speak about privilege to resources, rights, narrative, sexuality, capital, and </w:t>
      </w:r>
      <w:r w:rsidRPr="0001780A">
        <w:rPr>
          <w:rFonts w:ascii="Garamond" w:hAnsi="Garamond" w:cs="Times New Roman"/>
          <w:sz w:val="24"/>
          <w:szCs w:val="24"/>
        </w:rPr>
        <w:lastRenderedPageBreak/>
        <w:t xml:space="preserve">mobility indexed by a </w:t>
      </w:r>
      <w:r>
        <w:rPr>
          <w:rFonts w:ascii="Garamond" w:hAnsi="Garamond" w:cs="Times New Roman"/>
          <w:sz w:val="24"/>
          <w:szCs w:val="24"/>
        </w:rPr>
        <w:t>shifting whiteness (Stoler, 1995</w:t>
      </w:r>
      <w:r w:rsidRPr="0001780A">
        <w:rPr>
          <w:rFonts w:ascii="Garamond" w:hAnsi="Garamond" w:cs="Times New Roman"/>
          <w:sz w:val="24"/>
          <w:szCs w:val="24"/>
        </w:rPr>
        <w:t xml:space="preserve">; Bonnett, 1997; Lambert, 2002; Lipsitz, 2010).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Context is paramount; whiteness does not have to be applied in ways that are subjugating. For Mann (2007), Guthman (2008), Slocum (2009) and Glassman (2009) the challenge for geographers is not only to unmask the “presumptive positive associations” that are attached to </w:t>
      </w:r>
      <w:r>
        <w:rPr>
          <w:rFonts w:ascii="Garamond" w:hAnsi="Garamond" w:cs="Times New Roman"/>
          <w:sz w:val="24"/>
          <w:szCs w:val="24"/>
        </w:rPr>
        <w:t>whiteness (Young, 2001</w:t>
      </w:r>
      <w:r w:rsidRPr="0001780A">
        <w:rPr>
          <w:rFonts w:ascii="Garamond" w:hAnsi="Garamond" w:cs="Times New Roman"/>
          <w:sz w:val="24"/>
          <w:szCs w:val="24"/>
        </w:rPr>
        <w:t>; 268), to chart “how whiteness is silently summoned to life through idyllic notions of rural suburbia, crew cuts, honest labour, homeownership, cars on drives, benevolent shopkeepers, respectable families, and school choice” (Nayak, 2010; 2388). It is also necessary to critique how whiteness is summoned by activist groups, reflecting on how these groups can operate benignly to create spaces of ‘cross-racial coalitions’ (Glassman, 2009) with progressive potential. Considering benign forms of whiteness has been particularly beneficial to my thinking on STT Amsterdam's work towards res</w:t>
      </w:r>
      <w:r>
        <w:rPr>
          <w:rFonts w:ascii="Garamond" w:hAnsi="Garamond" w:cs="Times New Roman"/>
          <w:sz w:val="24"/>
          <w:szCs w:val="24"/>
        </w:rPr>
        <w:t>tructuring the cocoa industry (Chapter F</w:t>
      </w:r>
      <w:r w:rsidRPr="0001780A">
        <w:rPr>
          <w:rFonts w:ascii="Garamond" w:hAnsi="Garamond" w:cs="Times New Roman"/>
          <w:sz w:val="24"/>
          <w:szCs w:val="24"/>
        </w:rPr>
        <w:t>ive) and in considering antiracist solidarity between the BOA and the South African trade union organi</w:t>
      </w:r>
      <w:r>
        <w:rPr>
          <w:rFonts w:ascii="Garamond" w:hAnsi="Garamond" w:cs="Times New Roman"/>
          <w:sz w:val="24"/>
          <w:szCs w:val="24"/>
        </w:rPr>
        <w:t>zation SACTU (Chapter S</w:t>
      </w:r>
      <w:r w:rsidRPr="0001780A">
        <w:rPr>
          <w:rFonts w:ascii="Garamond" w:hAnsi="Garamond" w:cs="Times New Roman"/>
          <w:sz w:val="24"/>
          <w:szCs w:val="24"/>
        </w:rPr>
        <w:t xml:space="preserve">even).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The importance of political context over the recognition of racial difference is a foundation stone of CRT. Contrary to much of the prevailing ‘colour-blind’ or ‘anti-racialist’ rhetoric of contemporary politics and media, the racial problem is not so much that we sense bodies as coloured differently, nor that we perceive race and see societies divided by lines and correlates of colour. Noticing colourlines and the effects of racialization can be framed to defend coercion and privilege, but equally their perception can be part of a physical or psychological bond to promote inclusion </w:t>
      </w:r>
      <w:r>
        <w:rPr>
          <w:rFonts w:ascii="Garamond" w:hAnsi="Garamond" w:cs="Times New Roman"/>
          <w:sz w:val="24"/>
          <w:szCs w:val="24"/>
        </w:rPr>
        <w:t>(Du Bois, 1990</w:t>
      </w:r>
      <w:r w:rsidRPr="0001780A">
        <w:rPr>
          <w:rFonts w:ascii="Garamond" w:hAnsi="Garamond" w:cs="Times New Roman"/>
          <w:sz w:val="24"/>
          <w:szCs w:val="24"/>
        </w:rPr>
        <w:t xml:space="preserve"> [1903]), to defend people’s rights (Winant, 2011), or as constitutive of re</w:t>
      </w:r>
      <w:r>
        <w:rPr>
          <w:rFonts w:ascii="Garamond" w:hAnsi="Garamond" w:cs="Times New Roman"/>
          <w:sz w:val="24"/>
          <w:szCs w:val="24"/>
        </w:rPr>
        <w:t>sistant identities (Ashcroft et al., 2006; Lentin, 2007</w:t>
      </w:r>
      <w:r w:rsidRPr="0001780A">
        <w:rPr>
          <w:rFonts w:ascii="Garamond" w:hAnsi="Garamond" w:cs="Times New Roman"/>
          <w:sz w:val="24"/>
          <w:szCs w:val="24"/>
        </w:rPr>
        <w:t>). These positive uses of</w:t>
      </w:r>
      <w:r>
        <w:rPr>
          <w:rFonts w:ascii="Garamond" w:hAnsi="Garamond" w:cs="Times New Roman"/>
          <w:sz w:val="24"/>
          <w:szCs w:val="24"/>
        </w:rPr>
        <w:t xml:space="preserve"> racialization are explored in Chapter S</w:t>
      </w:r>
      <w:r w:rsidRPr="0001780A">
        <w:rPr>
          <w:rFonts w:ascii="Garamond" w:hAnsi="Garamond" w:cs="Times New Roman"/>
          <w:sz w:val="24"/>
          <w:szCs w:val="24"/>
        </w:rPr>
        <w:t xml:space="preserve">ix with regard to the BOA's use </w:t>
      </w:r>
      <w:r w:rsidR="003F019C">
        <w:rPr>
          <w:rFonts w:ascii="Garamond" w:hAnsi="Garamond" w:cs="Times New Roman"/>
          <w:sz w:val="24"/>
          <w:szCs w:val="24"/>
        </w:rPr>
        <w:t xml:space="preserve">of </w:t>
      </w:r>
      <w:r w:rsidRPr="0001780A">
        <w:rPr>
          <w:rFonts w:ascii="Garamond" w:hAnsi="Garamond" w:cs="Times New Roman"/>
          <w:sz w:val="24"/>
          <w:szCs w:val="24"/>
        </w:rPr>
        <w:t>the black revolutionary as part of the anti-emigration campaign. So, in enacting a moral theory of ra</w:t>
      </w:r>
      <w:r>
        <w:rPr>
          <w:rFonts w:ascii="Garamond" w:hAnsi="Garamond" w:cs="Times New Roman"/>
          <w:sz w:val="24"/>
          <w:szCs w:val="24"/>
        </w:rPr>
        <w:t xml:space="preserve">ce and racism, context is key – </w:t>
      </w:r>
      <w:r w:rsidRPr="0001780A">
        <w:rPr>
          <w:rFonts w:ascii="Garamond" w:hAnsi="Garamond" w:cs="Times New Roman"/>
          <w:sz w:val="24"/>
          <w:szCs w:val="24"/>
        </w:rPr>
        <w:t xml:space="preserve">noticing colourlines does not necessarily pre-empt or constitute racism. This contextualist position is clearly outlined by Alcoff in </w:t>
      </w:r>
      <w:r w:rsidRPr="0001780A">
        <w:rPr>
          <w:rFonts w:ascii="Garamond" w:hAnsi="Garamond" w:cs="Times New Roman"/>
          <w:i/>
          <w:sz w:val="24"/>
          <w:szCs w:val="24"/>
        </w:rPr>
        <w:t>Visible Identities</w:t>
      </w:r>
      <w:r w:rsidRPr="0001780A">
        <w:rPr>
          <w:rFonts w:ascii="Garamond" w:hAnsi="Garamond" w:cs="Times New Roman"/>
          <w:sz w:val="24"/>
          <w:szCs w:val="24"/>
        </w:rPr>
        <w:t>:</w:t>
      </w:r>
    </w:p>
    <w:p w:rsidR="002D22FA" w:rsidRPr="0001780A" w:rsidRDefault="002D22FA" w:rsidP="002D22FA">
      <w:pPr>
        <w:autoSpaceDE w:val="0"/>
        <w:autoSpaceDN w:val="0"/>
        <w:adjustRightInd w:val="0"/>
        <w:spacing w:after="0" w:line="360" w:lineRule="auto"/>
        <w:rPr>
          <w:rFonts w:ascii="Garamond" w:hAnsi="Garamond" w:cs="AdvP48DAB5"/>
          <w:sz w:val="24"/>
          <w:szCs w:val="20"/>
          <w:lang w:eastAsia="en-GB"/>
        </w:rPr>
      </w:pPr>
    </w:p>
    <w:p w:rsidR="002D22FA" w:rsidRPr="007B431E" w:rsidRDefault="002D22FA" w:rsidP="002D22FA">
      <w:pPr>
        <w:autoSpaceDE w:val="0"/>
        <w:autoSpaceDN w:val="0"/>
        <w:adjustRightInd w:val="0"/>
        <w:spacing w:after="0" w:line="360" w:lineRule="auto"/>
        <w:ind w:left="284" w:right="284"/>
        <w:jc w:val="both"/>
        <w:rPr>
          <w:rFonts w:ascii="Garamond" w:hAnsi="Garamond" w:cs="Times New Roman"/>
          <w:lang w:eastAsia="en-GB"/>
        </w:rPr>
      </w:pPr>
      <w:r w:rsidRPr="007B431E">
        <w:rPr>
          <w:rFonts w:ascii="Garamond" w:hAnsi="Garamond" w:cs="Times New Roman"/>
          <w:lang w:eastAsia="en-GB"/>
        </w:rPr>
        <w:t>Race is socially constructed, historically malleable, culturally contextual, and reproduced through learned perceptual practices. Whether or not it is valid to use racial concepts and whether or not their use will have positive or negative political effects depends on the context. (2006: 200-201)</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CRT suggests that the systemic or individual injustice of racism occurs when colour is shorthanded as a deeper “more fundamental difference, a difference in behavioural disposition, in moral and rational capacity, or in cultural achievement” (Alcoff, 2006; 181). Racisms, as Goldberg (2009) lucidly writes, police the boundaries of racialized homogeneities. These policing activities are often carried out without intent or recognition by individuals of their racist efficacy (Pulido, 2000). So, colourlines are racist when they become sites, metaphors and referents for limiting the potential ability, achievement and belonging of people from, </w:t>
      </w:r>
      <w:r w:rsidR="003F019C">
        <w:rPr>
          <w:rFonts w:ascii="Garamond" w:hAnsi="Garamond" w:cs="Times New Roman"/>
          <w:sz w:val="24"/>
          <w:szCs w:val="24"/>
        </w:rPr>
        <w:t>i) minority, illegal, or quasi-l</w:t>
      </w:r>
      <w:r w:rsidRPr="0001780A">
        <w:rPr>
          <w:rFonts w:ascii="Garamond" w:hAnsi="Garamond" w:cs="Times New Roman"/>
          <w:sz w:val="24"/>
          <w:szCs w:val="24"/>
        </w:rPr>
        <w:t xml:space="preserve">egal groups, and from ii) nations or groups that are actively impoverished due to the deficits of historical imperialism and/or colonialism and contemporary processes of global capitalism (e.g. global competition and monopolies, regional tariffs, structural adjustment policies). As this approach essentializes the boundedness of place and scale in determining racism, I apply it as a rough guide, rather than an absolute rule. Here we can see how a European acting on anti-Israeli prejudice perpetuates racism, but a Palestinian acting on anti-Israeli prejudice in Jerusalem does not. In a similar vein Diane Abbott’s recent remarks on twitter that ‘white people like to divide and rule’ can be interpreted as prejudiced but not racist. The grounds for these assertions are constantly shifting, and the empirical and contextual aspects of each case must be questioned. Recent philosophical scholarship on testimonial injustice supports the contextualist position on racism. As part of a wider philosophical field of epistemic injustice, Fricker (2004; 2008) argues that testimonial injustice occurs not when empirical data highlights trends that can be linked to gender, class, race etc., but when that data is presented individually or collectively as evidence of a stereotype or an inherent condition that is limiting. This approach to testimonial injustice has informed my thinking on the ways du Plessis and the BOA are written about in extant Dutch anti-apartheid histories. </w:t>
      </w:r>
    </w:p>
    <w:p w:rsidR="002D22FA" w:rsidRPr="0001780A" w:rsidRDefault="002D22FA" w:rsidP="002D22FA">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 xml:space="preserve"> </w:t>
      </w:r>
    </w:p>
    <w:p w:rsidR="007F618F" w:rsidRDefault="002D22FA" w:rsidP="002049D4">
      <w:pPr>
        <w:autoSpaceDE w:val="0"/>
        <w:autoSpaceDN w:val="0"/>
        <w:adjustRightInd w:val="0"/>
        <w:spacing w:after="0" w:line="360" w:lineRule="auto"/>
        <w:jc w:val="both"/>
        <w:rPr>
          <w:rFonts w:ascii="Garamond" w:hAnsi="Garamond" w:cs="Times New Roman"/>
          <w:sz w:val="24"/>
          <w:szCs w:val="24"/>
        </w:rPr>
      </w:pPr>
      <w:r w:rsidRPr="0001780A">
        <w:rPr>
          <w:rFonts w:ascii="Garamond" w:hAnsi="Garamond" w:cs="Times New Roman"/>
          <w:sz w:val="24"/>
          <w:szCs w:val="24"/>
        </w:rPr>
        <w:t>Throughout the writing and researching of the substantive chapters on the BOA and STT I have adopted contextualist approaches to racism</w:t>
      </w:r>
      <w:r>
        <w:rPr>
          <w:rFonts w:ascii="Garamond" w:hAnsi="Garamond" w:cs="Times New Roman"/>
          <w:sz w:val="24"/>
          <w:szCs w:val="24"/>
        </w:rPr>
        <w:t xml:space="preserve"> (although as I propose in Chapter O</w:t>
      </w:r>
      <w:r w:rsidRPr="0001780A">
        <w:rPr>
          <w:rFonts w:ascii="Garamond" w:hAnsi="Garamond" w:cs="Times New Roman"/>
          <w:sz w:val="24"/>
          <w:szCs w:val="24"/>
        </w:rPr>
        <w:t>ne my inductive method tends to be contextualist anyway), and I have attempted to understand how race works in shorthand (Alcoff, 200</w:t>
      </w:r>
      <w:r w:rsidR="003F019C">
        <w:rPr>
          <w:rFonts w:ascii="Garamond" w:hAnsi="Garamond" w:cs="Times New Roman"/>
          <w:sz w:val="24"/>
          <w:szCs w:val="24"/>
        </w:rPr>
        <w:t>6). CRT has been vital to how I ha</w:t>
      </w:r>
      <w:r w:rsidRPr="0001780A">
        <w:rPr>
          <w:rFonts w:ascii="Garamond" w:hAnsi="Garamond" w:cs="Times New Roman"/>
          <w:sz w:val="24"/>
          <w:szCs w:val="24"/>
        </w:rPr>
        <w:t>ve researched both organizations; only through 'seeing myself whitely' have I been able to understand and critique various forms of whiteness in t</w:t>
      </w:r>
      <w:r w:rsidR="003F019C">
        <w:rPr>
          <w:rFonts w:ascii="Garamond" w:hAnsi="Garamond" w:cs="Times New Roman"/>
          <w:sz w:val="24"/>
          <w:szCs w:val="24"/>
        </w:rPr>
        <w:t xml:space="preserve">ransnational commodity cultures – both </w:t>
      </w:r>
      <w:r w:rsidRPr="0001780A">
        <w:rPr>
          <w:rFonts w:ascii="Garamond" w:hAnsi="Garamond" w:cs="Times New Roman"/>
          <w:sz w:val="24"/>
          <w:szCs w:val="24"/>
        </w:rPr>
        <w:t>in the method</w:t>
      </w:r>
      <w:r w:rsidR="003F019C">
        <w:rPr>
          <w:rFonts w:ascii="Garamond" w:hAnsi="Garamond" w:cs="Times New Roman"/>
          <w:sz w:val="24"/>
          <w:szCs w:val="24"/>
        </w:rPr>
        <w:t>s</w:t>
      </w:r>
      <w:r w:rsidRPr="0001780A">
        <w:rPr>
          <w:rFonts w:ascii="Garamond" w:hAnsi="Garamond" w:cs="Times New Roman"/>
          <w:sz w:val="24"/>
          <w:szCs w:val="24"/>
        </w:rPr>
        <w:t xml:space="preserve"> and forms of communication in Dutch anti-apartheid and</w:t>
      </w:r>
      <w:r w:rsidR="003F019C">
        <w:rPr>
          <w:rFonts w:ascii="Garamond" w:hAnsi="Garamond" w:cs="Times New Roman"/>
          <w:sz w:val="24"/>
          <w:szCs w:val="24"/>
        </w:rPr>
        <w:t xml:space="preserve"> in</w:t>
      </w:r>
      <w:r w:rsidRPr="0001780A">
        <w:rPr>
          <w:rFonts w:ascii="Garamond" w:hAnsi="Garamond" w:cs="Times New Roman"/>
          <w:sz w:val="24"/>
          <w:szCs w:val="24"/>
        </w:rPr>
        <w:t xml:space="preserve"> anti-trafficking work. </w:t>
      </w:r>
      <w:r>
        <w:rPr>
          <w:rFonts w:ascii="Garamond" w:hAnsi="Garamond" w:cs="Times New Roman"/>
          <w:sz w:val="24"/>
          <w:szCs w:val="24"/>
        </w:rPr>
        <w:t>Chapter S</w:t>
      </w:r>
      <w:r w:rsidRPr="0001780A">
        <w:rPr>
          <w:rFonts w:ascii="Garamond" w:hAnsi="Garamond" w:cs="Times New Roman"/>
          <w:sz w:val="24"/>
          <w:szCs w:val="24"/>
        </w:rPr>
        <w:t xml:space="preserve">even shows that from their urban </w:t>
      </w:r>
      <w:r w:rsidRPr="0001780A">
        <w:rPr>
          <w:rFonts w:ascii="Garamond" w:hAnsi="Garamond" w:cs="Times New Roman"/>
          <w:sz w:val="24"/>
          <w:szCs w:val="24"/>
        </w:rPr>
        <w:lastRenderedPageBreak/>
        <w:t>campaigns</w:t>
      </w:r>
      <w:r w:rsidR="003F019C">
        <w:rPr>
          <w:rFonts w:ascii="Garamond" w:hAnsi="Garamond" w:cs="Times New Roman"/>
          <w:sz w:val="24"/>
          <w:szCs w:val="24"/>
        </w:rPr>
        <w:t>,</w:t>
      </w:r>
      <w:r w:rsidRPr="0001780A">
        <w:rPr>
          <w:rFonts w:ascii="Garamond" w:hAnsi="Garamond" w:cs="Times New Roman"/>
          <w:sz w:val="24"/>
          <w:szCs w:val="24"/>
        </w:rPr>
        <w:t xml:space="preserve"> 'Leiden Against Apartheid in 1979', BOA activism became increasingly about applying </w:t>
      </w:r>
      <w:r>
        <w:rPr>
          <w:rFonts w:ascii="Garamond" w:hAnsi="Garamond" w:cs="Times New Roman"/>
          <w:sz w:val="24"/>
          <w:szCs w:val="24"/>
        </w:rPr>
        <w:t xml:space="preserve">an antecedent form of </w:t>
      </w:r>
      <w:r w:rsidRPr="0001780A">
        <w:rPr>
          <w:rFonts w:ascii="Garamond" w:hAnsi="Garamond" w:cs="Times New Roman"/>
          <w:sz w:val="24"/>
          <w:szCs w:val="24"/>
        </w:rPr>
        <w:t xml:space="preserve">critical race theory in tandem with anti-apartheid. Across the thesis I constantly return to the themes of white food, identities, histories, imaginations and privilege. On occasion, I present counterfactual possibilities, alternative forms </w:t>
      </w:r>
      <w:r w:rsidR="003F019C">
        <w:rPr>
          <w:rFonts w:ascii="Garamond" w:hAnsi="Garamond" w:cs="Times New Roman"/>
          <w:sz w:val="24"/>
          <w:szCs w:val="24"/>
        </w:rPr>
        <w:t xml:space="preserve">of </w:t>
      </w:r>
      <w:r w:rsidRPr="0001780A">
        <w:rPr>
          <w:rFonts w:ascii="Garamond" w:hAnsi="Garamond" w:cs="Times New Roman"/>
          <w:sz w:val="24"/>
          <w:szCs w:val="24"/>
        </w:rPr>
        <w:t>historicizing</w:t>
      </w:r>
      <w:r w:rsidR="003F019C">
        <w:rPr>
          <w:rFonts w:ascii="Garamond" w:hAnsi="Garamond" w:cs="Times New Roman"/>
          <w:sz w:val="24"/>
          <w:szCs w:val="24"/>
        </w:rPr>
        <w:t>,</w:t>
      </w:r>
      <w:r w:rsidRPr="0001780A">
        <w:rPr>
          <w:rFonts w:ascii="Garamond" w:hAnsi="Garamond" w:cs="Times New Roman"/>
          <w:sz w:val="24"/>
          <w:szCs w:val="24"/>
        </w:rPr>
        <w:t xml:space="preserve"> a</w:t>
      </w:r>
      <w:r>
        <w:rPr>
          <w:rFonts w:ascii="Garamond" w:hAnsi="Garamond" w:cs="Times New Roman"/>
          <w:sz w:val="24"/>
          <w:szCs w:val="24"/>
        </w:rPr>
        <w:t>nd types of relations that might</w:t>
      </w:r>
      <w:r w:rsidRPr="0001780A">
        <w:rPr>
          <w:rFonts w:ascii="Garamond" w:hAnsi="Garamond" w:cs="Times New Roman"/>
          <w:sz w:val="24"/>
          <w:szCs w:val="24"/>
        </w:rPr>
        <w:t xml:space="preserve"> allow for more inclusive activist politics</w:t>
      </w:r>
      <w:r w:rsidR="00BA0F0B">
        <w:rPr>
          <w:rFonts w:ascii="Garamond" w:hAnsi="Garamond" w:cs="Times New Roman"/>
          <w:sz w:val="24"/>
          <w:szCs w:val="24"/>
        </w:rPr>
        <w:t>.</w:t>
      </w:r>
    </w:p>
    <w:p w:rsidR="007F618F" w:rsidRDefault="007F618F" w:rsidP="002049D4">
      <w:pPr>
        <w:autoSpaceDE w:val="0"/>
        <w:autoSpaceDN w:val="0"/>
        <w:adjustRightInd w:val="0"/>
        <w:spacing w:after="0" w:line="360" w:lineRule="auto"/>
        <w:jc w:val="both"/>
        <w:rPr>
          <w:rFonts w:ascii="Garamond" w:hAnsi="Garamond" w:cs="Times New Roman"/>
          <w:sz w:val="24"/>
          <w:szCs w:val="24"/>
        </w:rPr>
      </w:pPr>
    </w:p>
    <w:p w:rsidR="007F618F" w:rsidRPr="007F618F" w:rsidRDefault="00FD7E5F" w:rsidP="00FD7E5F">
      <w:pPr>
        <w:pStyle w:val="Heading2"/>
      </w:pPr>
      <w:bookmarkStart w:id="316" w:name="_Toc263452013"/>
      <w:bookmarkStart w:id="317" w:name="_Toc263510931"/>
      <w:r>
        <w:t>Conclusions: D</w:t>
      </w:r>
      <w:r w:rsidR="007F618F" w:rsidRPr="007F618F">
        <w:t>eveloping activist bodywork</w:t>
      </w:r>
      <w:bookmarkEnd w:id="316"/>
      <w:bookmarkEnd w:id="317"/>
    </w:p>
    <w:p w:rsidR="007F618F" w:rsidRDefault="007F618F" w:rsidP="002049D4">
      <w:pPr>
        <w:autoSpaceDE w:val="0"/>
        <w:autoSpaceDN w:val="0"/>
        <w:adjustRightInd w:val="0"/>
        <w:spacing w:after="0" w:line="360" w:lineRule="auto"/>
        <w:jc w:val="both"/>
        <w:rPr>
          <w:rFonts w:ascii="Garamond" w:hAnsi="Garamond" w:cs="Times New Roman"/>
          <w:sz w:val="24"/>
          <w:szCs w:val="24"/>
        </w:rPr>
      </w:pPr>
    </w:p>
    <w:p w:rsidR="007F618F" w:rsidRDefault="007F618F" w:rsidP="007F618F">
      <w:pPr>
        <w:autoSpaceDE w:val="0"/>
        <w:autoSpaceDN w:val="0"/>
        <w:adjustRightInd w:val="0"/>
        <w:spacing w:after="0" w:line="360" w:lineRule="auto"/>
        <w:jc w:val="both"/>
        <w:rPr>
          <w:rFonts w:ascii="Garamond" w:hAnsi="Garamond" w:cs="Times New Roman"/>
          <w:sz w:val="24"/>
          <w:szCs w:val="24"/>
        </w:rPr>
      </w:pPr>
      <w:r w:rsidRPr="00DB105E">
        <w:rPr>
          <w:rFonts w:ascii="Garamond" w:hAnsi="Garamond" w:cs="Times New Roman"/>
          <w:sz w:val="24"/>
          <w:szCs w:val="24"/>
        </w:rPr>
        <w:t>As mentioned earlier</w:t>
      </w:r>
      <w:r>
        <w:rPr>
          <w:rFonts w:ascii="Garamond" w:hAnsi="Garamond" w:cs="Times New Roman"/>
          <w:sz w:val="24"/>
          <w:szCs w:val="24"/>
        </w:rPr>
        <w:t xml:space="preserve"> in this chapter</w:t>
      </w:r>
      <w:r w:rsidRPr="00DB105E">
        <w:rPr>
          <w:rFonts w:ascii="Garamond" w:hAnsi="Garamond" w:cs="Times New Roman"/>
          <w:sz w:val="24"/>
          <w:szCs w:val="24"/>
        </w:rPr>
        <w:t>, I began this project with Morton's (2000) literary trope that describes the abolitionist process of socially contaminating food (the blood-sugar topos). Through a series of preliminary studies I investigated how the trope fitted with other types of food boycotts and activisms and created a taxonomy of activist somatic interventions across various s</w:t>
      </w:r>
      <w:r w:rsidR="006500C4">
        <w:rPr>
          <w:rFonts w:ascii="Garamond" w:hAnsi="Garamond" w:cs="Times New Roman"/>
          <w:sz w:val="24"/>
          <w:szCs w:val="24"/>
        </w:rPr>
        <w:t>ocial movements (see Table 1</w:t>
      </w:r>
      <w:r w:rsidRPr="00DB105E">
        <w:rPr>
          <w:rFonts w:ascii="Garamond" w:hAnsi="Garamond" w:cs="Times New Roman"/>
          <w:sz w:val="24"/>
          <w:szCs w:val="24"/>
        </w:rPr>
        <w:t xml:space="preserve">). The taxonomy enabled three things: it created different </w:t>
      </w:r>
      <w:r>
        <w:rPr>
          <w:rFonts w:ascii="Garamond" w:hAnsi="Garamond" w:cs="Times New Roman"/>
          <w:sz w:val="24"/>
          <w:szCs w:val="24"/>
        </w:rPr>
        <w:t xml:space="preserve">somatic </w:t>
      </w:r>
      <w:r w:rsidRPr="00DB105E">
        <w:rPr>
          <w:rFonts w:ascii="Garamond" w:hAnsi="Garamond" w:cs="Times New Roman"/>
          <w:sz w:val="24"/>
          <w:szCs w:val="24"/>
        </w:rPr>
        <w:t>variables and types; it allowed for temporal and spatial comparison; and</w:t>
      </w:r>
      <w:r>
        <w:rPr>
          <w:rFonts w:ascii="Garamond" w:hAnsi="Garamond" w:cs="Times New Roman"/>
          <w:sz w:val="24"/>
          <w:szCs w:val="24"/>
        </w:rPr>
        <w:t xml:space="preserve"> it forged</w:t>
      </w:r>
      <w:r w:rsidRPr="00DB105E">
        <w:rPr>
          <w:rFonts w:ascii="Garamond" w:hAnsi="Garamond" w:cs="Times New Roman"/>
          <w:sz w:val="24"/>
          <w:szCs w:val="24"/>
        </w:rPr>
        <w:t xml:space="preserve"> distance from Morton's trope. This distance enabled a view of the anti</w:t>
      </w:r>
      <w:r>
        <w:rPr>
          <w:rFonts w:ascii="Garamond" w:hAnsi="Garamond" w:cs="Times New Roman"/>
          <w:sz w:val="24"/>
          <w:szCs w:val="24"/>
        </w:rPr>
        <w:t>-</w:t>
      </w:r>
      <w:r w:rsidRPr="00DB105E">
        <w:rPr>
          <w:rFonts w:ascii="Garamond" w:hAnsi="Garamond" w:cs="Times New Roman"/>
          <w:sz w:val="24"/>
          <w:szCs w:val="24"/>
        </w:rPr>
        <w:t>saccharite blood-sugar topos as progenitor to other blood-commodity topoi that continue to i</w:t>
      </w:r>
      <w:r w:rsidR="006500C4">
        <w:rPr>
          <w:rFonts w:ascii="Garamond" w:hAnsi="Garamond" w:cs="Times New Roman"/>
          <w:sz w:val="24"/>
          <w:szCs w:val="24"/>
        </w:rPr>
        <w:t>nfluence social movements today. M</w:t>
      </w:r>
      <w:r w:rsidRPr="00DB105E">
        <w:rPr>
          <w:rFonts w:ascii="Garamond" w:hAnsi="Garamond" w:cs="Times New Roman"/>
          <w:sz w:val="24"/>
          <w:szCs w:val="24"/>
        </w:rPr>
        <w:t>ore importantly</w:t>
      </w:r>
      <w:r w:rsidR="006500C4">
        <w:rPr>
          <w:rFonts w:ascii="Garamond" w:hAnsi="Garamond" w:cs="Times New Roman"/>
          <w:sz w:val="24"/>
          <w:szCs w:val="24"/>
        </w:rPr>
        <w:t>,</w:t>
      </w:r>
      <w:r w:rsidRPr="00DB105E">
        <w:rPr>
          <w:rFonts w:ascii="Garamond" w:hAnsi="Garamond" w:cs="Times New Roman"/>
          <w:sz w:val="24"/>
          <w:szCs w:val="24"/>
        </w:rPr>
        <w:t xml:space="preserve"> it showed that the blood-sugar topos was one of many body-food</w:t>
      </w:r>
      <w:r>
        <w:rPr>
          <w:rFonts w:ascii="Garamond" w:hAnsi="Garamond" w:cs="Times New Roman"/>
          <w:sz w:val="24"/>
          <w:szCs w:val="24"/>
        </w:rPr>
        <w:t xml:space="preserve"> topoi produced by boycotters. H</w:t>
      </w:r>
      <w:r w:rsidRPr="00DB105E">
        <w:rPr>
          <w:rFonts w:ascii="Garamond" w:hAnsi="Garamond" w:cs="Times New Roman"/>
          <w:sz w:val="24"/>
          <w:szCs w:val="24"/>
        </w:rPr>
        <w:t>istorical research on the Swadeshi movement and preliminary correspondence with Fatal Transactions demonstrated to me that a concept was required which could encompass activists working through and with a range of commodities and corporeal parts</w:t>
      </w:r>
      <w:r>
        <w:rPr>
          <w:rFonts w:ascii="Garamond" w:hAnsi="Garamond" w:cs="Times New Roman"/>
          <w:sz w:val="24"/>
          <w:szCs w:val="24"/>
        </w:rPr>
        <w:t xml:space="preserve">, </w:t>
      </w:r>
      <w:r w:rsidRPr="00DB105E">
        <w:rPr>
          <w:rFonts w:ascii="Garamond" w:hAnsi="Garamond" w:cs="Times New Roman"/>
          <w:sz w:val="24"/>
          <w:szCs w:val="24"/>
        </w:rPr>
        <w:t>substances</w:t>
      </w:r>
      <w:r>
        <w:rPr>
          <w:rFonts w:ascii="Garamond" w:hAnsi="Garamond" w:cs="Times New Roman"/>
          <w:sz w:val="24"/>
          <w:szCs w:val="24"/>
        </w:rPr>
        <w:t xml:space="preserve"> and emotions</w:t>
      </w:r>
      <w:r w:rsidRPr="00DB105E">
        <w:rPr>
          <w:rFonts w:ascii="Garamond" w:hAnsi="Garamond" w:cs="Times New Roman"/>
          <w:sz w:val="24"/>
          <w:szCs w:val="24"/>
        </w:rPr>
        <w:t>.</w:t>
      </w:r>
      <w:r>
        <w:rPr>
          <w:rFonts w:ascii="Garamond" w:hAnsi="Garamond" w:cs="Times New Roman"/>
          <w:sz w:val="24"/>
          <w:szCs w:val="24"/>
        </w:rPr>
        <w:t xml:space="preserve"> </w:t>
      </w:r>
    </w:p>
    <w:p w:rsidR="007F618F" w:rsidRDefault="007F618F" w:rsidP="007F618F">
      <w:pPr>
        <w:autoSpaceDE w:val="0"/>
        <w:autoSpaceDN w:val="0"/>
        <w:adjustRightInd w:val="0"/>
        <w:spacing w:after="0" w:line="360" w:lineRule="auto"/>
        <w:jc w:val="both"/>
        <w:rPr>
          <w:rFonts w:ascii="Garamond" w:hAnsi="Garamond" w:cs="Times New Roman"/>
          <w:sz w:val="24"/>
          <w:szCs w:val="24"/>
        </w:rPr>
      </w:pPr>
    </w:p>
    <w:p w:rsidR="007F618F" w:rsidRDefault="007F618F" w:rsidP="007F618F">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Borrowing a phrase that is used by alternative medicine</w:t>
      </w:r>
      <w:r w:rsidR="006500C4">
        <w:rPr>
          <w:rFonts w:ascii="Garamond" w:hAnsi="Garamond" w:cs="Times New Roman"/>
          <w:sz w:val="24"/>
          <w:szCs w:val="24"/>
        </w:rPr>
        <w:t xml:space="preserve"> practitioners to denote entire mind-</w:t>
      </w:r>
      <w:r>
        <w:rPr>
          <w:rFonts w:ascii="Garamond" w:hAnsi="Garamond" w:cs="Times New Roman"/>
          <w:sz w:val="24"/>
          <w:szCs w:val="24"/>
        </w:rPr>
        <w:t>body healing,</w:t>
      </w:r>
      <w:r w:rsidRPr="00DB105E">
        <w:rPr>
          <w:rFonts w:ascii="Garamond" w:hAnsi="Garamond" w:cs="Times New Roman"/>
          <w:sz w:val="24"/>
          <w:szCs w:val="24"/>
        </w:rPr>
        <w:t xml:space="preserve"> </w:t>
      </w:r>
      <w:r>
        <w:rPr>
          <w:rFonts w:ascii="Garamond" w:hAnsi="Garamond" w:cs="Times New Roman"/>
          <w:sz w:val="24"/>
          <w:szCs w:val="24"/>
        </w:rPr>
        <w:t>I created the concept</w:t>
      </w:r>
      <w:r w:rsidRPr="00DB105E">
        <w:rPr>
          <w:rFonts w:ascii="Garamond" w:hAnsi="Garamond" w:cs="Times New Roman"/>
          <w:sz w:val="24"/>
          <w:szCs w:val="24"/>
        </w:rPr>
        <w:t xml:space="preserve"> 'commodity b</w:t>
      </w:r>
      <w:r w:rsidR="006500C4">
        <w:rPr>
          <w:rFonts w:ascii="Garamond" w:hAnsi="Garamond" w:cs="Times New Roman"/>
          <w:sz w:val="24"/>
          <w:szCs w:val="24"/>
        </w:rPr>
        <w:t>odywork'. ‘B</w:t>
      </w:r>
      <w:r w:rsidRPr="00DB105E">
        <w:rPr>
          <w:rFonts w:ascii="Garamond" w:hAnsi="Garamond" w:cs="Times New Roman"/>
          <w:sz w:val="24"/>
          <w:szCs w:val="24"/>
        </w:rPr>
        <w:t>odywork</w:t>
      </w:r>
      <w:r w:rsidR="006500C4">
        <w:rPr>
          <w:rFonts w:ascii="Garamond" w:hAnsi="Garamond" w:cs="Times New Roman"/>
          <w:sz w:val="24"/>
          <w:szCs w:val="24"/>
        </w:rPr>
        <w:t>’</w:t>
      </w:r>
      <w:r w:rsidRPr="00DB105E">
        <w:rPr>
          <w:rFonts w:ascii="Garamond" w:hAnsi="Garamond" w:cs="Times New Roman"/>
          <w:sz w:val="24"/>
          <w:szCs w:val="24"/>
        </w:rPr>
        <w:t xml:space="preserve"> is a</w:t>
      </w:r>
      <w:r>
        <w:rPr>
          <w:rFonts w:ascii="Garamond" w:hAnsi="Garamond" w:cs="Times New Roman"/>
          <w:sz w:val="24"/>
          <w:szCs w:val="24"/>
        </w:rPr>
        <w:t>n term</w:t>
      </w:r>
      <w:r w:rsidRPr="00DB105E">
        <w:rPr>
          <w:rFonts w:ascii="Garamond" w:hAnsi="Garamond" w:cs="Times New Roman"/>
          <w:sz w:val="24"/>
          <w:szCs w:val="24"/>
        </w:rPr>
        <w:t xml:space="preserve"> that signifies activism through commodities and bodies, a concept that captures a range of affects, practices and processes, a word that plays on the double-meaning of </w:t>
      </w:r>
      <w:r>
        <w:rPr>
          <w:rFonts w:ascii="Garamond" w:hAnsi="Garamond" w:cs="Times New Roman"/>
          <w:sz w:val="24"/>
          <w:szCs w:val="24"/>
        </w:rPr>
        <w:t>‘</w:t>
      </w:r>
      <w:r w:rsidRPr="00DB105E">
        <w:rPr>
          <w:rFonts w:ascii="Garamond" w:hAnsi="Garamond" w:cs="Times New Roman"/>
          <w:sz w:val="24"/>
          <w:szCs w:val="24"/>
        </w:rPr>
        <w:t>work</w:t>
      </w:r>
      <w:r>
        <w:rPr>
          <w:rFonts w:ascii="Garamond" w:hAnsi="Garamond" w:cs="Times New Roman"/>
          <w:sz w:val="24"/>
          <w:szCs w:val="24"/>
        </w:rPr>
        <w:t>’</w:t>
      </w:r>
      <w:r w:rsidRPr="00DB105E">
        <w:rPr>
          <w:rFonts w:ascii="Garamond" w:hAnsi="Garamond" w:cs="Times New Roman"/>
          <w:sz w:val="24"/>
          <w:szCs w:val="24"/>
        </w:rPr>
        <w:t xml:space="preserve"> to suggest that those practices require unspecified types of labour and do unspecified types of work on bodies. Work is also achieved through the </w:t>
      </w:r>
      <w:r>
        <w:rPr>
          <w:rFonts w:ascii="Garamond" w:hAnsi="Garamond" w:cs="Times New Roman"/>
          <w:sz w:val="24"/>
          <w:szCs w:val="24"/>
        </w:rPr>
        <w:t xml:space="preserve">latent </w:t>
      </w:r>
      <w:r w:rsidRPr="00DB105E">
        <w:rPr>
          <w:rFonts w:ascii="Garamond" w:hAnsi="Garamond" w:cs="Times New Roman"/>
          <w:sz w:val="24"/>
          <w:szCs w:val="24"/>
        </w:rPr>
        <w:t xml:space="preserve">materialities of particular commodities. While Morton's blood-sugar topos is a literary trope, commodity bodywork wants to investigate the process, the immanence and material effects of topoi. </w:t>
      </w:r>
      <w:r>
        <w:rPr>
          <w:rFonts w:ascii="Garamond" w:hAnsi="Garamond" w:cs="Times New Roman"/>
          <w:sz w:val="24"/>
          <w:szCs w:val="24"/>
        </w:rPr>
        <w:t xml:space="preserve">During </w:t>
      </w:r>
      <w:r w:rsidRPr="00DB105E">
        <w:rPr>
          <w:rFonts w:ascii="Garamond" w:hAnsi="Garamond" w:cs="Times New Roman"/>
          <w:sz w:val="24"/>
          <w:szCs w:val="24"/>
        </w:rPr>
        <w:t>research on the BOA's anti-white migration campaign, commodity bodywork became acti</w:t>
      </w:r>
      <w:r>
        <w:rPr>
          <w:rFonts w:ascii="Garamond" w:hAnsi="Garamond" w:cs="Times New Roman"/>
          <w:sz w:val="24"/>
          <w:szCs w:val="24"/>
        </w:rPr>
        <w:t>vist bodywork. The transition from</w:t>
      </w:r>
      <w:r w:rsidRPr="00DB105E">
        <w:rPr>
          <w:rFonts w:ascii="Garamond" w:hAnsi="Garamond" w:cs="Times New Roman"/>
          <w:sz w:val="24"/>
          <w:szCs w:val="24"/>
        </w:rPr>
        <w:t xml:space="preserve"> </w:t>
      </w:r>
      <w:r>
        <w:rPr>
          <w:rFonts w:ascii="Garamond" w:hAnsi="Garamond" w:cs="Times New Roman"/>
          <w:sz w:val="24"/>
          <w:szCs w:val="24"/>
        </w:rPr>
        <w:t>‘</w:t>
      </w:r>
      <w:r w:rsidRPr="00DB105E">
        <w:rPr>
          <w:rFonts w:ascii="Garamond" w:hAnsi="Garamond" w:cs="Times New Roman"/>
          <w:sz w:val="24"/>
          <w:szCs w:val="24"/>
        </w:rPr>
        <w:t>commodity</w:t>
      </w:r>
      <w:r>
        <w:rPr>
          <w:rFonts w:ascii="Garamond" w:hAnsi="Garamond" w:cs="Times New Roman"/>
          <w:sz w:val="24"/>
          <w:szCs w:val="24"/>
        </w:rPr>
        <w:t>’</w:t>
      </w:r>
      <w:r w:rsidRPr="00DB105E">
        <w:rPr>
          <w:rFonts w:ascii="Garamond" w:hAnsi="Garamond" w:cs="Times New Roman"/>
          <w:sz w:val="24"/>
          <w:szCs w:val="24"/>
        </w:rPr>
        <w:t xml:space="preserve"> to </w:t>
      </w:r>
      <w:r>
        <w:rPr>
          <w:rFonts w:ascii="Garamond" w:hAnsi="Garamond" w:cs="Times New Roman"/>
          <w:sz w:val="24"/>
          <w:szCs w:val="24"/>
        </w:rPr>
        <w:t>‘</w:t>
      </w:r>
      <w:r w:rsidRPr="00DB105E">
        <w:rPr>
          <w:rFonts w:ascii="Garamond" w:hAnsi="Garamond" w:cs="Times New Roman"/>
          <w:sz w:val="24"/>
          <w:szCs w:val="24"/>
        </w:rPr>
        <w:t>activist</w:t>
      </w:r>
      <w:r>
        <w:rPr>
          <w:rFonts w:ascii="Garamond" w:hAnsi="Garamond" w:cs="Times New Roman"/>
          <w:sz w:val="24"/>
          <w:szCs w:val="24"/>
        </w:rPr>
        <w:t>’</w:t>
      </w:r>
      <w:r w:rsidRPr="00DB105E">
        <w:rPr>
          <w:rFonts w:ascii="Garamond" w:hAnsi="Garamond" w:cs="Times New Roman"/>
          <w:sz w:val="24"/>
          <w:szCs w:val="24"/>
        </w:rPr>
        <w:t xml:space="preserve"> as a prefix to </w:t>
      </w:r>
      <w:r>
        <w:rPr>
          <w:rFonts w:ascii="Garamond" w:hAnsi="Garamond" w:cs="Times New Roman"/>
          <w:sz w:val="24"/>
          <w:szCs w:val="24"/>
        </w:rPr>
        <w:t>‘</w:t>
      </w:r>
      <w:r w:rsidRPr="00DB105E">
        <w:rPr>
          <w:rFonts w:ascii="Garamond" w:hAnsi="Garamond" w:cs="Times New Roman"/>
          <w:sz w:val="24"/>
          <w:szCs w:val="24"/>
        </w:rPr>
        <w:t>bodywork</w:t>
      </w:r>
      <w:r>
        <w:rPr>
          <w:rFonts w:ascii="Garamond" w:hAnsi="Garamond" w:cs="Times New Roman"/>
          <w:sz w:val="24"/>
          <w:szCs w:val="24"/>
        </w:rPr>
        <w:t>’</w:t>
      </w:r>
      <w:r w:rsidRPr="00DB105E">
        <w:rPr>
          <w:rFonts w:ascii="Garamond" w:hAnsi="Garamond" w:cs="Times New Roman"/>
          <w:sz w:val="24"/>
          <w:szCs w:val="24"/>
        </w:rPr>
        <w:t xml:space="preserve"> </w:t>
      </w:r>
      <w:r>
        <w:rPr>
          <w:rFonts w:ascii="Garamond" w:hAnsi="Garamond" w:cs="Times New Roman"/>
          <w:sz w:val="24"/>
          <w:szCs w:val="24"/>
        </w:rPr>
        <w:t>was influenced</w:t>
      </w:r>
      <w:r w:rsidRPr="00DB105E">
        <w:rPr>
          <w:rFonts w:ascii="Garamond" w:hAnsi="Garamond" w:cs="Times New Roman"/>
          <w:sz w:val="24"/>
          <w:szCs w:val="24"/>
        </w:rPr>
        <w:t xml:space="preserve"> by st</w:t>
      </w:r>
      <w:r>
        <w:rPr>
          <w:rFonts w:ascii="Garamond" w:hAnsi="Garamond" w:cs="Times New Roman"/>
          <w:sz w:val="24"/>
          <w:szCs w:val="24"/>
        </w:rPr>
        <w:t xml:space="preserve">udying the relationships between </w:t>
      </w:r>
      <w:r w:rsidRPr="00DB105E">
        <w:rPr>
          <w:rFonts w:ascii="Garamond" w:hAnsi="Garamond" w:cs="Times New Roman"/>
          <w:sz w:val="24"/>
          <w:szCs w:val="24"/>
        </w:rPr>
        <w:t xml:space="preserve">campaigns that socially </w:t>
      </w:r>
      <w:r w:rsidRPr="00DB105E">
        <w:rPr>
          <w:rFonts w:ascii="Garamond" w:hAnsi="Garamond" w:cs="Times New Roman"/>
          <w:sz w:val="24"/>
          <w:szCs w:val="24"/>
        </w:rPr>
        <w:lastRenderedPageBreak/>
        <w:t>contaminated citrus and chocolate with campaigns that used similar methods to socially contaminate</w:t>
      </w:r>
      <w:r>
        <w:rPr>
          <w:rFonts w:ascii="Garamond" w:hAnsi="Garamond" w:cs="Times New Roman"/>
          <w:sz w:val="24"/>
          <w:szCs w:val="24"/>
        </w:rPr>
        <w:t xml:space="preserve"> </w:t>
      </w:r>
      <w:r w:rsidRPr="00DB105E">
        <w:rPr>
          <w:rFonts w:ascii="Garamond" w:hAnsi="Garamond" w:cs="Times New Roman"/>
          <w:sz w:val="24"/>
          <w:szCs w:val="24"/>
        </w:rPr>
        <w:t>bodies (specifically the white migrant and the trafficking smuggler).</w:t>
      </w:r>
      <w:r>
        <w:rPr>
          <w:rFonts w:ascii="Garamond" w:hAnsi="Garamond" w:cs="Times New Roman"/>
          <w:sz w:val="24"/>
          <w:szCs w:val="24"/>
        </w:rPr>
        <w:t xml:space="preserve"> This was a key moment as it signalled that the tropes of contamination could be harnessed with or without a specific commodity in tow. </w:t>
      </w:r>
    </w:p>
    <w:p w:rsidR="007F618F" w:rsidRDefault="007F618F" w:rsidP="007F618F">
      <w:pPr>
        <w:autoSpaceDE w:val="0"/>
        <w:autoSpaceDN w:val="0"/>
        <w:adjustRightInd w:val="0"/>
        <w:spacing w:after="0" w:line="360" w:lineRule="auto"/>
        <w:jc w:val="both"/>
        <w:rPr>
          <w:rFonts w:ascii="Garamond" w:hAnsi="Garamond" w:cs="Times New Roman"/>
          <w:sz w:val="24"/>
          <w:szCs w:val="24"/>
        </w:rPr>
      </w:pPr>
    </w:p>
    <w:p w:rsidR="007F618F" w:rsidRDefault="007F618F" w:rsidP="007F618F">
      <w:pPr>
        <w:autoSpaceDE w:val="0"/>
        <w:autoSpaceDN w:val="0"/>
        <w:adjustRightInd w:val="0"/>
        <w:spacing w:after="0" w:line="360" w:lineRule="auto"/>
        <w:jc w:val="both"/>
        <w:rPr>
          <w:rFonts w:ascii="Garamond" w:hAnsi="Garamond" w:cs="Arial"/>
          <w:sz w:val="24"/>
          <w:szCs w:val="24"/>
          <w:shd w:val="clear" w:color="auto" w:fill="FFFFFF"/>
        </w:rPr>
      </w:pPr>
      <w:r>
        <w:rPr>
          <w:rFonts w:ascii="Garamond" w:hAnsi="Garamond" w:cs="AdvP6EC0"/>
          <w:sz w:val="24"/>
          <w:szCs w:val="24"/>
        </w:rPr>
        <w:t xml:space="preserve">Across the thesis, activist bodywork describes the practices and methods used by activist organizations to create body-commodity-body, body-commodity, body-place, and body-emotion connections. As a study of socio-material connective practices, it refuses to take activist descriptions of ethical relations at face value; bodywork offers conceptual tools to examine how terms such as 'ethical', 'solidarity' and 'responsibility' are put into practice by activists. </w:t>
      </w:r>
      <w:r>
        <w:rPr>
          <w:rFonts w:ascii="Garamond" w:hAnsi="Garamond" w:cs="Arial"/>
          <w:sz w:val="24"/>
          <w:szCs w:val="24"/>
          <w:shd w:val="clear" w:color="auto" w:fill="FFFFFF"/>
        </w:rPr>
        <w:t xml:space="preserve">Across the chapters I show how activist bodywork configures pity, human rights discourse, universalized ideal of childhood and global responsibility (Chapter Four), antiracist solidarity (Chapter Six), </w:t>
      </w:r>
      <w:r w:rsidR="006500C4">
        <w:rPr>
          <w:rFonts w:ascii="Garamond" w:hAnsi="Garamond" w:cs="Arial"/>
          <w:sz w:val="24"/>
          <w:szCs w:val="24"/>
          <w:shd w:val="clear" w:color="auto" w:fill="FFFFFF"/>
        </w:rPr>
        <w:t xml:space="preserve">and </w:t>
      </w:r>
      <w:r>
        <w:rPr>
          <w:rFonts w:ascii="Garamond" w:hAnsi="Garamond" w:cs="Arial"/>
          <w:sz w:val="24"/>
          <w:szCs w:val="24"/>
          <w:shd w:val="clear" w:color="auto" w:fill="FFFFFF"/>
        </w:rPr>
        <w:t xml:space="preserve">responsibility (Chapter Four), through making visible, or sensible, "specific ontologies of corporeal intersubjectivity" (Diprose, 2002:14). These specific ontologies are revealing of power relations. Activist bodywork develops on </w:t>
      </w:r>
      <w:r w:rsidR="006500C4">
        <w:rPr>
          <w:rFonts w:ascii="Garamond" w:hAnsi="Garamond" w:cs="Arial"/>
          <w:sz w:val="24"/>
          <w:szCs w:val="24"/>
          <w:shd w:val="clear" w:color="auto" w:fill="FFFFFF"/>
        </w:rPr>
        <w:t xml:space="preserve">Beasley and Bacchi’s </w:t>
      </w:r>
      <w:r>
        <w:rPr>
          <w:rFonts w:ascii="Garamond" w:hAnsi="Garamond" w:cs="Arial"/>
          <w:sz w:val="24"/>
          <w:szCs w:val="24"/>
          <w:shd w:val="clear" w:color="auto" w:fill="FFFFFF"/>
        </w:rPr>
        <w:t>new ethico-political concept of 'social flesh':</w:t>
      </w:r>
    </w:p>
    <w:p w:rsidR="007F618F" w:rsidRDefault="007F618F" w:rsidP="007F618F">
      <w:pPr>
        <w:autoSpaceDE w:val="0"/>
        <w:autoSpaceDN w:val="0"/>
        <w:adjustRightInd w:val="0"/>
        <w:spacing w:after="0" w:line="360" w:lineRule="auto"/>
        <w:jc w:val="both"/>
        <w:rPr>
          <w:rFonts w:ascii="Garamond" w:hAnsi="Garamond" w:cs="Arial"/>
          <w:sz w:val="24"/>
          <w:szCs w:val="24"/>
          <w:shd w:val="clear" w:color="auto" w:fill="FFFFFF"/>
        </w:rPr>
      </w:pPr>
    </w:p>
    <w:p w:rsidR="007F618F" w:rsidRPr="00592B1C" w:rsidRDefault="007F618F" w:rsidP="007F618F">
      <w:pPr>
        <w:autoSpaceDE w:val="0"/>
        <w:autoSpaceDN w:val="0"/>
        <w:adjustRightInd w:val="0"/>
        <w:spacing w:after="0" w:line="360" w:lineRule="auto"/>
        <w:ind w:left="284" w:right="284"/>
        <w:jc w:val="both"/>
        <w:rPr>
          <w:rFonts w:ascii="Garamond" w:hAnsi="Garamond" w:cs="Melior"/>
        </w:rPr>
      </w:pPr>
      <w:r w:rsidRPr="00592B1C">
        <w:rPr>
          <w:rFonts w:ascii="Garamond" w:hAnsi="Garamond" w:cs="Melior"/>
        </w:rPr>
        <w:t xml:space="preserve">As an ethico-political starting point, ‘social flesh’ highlights human embodied interdependence. By drawing attention to shared embodied reliance, </w:t>
      </w:r>
      <w:r w:rsidRPr="00592B1C">
        <w:rPr>
          <w:rFonts w:ascii="Garamond" w:hAnsi="Garamond" w:cs="Melior-Italic"/>
          <w:i/>
          <w:iCs/>
        </w:rPr>
        <w:t xml:space="preserve">mutual </w:t>
      </w:r>
      <w:r w:rsidRPr="00592B1C">
        <w:rPr>
          <w:rFonts w:ascii="Garamond" w:hAnsi="Garamond" w:cs="Melior"/>
        </w:rPr>
        <w:t>reliance, of people across the globe on social space, infrastructure and resources, it offers a decided challenge to neo-liberal conceptions of the autonomous self and removes the social distance and always already given distinction between ‘strong’ and ‘weak’. There is no sense here of ‘givers’ and ‘receivers’; rather we are all recognized as receivers of socially generated goods and services.</w:t>
      </w:r>
      <w:r>
        <w:rPr>
          <w:rFonts w:ascii="Garamond" w:hAnsi="Garamond" w:cs="Melior"/>
        </w:rPr>
        <w:t>..</w:t>
      </w:r>
      <w:r w:rsidRPr="00592B1C">
        <w:rPr>
          <w:rFonts w:ascii="Garamond" w:hAnsi="Garamond" w:cs="Melior"/>
        </w:rPr>
        <w:t>But what does this mean for undertaking social analysis? What techniques might such a political metaphor bring to bear? (2007: 291</w:t>
      </w:r>
      <w:r>
        <w:rPr>
          <w:rFonts w:ascii="Garamond" w:hAnsi="Garamond" w:cs="Melior"/>
        </w:rPr>
        <w:t>-293</w:t>
      </w:r>
      <w:r w:rsidRPr="00592B1C">
        <w:rPr>
          <w:rFonts w:ascii="Garamond" w:hAnsi="Garamond" w:cs="Melior"/>
        </w:rPr>
        <w:t>)</w:t>
      </w:r>
    </w:p>
    <w:p w:rsidR="007F618F" w:rsidRPr="00592B1C" w:rsidRDefault="007F618F" w:rsidP="007F618F">
      <w:pPr>
        <w:autoSpaceDE w:val="0"/>
        <w:autoSpaceDN w:val="0"/>
        <w:adjustRightInd w:val="0"/>
        <w:spacing w:after="0" w:line="360" w:lineRule="auto"/>
        <w:ind w:left="284" w:right="521"/>
        <w:jc w:val="both"/>
        <w:rPr>
          <w:rFonts w:ascii="Garamond" w:hAnsi="Garamond" w:cs="Melior"/>
          <w:sz w:val="24"/>
          <w:szCs w:val="24"/>
        </w:rPr>
      </w:pPr>
    </w:p>
    <w:p w:rsidR="007F618F" w:rsidRDefault="007F618F" w:rsidP="007F618F">
      <w:pPr>
        <w:autoSpaceDE w:val="0"/>
        <w:autoSpaceDN w:val="0"/>
        <w:adjustRightInd w:val="0"/>
        <w:spacing w:after="0" w:line="360" w:lineRule="auto"/>
        <w:ind w:right="-46"/>
        <w:jc w:val="both"/>
        <w:rPr>
          <w:rFonts w:ascii="Garamond" w:hAnsi="Garamond" w:cs="RotisSemiSans-Bold"/>
          <w:bCs/>
          <w:sz w:val="24"/>
          <w:szCs w:val="24"/>
        </w:rPr>
      </w:pPr>
      <w:r>
        <w:rPr>
          <w:rFonts w:ascii="Garamond" w:hAnsi="Garamond" w:cs="Melior"/>
          <w:sz w:val="24"/>
          <w:szCs w:val="24"/>
        </w:rPr>
        <w:t>To answer their own question, Beasley</w:t>
      </w:r>
      <w:r w:rsidR="006500C4">
        <w:rPr>
          <w:rFonts w:ascii="Garamond" w:hAnsi="Garamond" w:cs="Melior"/>
          <w:sz w:val="24"/>
          <w:szCs w:val="24"/>
        </w:rPr>
        <w:t xml:space="preserve"> and Bacchi</w:t>
      </w:r>
      <w:r>
        <w:rPr>
          <w:rFonts w:ascii="Garamond" w:hAnsi="Garamond" w:cs="Melior"/>
          <w:sz w:val="24"/>
          <w:szCs w:val="24"/>
        </w:rPr>
        <w:t xml:space="preserve"> propose that </w:t>
      </w:r>
      <w:r w:rsidRPr="00133067">
        <w:rPr>
          <w:rFonts w:ascii="Garamond" w:hAnsi="Garamond" w:cs="Melior"/>
          <w:sz w:val="24"/>
          <w:szCs w:val="24"/>
        </w:rPr>
        <w:t>"</w:t>
      </w:r>
      <w:r>
        <w:rPr>
          <w:rFonts w:ascii="Garamond" w:hAnsi="Garamond" w:cs="RotisSemiSans-Bold"/>
          <w:bCs/>
          <w:sz w:val="24"/>
          <w:szCs w:val="24"/>
        </w:rPr>
        <w:t>s</w:t>
      </w:r>
      <w:r w:rsidRPr="00133067">
        <w:rPr>
          <w:rFonts w:ascii="Garamond" w:hAnsi="Garamond" w:cs="RotisSemiSans-Bold"/>
          <w:bCs/>
          <w:sz w:val="24"/>
          <w:szCs w:val="24"/>
        </w:rPr>
        <w:t>ocial f</w:t>
      </w:r>
      <w:r>
        <w:rPr>
          <w:rFonts w:ascii="Garamond" w:hAnsi="Garamond" w:cs="RotisSemiSans-Bold"/>
          <w:bCs/>
          <w:sz w:val="24"/>
          <w:szCs w:val="24"/>
        </w:rPr>
        <w:t>lesh deployed at policy level…mak[es]</w:t>
      </w:r>
      <w:r w:rsidRPr="00133067">
        <w:rPr>
          <w:rFonts w:ascii="Garamond" w:hAnsi="Garamond" w:cs="RotisSemiSans-Bold"/>
          <w:bCs/>
          <w:sz w:val="24"/>
          <w:szCs w:val="24"/>
        </w:rPr>
        <w:t xml:space="preserve"> distinctions between those deemed to b</w:t>
      </w:r>
      <w:r>
        <w:rPr>
          <w:rFonts w:ascii="Garamond" w:hAnsi="Garamond" w:cs="RotisSemiSans-Bold"/>
          <w:bCs/>
          <w:sz w:val="24"/>
          <w:szCs w:val="24"/>
        </w:rPr>
        <w:t>e controlled by their bodies…</w:t>
      </w:r>
      <w:r w:rsidRPr="00133067">
        <w:rPr>
          <w:rFonts w:ascii="Garamond" w:hAnsi="Garamond" w:cs="RotisSemiSans-Bold"/>
          <w:bCs/>
          <w:sz w:val="24"/>
          <w:szCs w:val="24"/>
        </w:rPr>
        <w:t>against those conceived as having control over their bodies"</w:t>
      </w:r>
      <w:r>
        <w:rPr>
          <w:rFonts w:ascii="Garamond" w:hAnsi="Garamond" w:cs="RotisSemiSans-Bold"/>
          <w:bCs/>
          <w:sz w:val="24"/>
          <w:szCs w:val="24"/>
        </w:rPr>
        <w:t xml:space="preserve"> (2007: 291). Activist bodywork is concerned with these ontologies by unveiling intersubjective power relations. Throughout the thesis I examine which bodies are invested with power by the BOA and STT, and I show that campaigns give agency to particular bodies while representing others. I investigate how racial identities are fixed and reproduced in activist bodywork for various ends (e.g. to forge a politics of pity, </w:t>
      </w:r>
      <w:r w:rsidR="003C7C26">
        <w:rPr>
          <w:rFonts w:ascii="Garamond" w:hAnsi="Garamond" w:cs="RotisSemiSans-Bold"/>
          <w:bCs/>
          <w:sz w:val="24"/>
          <w:szCs w:val="24"/>
        </w:rPr>
        <w:t xml:space="preserve">to </w:t>
      </w:r>
      <w:r>
        <w:rPr>
          <w:rFonts w:ascii="Garamond" w:hAnsi="Garamond" w:cs="RotisSemiSans-Bold"/>
          <w:bCs/>
          <w:sz w:val="24"/>
          <w:szCs w:val="24"/>
        </w:rPr>
        <w:t xml:space="preserve">present hostile threats to whitened universal childhood, to create fear in potential white migrants, to tap into </w:t>
      </w:r>
      <w:r w:rsidR="003C7C26">
        <w:rPr>
          <w:rFonts w:ascii="Garamond" w:hAnsi="Garamond" w:cs="RotisSemiSans-Bold"/>
          <w:bCs/>
          <w:sz w:val="24"/>
          <w:szCs w:val="24"/>
        </w:rPr>
        <w:t xml:space="preserve">historical antislavery tropes), </w:t>
      </w:r>
      <w:r>
        <w:rPr>
          <w:rFonts w:ascii="Garamond" w:hAnsi="Garamond" w:cs="RotisSemiSans-Bold"/>
          <w:bCs/>
          <w:sz w:val="24"/>
          <w:szCs w:val="24"/>
        </w:rPr>
        <w:t xml:space="preserve">but race is one of the many affective registers and </w:t>
      </w:r>
      <w:r>
        <w:rPr>
          <w:rFonts w:ascii="Garamond" w:hAnsi="Garamond" w:cs="RotisSemiSans-Bold"/>
          <w:bCs/>
          <w:sz w:val="24"/>
          <w:szCs w:val="24"/>
        </w:rPr>
        <w:lastRenderedPageBreak/>
        <w:t xml:space="preserve">subjectivity-making exercises performed by activist bodywork. Outlining these simple corporeal power dynamics played out in the campaigns of both organizations and their wider movements forms the basis of a material critique of anti-apartheid solidarity in Chapters Five and Seven, and a critique of the politics of globalizing chocolate responsibility in Chapter Four – a politics that Beasley and Bacchi would, no doubt, describe as part of the ethos of "atomistic individualism" (ibid: 293). In other words, activist bodywork proffers both a potential policy instrument and an analytical tool for </w:t>
      </w:r>
      <w:r w:rsidR="006500C4">
        <w:rPr>
          <w:rFonts w:ascii="Garamond" w:hAnsi="Garamond" w:cs="RotisSemiSans-Bold"/>
          <w:bCs/>
          <w:sz w:val="24"/>
          <w:szCs w:val="24"/>
        </w:rPr>
        <w:t>Beasley and Bacchi’s</w:t>
      </w:r>
      <w:r>
        <w:rPr>
          <w:rFonts w:ascii="Garamond" w:hAnsi="Garamond" w:cs="RotisSemiSans-Bold"/>
          <w:bCs/>
          <w:sz w:val="24"/>
          <w:szCs w:val="24"/>
        </w:rPr>
        <w:t xml:space="preserve"> political metaphor of social flesh. </w:t>
      </w:r>
    </w:p>
    <w:p w:rsidR="007F618F" w:rsidRDefault="007F618F" w:rsidP="007F618F">
      <w:pPr>
        <w:autoSpaceDE w:val="0"/>
        <w:autoSpaceDN w:val="0"/>
        <w:adjustRightInd w:val="0"/>
        <w:spacing w:after="0" w:line="360" w:lineRule="auto"/>
        <w:ind w:right="-46"/>
        <w:jc w:val="both"/>
        <w:rPr>
          <w:rFonts w:ascii="Garamond" w:hAnsi="Garamond" w:cs="RotisSemiSans-Bold"/>
          <w:bCs/>
          <w:sz w:val="24"/>
          <w:szCs w:val="24"/>
        </w:rPr>
      </w:pPr>
    </w:p>
    <w:p w:rsidR="007F618F" w:rsidRPr="00011A1C" w:rsidRDefault="007F618F" w:rsidP="007F618F">
      <w:pPr>
        <w:autoSpaceDE w:val="0"/>
        <w:autoSpaceDN w:val="0"/>
        <w:adjustRightInd w:val="0"/>
        <w:spacing w:after="0" w:line="360" w:lineRule="auto"/>
        <w:ind w:right="-46"/>
        <w:jc w:val="both"/>
        <w:rPr>
          <w:rFonts w:ascii="Garamond" w:hAnsi="Garamond" w:cs="Melior"/>
          <w:sz w:val="24"/>
          <w:szCs w:val="24"/>
        </w:rPr>
      </w:pPr>
      <w:r>
        <w:rPr>
          <w:rFonts w:ascii="Garamond" w:hAnsi="Garamond" w:cs="RotisSemiSans-Bold"/>
          <w:bCs/>
          <w:sz w:val="24"/>
          <w:szCs w:val="24"/>
        </w:rPr>
        <w:t>While Hayes-Conroy and Martin (2010) investigate 'visceral processes of identification' of the slow food movement, their analysis pertains to understand how identity boundaries (race, class and gender) are felt through slow food.</w:t>
      </w:r>
      <w:r>
        <w:rPr>
          <w:rStyle w:val="FootnoteReference"/>
          <w:rFonts w:ascii="Garamond" w:hAnsi="Garamond" w:cs="RotisSemiSans-Bold"/>
          <w:bCs/>
          <w:sz w:val="24"/>
          <w:szCs w:val="24"/>
        </w:rPr>
        <w:footnoteReference w:id="52"/>
      </w:r>
      <w:r>
        <w:rPr>
          <w:rFonts w:ascii="Garamond" w:hAnsi="Garamond" w:cs="RotisSemiSans-Bold"/>
          <w:bCs/>
          <w:sz w:val="24"/>
          <w:szCs w:val="24"/>
        </w:rPr>
        <w:t xml:space="preserve"> Their focus is on how consumers 'feel' slow food, rather than on how slow food organizations mobilize 'visceral processes of identification'. In contrast, this project shows how activist bodywork produced/produces anti-apartheid and anti-trafficking imaginaries, how bodywork coaxes reflex emotions and creates frameworks for engaging long-lasting emotions (Chapter Six and Seven). Furthermore</w:t>
      </w:r>
      <w:r w:rsidR="003C7C26">
        <w:rPr>
          <w:rFonts w:ascii="Garamond" w:hAnsi="Garamond" w:cs="RotisSemiSans-Bold"/>
          <w:bCs/>
          <w:sz w:val="24"/>
          <w:szCs w:val="24"/>
        </w:rPr>
        <w:t>,</w:t>
      </w:r>
      <w:r>
        <w:rPr>
          <w:rFonts w:ascii="Garamond" w:hAnsi="Garamond" w:cs="RotisSemiSans-Bold"/>
          <w:bCs/>
          <w:sz w:val="24"/>
          <w:szCs w:val="24"/>
        </w:rPr>
        <w:t xml:space="preserve"> I argue that bodywork is shaped by specific commodity and food materialisms that frequently operate independently of activist repertoires of engagement (Chapter Three and Chapter Four), and I investigate how bodywork forms racial assemblages with varying degrees of reflexivity from activists (Chapter Four and Chapter Eight). </w:t>
      </w:r>
    </w:p>
    <w:p w:rsidR="007F618F" w:rsidRDefault="007F618F" w:rsidP="007F618F">
      <w:pPr>
        <w:autoSpaceDE w:val="0"/>
        <w:autoSpaceDN w:val="0"/>
        <w:adjustRightInd w:val="0"/>
        <w:spacing w:after="0" w:line="360" w:lineRule="auto"/>
        <w:jc w:val="both"/>
        <w:rPr>
          <w:rFonts w:ascii="Garamond" w:hAnsi="Garamond" w:cs="Arial"/>
          <w:sz w:val="24"/>
          <w:szCs w:val="24"/>
          <w:shd w:val="clear" w:color="auto" w:fill="FFFFFF"/>
        </w:rPr>
      </w:pPr>
    </w:p>
    <w:p w:rsidR="007F618F" w:rsidRDefault="007F618F" w:rsidP="007F618F">
      <w:pPr>
        <w:autoSpaceDE w:val="0"/>
        <w:autoSpaceDN w:val="0"/>
        <w:adjustRightInd w:val="0"/>
        <w:spacing w:after="0" w:line="360" w:lineRule="auto"/>
        <w:jc w:val="both"/>
        <w:rPr>
          <w:rFonts w:ascii="Garamond" w:hAnsi="Garamond" w:cs="Arial"/>
          <w:sz w:val="24"/>
          <w:szCs w:val="24"/>
          <w:shd w:val="clear" w:color="auto" w:fill="FFFFFF"/>
        </w:rPr>
      </w:pPr>
      <w:r>
        <w:rPr>
          <w:rFonts w:ascii="Garamond" w:hAnsi="Garamond" w:cs="Arial"/>
          <w:sz w:val="24"/>
          <w:szCs w:val="24"/>
          <w:shd w:val="clear" w:color="auto" w:fill="FFFFFF"/>
        </w:rPr>
        <w:t xml:space="preserve">Chapter Three demonstrates that BOA citrus bodywork produced tangible and lasting social and economic effects. Through empirical material I show that the disgust and shock deployed by the topos caused controversy within Dutch society and the broader anti-apartheid movement. I argue that bodywork was performed by the Inspan Girls and argue that 'inspanning' was a form of anti-colonial resistance. The blood-citrus topos parodied Dutch-South African 'blood ties', and encouraged Dutch consumers to see themselves as connected through consumption and eating to apartheid racism. Chapter Four illuminates how STT bodywork takes the form of two distinctive topoi (child-producer topos; child-consumer chocolate topos) </w:t>
      </w:r>
      <w:r w:rsidR="00E4365A">
        <w:rPr>
          <w:rFonts w:ascii="Garamond" w:hAnsi="Garamond" w:cs="Times New Roman"/>
          <w:sz w:val="24"/>
          <w:szCs w:val="24"/>
        </w:rPr>
        <w:t xml:space="preserve">that </w:t>
      </w:r>
      <w:r w:rsidRPr="001E09C8">
        <w:rPr>
          <w:rFonts w:ascii="Garamond" w:hAnsi="Garamond" w:cs="Times New Roman"/>
          <w:sz w:val="24"/>
          <w:szCs w:val="24"/>
        </w:rPr>
        <w:t>make consuming fair trade urgent, emotional and engaging to a broader global battle with</w:t>
      </w:r>
      <w:r>
        <w:rPr>
          <w:rFonts w:ascii="Garamond" w:hAnsi="Garamond" w:cs="Times New Roman"/>
          <w:sz w:val="24"/>
          <w:szCs w:val="24"/>
        </w:rPr>
        <w:t xml:space="preserve"> human</w:t>
      </w:r>
      <w:r w:rsidRPr="001E09C8">
        <w:rPr>
          <w:rFonts w:ascii="Garamond" w:hAnsi="Garamond" w:cs="Times New Roman"/>
          <w:sz w:val="24"/>
          <w:szCs w:val="24"/>
        </w:rPr>
        <w:t xml:space="preserve"> trafficking.</w:t>
      </w:r>
      <w:r>
        <w:rPr>
          <w:rFonts w:ascii="Garamond" w:hAnsi="Garamond" w:cs="Times New Roman"/>
          <w:sz w:val="24"/>
          <w:szCs w:val="24"/>
        </w:rPr>
        <w:t xml:space="preserve"> I identify and examine some of the spatial politics of both topoi </w:t>
      </w:r>
      <w:r>
        <w:rPr>
          <w:rFonts w:ascii="Garamond" w:hAnsi="Garamond"/>
          <w:sz w:val="24"/>
          <w:szCs w:val="24"/>
          <w:lang w:val="en-US"/>
        </w:rPr>
        <w:t>and argue that there are</w:t>
      </w:r>
      <w:r w:rsidRPr="001E09C8">
        <w:rPr>
          <w:rFonts w:ascii="Garamond" w:hAnsi="Garamond"/>
          <w:sz w:val="24"/>
          <w:szCs w:val="24"/>
          <w:lang w:val="en-US"/>
        </w:rPr>
        <w:t xml:space="preserve"> geographies of </w:t>
      </w:r>
      <w:r w:rsidRPr="001E09C8">
        <w:rPr>
          <w:rFonts w:ascii="Garamond" w:hAnsi="Garamond"/>
          <w:sz w:val="24"/>
          <w:szCs w:val="24"/>
          <w:lang w:val="en-US"/>
        </w:rPr>
        <w:lastRenderedPageBreak/>
        <w:t>exclusion to the politics of globalizing res</w:t>
      </w:r>
      <w:r>
        <w:rPr>
          <w:rFonts w:ascii="Garamond" w:hAnsi="Garamond"/>
          <w:sz w:val="24"/>
          <w:szCs w:val="24"/>
          <w:lang w:val="en-US"/>
        </w:rPr>
        <w:t>ponsibility. Chapter Seven uses psychoanalytical and anti-colonial theory to posit that BOA bodywork on the white migrant and the black revolutionary fighter used fear to corrupt transnational apartheid capitalist imaginaries.</w:t>
      </w:r>
      <w:r>
        <w:rPr>
          <w:rStyle w:val="FootnoteReference"/>
          <w:rFonts w:ascii="Garamond" w:hAnsi="Garamond"/>
          <w:sz w:val="24"/>
          <w:szCs w:val="24"/>
          <w:lang w:val="en-US"/>
        </w:rPr>
        <w:footnoteReference w:id="53"/>
      </w:r>
      <w:r>
        <w:rPr>
          <w:rFonts w:ascii="Garamond" w:hAnsi="Garamond"/>
          <w:sz w:val="24"/>
          <w:szCs w:val="24"/>
          <w:lang w:val="en-US"/>
        </w:rPr>
        <w:t xml:space="preserve"> </w:t>
      </w:r>
    </w:p>
    <w:p w:rsidR="002049D4" w:rsidRDefault="002049D4" w:rsidP="002049D4">
      <w:pPr>
        <w:autoSpaceDE w:val="0"/>
        <w:autoSpaceDN w:val="0"/>
        <w:adjustRightInd w:val="0"/>
        <w:spacing w:after="0" w:line="360" w:lineRule="auto"/>
        <w:jc w:val="both"/>
        <w:rPr>
          <w:rFonts w:ascii="Garamond" w:hAnsi="Garamond"/>
          <w:b/>
          <w:sz w:val="24"/>
          <w:szCs w:val="24"/>
        </w:rPr>
      </w:pPr>
      <w:r>
        <w:rPr>
          <w:rFonts w:ascii="Garamond" w:hAnsi="Garamond"/>
          <w:b/>
          <w:sz w:val="24"/>
          <w:szCs w:val="24"/>
        </w:rPr>
        <w:t xml:space="preserve"> </w:t>
      </w:r>
    </w:p>
    <w:p w:rsidR="006579E1" w:rsidRDefault="006579E1" w:rsidP="006579E1">
      <w:pPr>
        <w:pStyle w:val="Heading1"/>
        <w:spacing w:before="0" w:line="360" w:lineRule="auto"/>
        <w:rPr>
          <w:rFonts w:ascii="Garamond" w:hAnsi="Garamond"/>
          <w:color w:val="auto"/>
          <w:sz w:val="28"/>
        </w:rPr>
        <w:sectPr w:rsidR="006579E1">
          <w:pgSz w:w="11900" w:h="16840"/>
          <w:pgMar w:top="1440" w:right="1800" w:bottom="1134" w:left="1800" w:header="708" w:footer="708" w:gutter="0"/>
          <w:cols w:space="708"/>
        </w:sectPr>
      </w:pPr>
      <w:bookmarkStart w:id="318" w:name="_Toc244469597"/>
      <w:bookmarkStart w:id="319" w:name="_Toc244508053"/>
    </w:p>
    <w:p w:rsidR="00BA0F0B" w:rsidRPr="00F07857" w:rsidRDefault="00BA0F0B" w:rsidP="000B6D76">
      <w:pPr>
        <w:pStyle w:val="Heading1"/>
        <w:spacing w:before="0" w:line="360" w:lineRule="auto"/>
        <w:jc w:val="right"/>
        <w:rPr>
          <w:rFonts w:ascii="Garamond" w:hAnsi="Garamond"/>
          <w:color w:val="auto"/>
          <w:sz w:val="28"/>
        </w:rPr>
      </w:pPr>
      <w:bookmarkStart w:id="320" w:name="_Toc244535747"/>
      <w:bookmarkStart w:id="321" w:name="_Toc244578379"/>
      <w:bookmarkStart w:id="322" w:name="_Toc244578763"/>
      <w:bookmarkStart w:id="323" w:name="_Toc263452014"/>
      <w:bookmarkStart w:id="324" w:name="_Toc263510932"/>
      <w:r w:rsidRPr="00F07857">
        <w:rPr>
          <w:rFonts w:ascii="Garamond" w:hAnsi="Garamond"/>
          <w:color w:val="auto"/>
          <w:sz w:val="28"/>
        </w:rPr>
        <w:lastRenderedPageBreak/>
        <w:t>Chapter Three</w:t>
      </w:r>
      <w:bookmarkEnd w:id="318"/>
      <w:bookmarkEnd w:id="319"/>
      <w:bookmarkEnd w:id="320"/>
      <w:bookmarkEnd w:id="321"/>
      <w:bookmarkEnd w:id="322"/>
      <w:bookmarkEnd w:id="323"/>
      <w:bookmarkEnd w:id="324"/>
    </w:p>
    <w:p w:rsidR="00BA0F0B" w:rsidRPr="00F07857" w:rsidRDefault="00BA0F0B" w:rsidP="002049D4">
      <w:pPr>
        <w:pStyle w:val="Heading1"/>
        <w:spacing w:before="0" w:line="360" w:lineRule="auto"/>
        <w:rPr>
          <w:rFonts w:ascii="Garamond" w:hAnsi="Garamond"/>
          <w:color w:val="auto"/>
          <w:sz w:val="28"/>
        </w:rPr>
      </w:pPr>
    </w:p>
    <w:p w:rsidR="00BA0F0B" w:rsidRPr="00F07857" w:rsidRDefault="00BA0F0B" w:rsidP="00026BC9">
      <w:pPr>
        <w:pStyle w:val="Heading1"/>
        <w:spacing w:before="0" w:line="360" w:lineRule="auto"/>
        <w:rPr>
          <w:rFonts w:ascii="Garamond" w:hAnsi="Garamond"/>
          <w:color w:val="auto"/>
          <w:sz w:val="28"/>
        </w:rPr>
      </w:pPr>
      <w:bookmarkStart w:id="325" w:name="_Toc244469598"/>
      <w:bookmarkStart w:id="326" w:name="_Toc244508054"/>
      <w:bookmarkStart w:id="327" w:name="_Toc244535748"/>
      <w:bookmarkStart w:id="328" w:name="_Toc244578380"/>
      <w:bookmarkStart w:id="329" w:name="_Toc244578764"/>
      <w:bookmarkStart w:id="330" w:name="_Toc263452015"/>
      <w:bookmarkStart w:id="331" w:name="_Toc263510933"/>
      <w:r w:rsidRPr="00F07857">
        <w:rPr>
          <w:rFonts w:ascii="Garamond" w:hAnsi="Garamond"/>
          <w:color w:val="auto"/>
          <w:sz w:val="28"/>
        </w:rPr>
        <w:t>Unmaking appetites for apartheid and creating reflexive whiteness: Boycott Outspan Action and citrus activism (1970-74)</w:t>
      </w:r>
      <w:bookmarkEnd w:id="325"/>
      <w:bookmarkEnd w:id="326"/>
      <w:bookmarkEnd w:id="327"/>
      <w:bookmarkEnd w:id="328"/>
      <w:bookmarkEnd w:id="329"/>
      <w:bookmarkEnd w:id="330"/>
      <w:bookmarkEnd w:id="331"/>
    </w:p>
    <w:p w:rsidR="00BA0F0B" w:rsidRPr="00907189" w:rsidRDefault="00BA0F0B" w:rsidP="00026BC9">
      <w:pPr>
        <w:spacing w:after="0" w:line="360" w:lineRule="auto"/>
        <w:rPr>
          <w:rFonts w:ascii="Garamond" w:hAnsi="Garamond"/>
          <w:b/>
          <w:sz w:val="24"/>
          <w:szCs w:val="24"/>
        </w:rPr>
      </w:pPr>
    </w:p>
    <w:p w:rsidR="002049D4" w:rsidRPr="002049D4" w:rsidRDefault="00BA0F0B" w:rsidP="00026BC9">
      <w:pPr>
        <w:pStyle w:val="Heading2"/>
      </w:pPr>
      <w:bookmarkStart w:id="332" w:name="_Toc244469599"/>
      <w:bookmarkStart w:id="333" w:name="_Toc244508055"/>
      <w:bookmarkStart w:id="334" w:name="_Toc244535749"/>
      <w:bookmarkStart w:id="335" w:name="_Toc244578381"/>
      <w:bookmarkStart w:id="336" w:name="_Toc244578765"/>
      <w:bookmarkStart w:id="337" w:name="_Toc263452016"/>
      <w:bookmarkStart w:id="338" w:name="_Toc263510934"/>
      <w:r w:rsidRPr="00907189">
        <w:t>Introduction</w:t>
      </w:r>
      <w:r w:rsidR="002049D4">
        <w:t xml:space="preserve">: </w:t>
      </w:r>
      <w:r w:rsidR="002049D4" w:rsidRPr="002049D4">
        <w:t>"Pers Geen Zuid-Afrikaan uit!" (</w:t>
      </w:r>
      <w:r w:rsidR="00B83595" w:rsidRPr="002049D4">
        <w:t>"</w:t>
      </w:r>
      <w:r w:rsidR="002049D4" w:rsidRPr="002049D4">
        <w:t>Don't Squeeze A South African Dry!</w:t>
      </w:r>
      <w:r w:rsidR="00B83595" w:rsidRPr="002049D4">
        <w:t>"</w:t>
      </w:r>
      <w:r w:rsidR="002049D4" w:rsidRPr="002049D4">
        <w:t>)</w:t>
      </w:r>
      <w:bookmarkEnd w:id="332"/>
      <w:bookmarkEnd w:id="333"/>
      <w:bookmarkEnd w:id="334"/>
      <w:bookmarkEnd w:id="335"/>
      <w:bookmarkEnd w:id="336"/>
      <w:bookmarkEnd w:id="337"/>
      <w:bookmarkEnd w:id="338"/>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F07857" w:rsidRPr="006B1236" w:rsidRDefault="00BA0F0B" w:rsidP="006B1236">
      <w:pPr>
        <w:spacing w:after="0" w:line="360" w:lineRule="auto"/>
        <w:jc w:val="both"/>
        <w:rPr>
          <w:rFonts w:ascii="Garamond" w:hAnsi="Garamond"/>
          <w:sz w:val="24"/>
          <w:szCs w:val="24"/>
        </w:rPr>
      </w:pPr>
      <w:r w:rsidRPr="006B1236">
        <w:rPr>
          <w:rFonts w:ascii="Garamond" w:hAnsi="Garamond"/>
          <w:sz w:val="24"/>
          <w:szCs w:val="24"/>
        </w:rPr>
        <w:t xml:space="preserve">This chapter considers the early campaign of the Dutch anti-apartheid and antiracist organization Boycot Outspan Atkie (Boycott Outspan Action) based around their boycott of apartheid citrus. I show how the boycott worked to unmake appetites for apartheid citrus, and how it was concerned with producing more racially reflexive cultures of consumption </w:t>
      </w:r>
      <w:r w:rsidRPr="006B1236">
        <w:rPr>
          <w:rFonts w:ascii="Garamond" w:hAnsi="Garamond"/>
          <w:i/>
          <w:sz w:val="24"/>
          <w:szCs w:val="24"/>
        </w:rPr>
        <w:t>and</w:t>
      </w:r>
      <w:r w:rsidRPr="006B1236">
        <w:rPr>
          <w:rFonts w:ascii="Garamond" w:hAnsi="Garamond"/>
          <w:sz w:val="24"/>
          <w:szCs w:val="24"/>
        </w:rPr>
        <w:t xml:space="preserve"> anti-apartheid activism</w:t>
      </w:r>
      <w:r w:rsidR="003B1C62">
        <w:rPr>
          <w:rFonts w:ascii="Garamond" w:hAnsi="Garamond"/>
          <w:sz w:val="24"/>
          <w:szCs w:val="24"/>
        </w:rPr>
        <w:t>s</w:t>
      </w:r>
      <w:r w:rsidRPr="006B1236">
        <w:rPr>
          <w:rFonts w:ascii="Garamond" w:hAnsi="Garamond"/>
          <w:sz w:val="24"/>
          <w:szCs w:val="24"/>
        </w:rPr>
        <w:t xml:space="preserve"> in Holland.</w:t>
      </w:r>
    </w:p>
    <w:p w:rsidR="00BA0F0B" w:rsidRPr="006B1236" w:rsidRDefault="00BA0F0B" w:rsidP="006B1236">
      <w:pPr>
        <w:spacing w:after="0" w:line="360" w:lineRule="auto"/>
        <w:jc w:val="both"/>
        <w:rPr>
          <w:rFonts w:ascii="Garamond" w:hAnsi="Garamond"/>
          <w:sz w:val="24"/>
          <w:szCs w:val="24"/>
        </w:rPr>
      </w:pPr>
    </w:p>
    <w:p w:rsidR="006B1236" w:rsidRDefault="00BA0F0B" w:rsidP="006B1236">
      <w:pPr>
        <w:spacing w:after="0" w:line="360" w:lineRule="auto"/>
        <w:jc w:val="both"/>
        <w:rPr>
          <w:rFonts w:ascii="Garamond" w:hAnsi="Garamond"/>
          <w:sz w:val="24"/>
          <w:szCs w:val="24"/>
        </w:rPr>
      </w:pPr>
      <w:r w:rsidRPr="006B1236">
        <w:rPr>
          <w:rFonts w:ascii="Garamond" w:hAnsi="Garamond"/>
          <w:sz w:val="24"/>
          <w:szCs w:val="24"/>
        </w:rPr>
        <w:t>The chapter contributes to work at the intersection of food geographies and the moral economies of food with its attention to ‘unveiling’ or deconstructing the commodity fetish (Hartwick, 1998; 2001, Hughes, 2005a), but proceeds with the caution towards the ‘commodity</w:t>
      </w:r>
      <w:r w:rsidR="003B1C62">
        <w:rPr>
          <w:rFonts w:ascii="Garamond" w:hAnsi="Garamond"/>
          <w:sz w:val="24"/>
          <w:szCs w:val="24"/>
        </w:rPr>
        <w:t xml:space="preserve"> </w:t>
      </w:r>
      <w:r w:rsidRPr="006B1236">
        <w:rPr>
          <w:rFonts w:ascii="Garamond" w:hAnsi="Garamond"/>
          <w:sz w:val="24"/>
          <w:szCs w:val="24"/>
        </w:rPr>
        <w:t xml:space="preserve">fetish’ approach (Miller, 1998; Sassatelli, 2006). The BOA attempted to subvert the Outspan brand, it is therefore useful to consider existing scholarship on the geographically nuanced effects of the commodity fetish in relation to production, distribution, display and consumption of fruit (Cook et al., 2004; Mather </w:t>
      </w:r>
      <w:r w:rsidR="00F152DB">
        <w:rPr>
          <w:rFonts w:ascii="Garamond" w:hAnsi="Garamond"/>
          <w:sz w:val="24"/>
          <w:szCs w:val="24"/>
        </w:rPr>
        <w:t>and</w:t>
      </w:r>
      <w:r w:rsidRPr="006B1236">
        <w:rPr>
          <w:rFonts w:ascii="Garamond" w:hAnsi="Garamond"/>
          <w:sz w:val="24"/>
          <w:szCs w:val="24"/>
        </w:rPr>
        <w:t xml:space="preserve"> Mackenzie 2006). Jackson </w:t>
      </w:r>
      <w:r w:rsidR="00F152DB">
        <w:rPr>
          <w:rFonts w:ascii="Garamond" w:hAnsi="Garamond"/>
          <w:sz w:val="24"/>
          <w:szCs w:val="24"/>
        </w:rPr>
        <w:t>and</w:t>
      </w:r>
      <w:r w:rsidRPr="006B1236">
        <w:rPr>
          <w:rFonts w:ascii="Garamond" w:hAnsi="Garamond"/>
          <w:sz w:val="24"/>
          <w:szCs w:val="24"/>
        </w:rPr>
        <w:t xml:space="preserve"> Thrift (1995) suggest that geographical work on consumption can be summarized in terms of three constitutive geographies; through the analysis of the sites of consumption, work on commodity chains and commodity biographies, and the ideological spaces of representation that employ popular geographical knowledges and imaginations in the circuits of consumption.</w:t>
      </w:r>
      <w:r w:rsidRPr="006B1236">
        <w:rPr>
          <w:rFonts w:ascii="Garamond" w:hAnsi="Garamond"/>
          <w:i/>
          <w:sz w:val="24"/>
          <w:szCs w:val="24"/>
        </w:rPr>
        <w:t xml:space="preserve"> </w:t>
      </w:r>
      <w:r w:rsidRPr="006B1236">
        <w:rPr>
          <w:rFonts w:ascii="Garamond" w:hAnsi="Garamond"/>
          <w:sz w:val="24"/>
          <w:szCs w:val="24"/>
        </w:rPr>
        <w:t xml:space="preserve">Malbon </w:t>
      </w:r>
      <w:r w:rsidR="00F152DB">
        <w:rPr>
          <w:rFonts w:ascii="Garamond" w:hAnsi="Garamond"/>
          <w:sz w:val="24"/>
          <w:szCs w:val="24"/>
        </w:rPr>
        <w:t>and</w:t>
      </w:r>
      <w:r w:rsidRPr="006B1236">
        <w:rPr>
          <w:rFonts w:ascii="Garamond" w:hAnsi="Garamond"/>
          <w:sz w:val="24"/>
          <w:szCs w:val="24"/>
        </w:rPr>
        <w:t xml:space="preserve"> Crang (1996) stress that geographical research on commodity cultures should investigate further domestic spaces, spaces of conviviality and spaces of tactility; the BOA, I contest, intervened in such places. Following Crang’s circuit of consumption approach (1996), Mather </w:t>
      </w:r>
      <w:r w:rsidR="00F152DB">
        <w:rPr>
          <w:rFonts w:ascii="Garamond" w:hAnsi="Garamond"/>
          <w:sz w:val="24"/>
          <w:szCs w:val="24"/>
        </w:rPr>
        <w:t>and</w:t>
      </w:r>
      <w:r w:rsidRPr="006B1236">
        <w:rPr>
          <w:rFonts w:ascii="Garamond" w:hAnsi="Garamond"/>
          <w:sz w:val="24"/>
          <w:szCs w:val="24"/>
        </w:rPr>
        <w:t xml:space="preserve"> Mackenzie (2006) show that Outspan worked ideas of ‘thinness’, ‘vitality’ and ‘bronzing bodies’ into a commodification process which disguised (apartheid) ethnicities (Dwyer </w:t>
      </w:r>
      <w:r w:rsidR="00F152DB">
        <w:rPr>
          <w:rFonts w:ascii="Garamond" w:hAnsi="Garamond"/>
          <w:sz w:val="24"/>
          <w:szCs w:val="24"/>
        </w:rPr>
        <w:t>and</w:t>
      </w:r>
      <w:r w:rsidRPr="006B1236">
        <w:rPr>
          <w:rFonts w:ascii="Garamond" w:hAnsi="Garamond"/>
          <w:sz w:val="24"/>
          <w:szCs w:val="24"/>
        </w:rPr>
        <w:t xml:space="preserve"> Crang, 2002); a process which I later argue, whitened their citrus.  Foods have social lives as ‘things’ (Jackson, 1999); giving food biographies or agency can serve as an outlet onto which anxieties can be mapped (Jackson, 2010), and help to articulate moral </w:t>
      </w:r>
      <w:r w:rsidRPr="006B1236">
        <w:rPr>
          <w:rFonts w:ascii="Garamond" w:hAnsi="Garamond"/>
          <w:sz w:val="24"/>
          <w:szCs w:val="24"/>
        </w:rPr>
        <w:lastRenderedPageBreak/>
        <w:t xml:space="preserve">economies of connectivity, visibility and remembrance (Jackson et al., 2009; Cook et al., 2006; 2008; 2010). Analysing the BOA’s aim for proximate change </w:t>
      </w:r>
      <w:r w:rsidR="006B1236" w:rsidRPr="006B1236">
        <w:rPr>
          <w:rFonts w:ascii="Garamond" w:hAnsi="Garamond"/>
          <w:sz w:val="24"/>
          <w:szCs w:val="24"/>
        </w:rPr>
        <w:t xml:space="preserve">resonates with Reimer </w:t>
      </w:r>
      <w:r w:rsidR="00F152DB">
        <w:rPr>
          <w:rFonts w:ascii="Garamond" w:hAnsi="Garamond"/>
          <w:sz w:val="24"/>
          <w:szCs w:val="24"/>
        </w:rPr>
        <w:t>and</w:t>
      </w:r>
      <w:r w:rsidR="006B1236" w:rsidRPr="006B1236">
        <w:rPr>
          <w:rFonts w:ascii="Garamond" w:hAnsi="Garamond"/>
          <w:sz w:val="24"/>
          <w:szCs w:val="24"/>
        </w:rPr>
        <w:t xml:space="preserve"> Hughes’</w:t>
      </w:r>
      <w:r w:rsidRPr="006B1236">
        <w:rPr>
          <w:rFonts w:ascii="Garamond" w:hAnsi="Garamond"/>
          <w:sz w:val="24"/>
          <w:szCs w:val="24"/>
        </w:rPr>
        <w:t xml:space="preserve"> demand for studies on commodity chains, or networks, where production-consumption dynamics are “not necessarily stretched over global spaces” (2004:7). </w:t>
      </w:r>
    </w:p>
    <w:p w:rsidR="00BA0F0B" w:rsidRPr="006B1236" w:rsidRDefault="00BA0F0B" w:rsidP="006B1236">
      <w:pPr>
        <w:spacing w:after="0" w:line="360" w:lineRule="auto"/>
        <w:jc w:val="both"/>
        <w:rPr>
          <w:rFonts w:ascii="Garamond" w:hAnsi="Garamond"/>
          <w:sz w:val="24"/>
          <w:szCs w:val="24"/>
        </w:rPr>
      </w:pPr>
    </w:p>
    <w:p w:rsidR="006B1236" w:rsidRDefault="00BA0F0B" w:rsidP="006B1236">
      <w:pPr>
        <w:spacing w:after="0" w:line="360" w:lineRule="auto"/>
        <w:jc w:val="both"/>
        <w:rPr>
          <w:rFonts w:ascii="Garamond" w:hAnsi="Garamond"/>
          <w:sz w:val="24"/>
          <w:szCs w:val="24"/>
        </w:rPr>
      </w:pPr>
      <w:r w:rsidRPr="006B1236">
        <w:rPr>
          <w:rFonts w:ascii="Garamond" w:hAnsi="Garamond"/>
          <w:sz w:val="24"/>
          <w:szCs w:val="24"/>
        </w:rPr>
        <w:t>The chapter also engages with</w:t>
      </w:r>
      <w:r w:rsidR="003B1C62">
        <w:rPr>
          <w:rFonts w:ascii="Garamond" w:hAnsi="Garamond"/>
          <w:sz w:val="24"/>
          <w:szCs w:val="24"/>
        </w:rPr>
        <w:t xml:space="preserve"> scholarship deriving from post</w:t>
      </w:r>
      <w:r w:rsidRPr="006B1236">
        <w:rPr>
          <w:rFonts w:ascii="Garamond" w:hAnsi="Garamond"/>
          <w:sz w:val="24"/>
          <w:szCs w:val="24"/>
        </w:rPr>
        <w:t>colonial work on ‘white identities’ and ‘white studies’. Of particular interest is the production and contestation of ‘whiteness’ in relation to food (Slocum, 2006), geographical imaginaries (Jackson, 1998), and antiracisms (Bonnett, 2000; Nash, 2003; Lambert, 2005).  It considers the spatially and temporally specific socialities of race in relation to consumption (Pulido, 2006), and the co-construction of class, race and gender in BOA actions (Gilmore, 2007). By proxy, I respond to the demand for empirically-based case studies on racism which foreground narrative empirics, and quotidian, embodied and sometimes pre-discursive forms of discrimination (Nash, 2003; Hook, 2006; Price, 2010).</w:t>
      </w:r>
    </w:p>
    <w:p w:rsidR="00BA0F0B" w:rsidRPr="006B1236" w:rsidRDefault="00BA0F0B" w:rsidP="006B1236">
      <w:pPr>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There are three sections to this chapter: in the first I discuss why researching the racial, embodied and food geographies of the BOA has relevance today in contesting ‘white’ discourses of Dutch and European anti-apartheid; in the second I consider how the Outspan boycott depended on the BOA connecting colonialism, citrus production and consumption and activism; and the final section explains how the BOA unmade appetites for South African citrus, and attempted to systematically de-food Outspan oranges whilst simultaneously creating racially reflexive consumers.</w:t>
      </w:r>
    </w:p>
    <w:p w:rsidR="00BA0F0B" w:rsidRPr="006B1236" w:rsidRDefault="00BA0F0B" w:rsidP="006B1236">
      <w:pPr>
        <w:autoSpaceDE w:val="0"/>
        <w:autoSpaceDN w:val="0"/>
        <w:adjustRightInd w:val="0"/>
        <w:spacing w:after="0" w:line="360" w:lineRule="auto"/>
        <w:jc w:val="center"/>
        <w:rPr>
          <w:rFonts w:ascii="Garamond" w:hAnsi="Garamond"/>
          <w:b/>
          <w:sz w:val="24"/>
          <w:szCs w:val="32"/>
        </w:rPr>
      </w:pPr>
    </w:p>
    <w:p w:rsidR="00BA0F0B" w:rsidRPr="006B1236" w:rsidRDefault="00BA0F0B" w:rsidP="006B1236">
      <w:pPr>
        <w:autoSpaceDE w:val="0"/>
        <w:autoSpaceDN w:val="0"/>
        <w:adjustRightInd w:val="0"/>
        <w:spacing w:after="0" w:line="360" w:lineRule="auto"/>
        <w:rPr>
          <w:rFonts w:ascii="Garamond" w:hAnsi="Garamond"/>
          <w:b/>
          <w:sz w:val="24"/>
          <w:szCs w:val="32"/>
        </w:rPr>
      </w:pPr>
      <w:r w:rsidRPr="00D57889">
        <w:rPr>
          <w:rStyle w:val="Heading2Char"/>
          <w:sz w:val="24"/>
        </w:rPr>
        <w:t>Contesting white anti-apartheid in ‘wholly racialized worlds’</w:t>
      </w:r>
      <w:r w:rsidRPr="006B1236">
        <w:rPr>
          <w:rStyle w:val="FootnoteReference"/>
          <w:rFonts w:ascii="Garamond" w:hAnsi="Garamond"/>
          <w:b/>
          <w:sz w:val="24"/>
          <w:szCs w:val="32"/>
        </w:rPr>
        <w:footnoteReference w:id="54"/>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ind w:left="284" w:right="284"/>
        <w:jc w:val="both"/>
        <w:rPr>
          <w:rFonts w:ascii="Garamond" w:hAnsi="Garamond"/>
        </w:rPr>
      </w:pPr>
      <w:r w:rsidRPr="006B1236">
        <w:rPr>
          <w:rFonts w:ascii="Garamond" w:hAnsi="Garamond"/>
        </w:rPr>
        <w:t>It is not enough to critique, and thereby intellectually rework, racism; rather, racism must be addressed and redressed through action. (Price, 2010: 152)</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cs="Times-Italic"/>
          <w:i/>
          <w:iCs/>
          <w:sz w:val="24"/>
          <w:szCs w:val="24"/>
        </w:rPr>
      </w:pPr>
      <w:r w:rsidRPr="006B1236">
        <w:rPr>
          <w:rFonts w:ascii="Garamond" w:hAnsi="Garamond"/>
          <w:sz w:val="24"/>
          <w:szCs w:val="24"/>
        </w:rPr>
        <w:t xml:space="preserve">Early in the pilot study of the BOA, it became clear that there was a disjuncture between the substantive achievements of the BOA as an anti-apartheid movement and boycotting organization, and the begrudging levels of approbation and apparent disinterest received from post-apartheid biographers of Dutch anti-apartheid. Klein’s (2001) hundred page thesis on Dutch anti-apartheid devotes only a small paragraph to the BOA’s inaugural </w:t>
      </w:r>
      <w:r w:rsidRPr="006B1236">
        <w:rPr>
          <w:rFonts w:ascii="Garamond" w:hAnsi="Garamond"/>
          <w:sz w:val="24"/>
          <w:szCs w:val="24"/>
        </w:rPr>
        <w:lastRenderedPageBreak/>
        <w:t xml:space="preserve">publication </w:t>
      </w:r>
      <w:r w:rsidRPr="006B1236">
        <w:rPr>
          <w:rFonts w:ascii="Garamond" w:hAnsi="Garamond"/>
          <w:i/>
          <w:iCs/>
          <w:sz w:val="24"/>
          <w:szCs w:val="24"/>
        </w:rPr>
        <w:t>Outspan: Bouwstenen voor apartheid</w:t>
      </w:r>
      <w:r w:rsidRPr="006B1236">
        <w:rPr>
          <w:rFonts w:ascii="Garamond" w:hAnsi="Garamond"/>
          <w:sz w:val="24"/>
          <w:szCs w:val="24"/>
        </w:rPr>
        <w:t xml:space="preserve">  (</w:t>
      </w:r>
      <w:r w:rsidRPr="003B1C62">
        <w:rPr>
          <w:rFonts w:ascii="Garamond" w:hAnsi="Garamond"/>
          <w:i/>
          <w:sz w:val="24"/>
          <w:szCs w:val="24"/>
        </w:rPr>
        <w:t>Outspan: Building Bricks for Apartheid</w:t>
      </w:r>
      <w:r w:rsidRPr="006B1236">
        <w:rPr>
          <w:rFonts w:ascii="Garamond" w:hAnsi="Garamond"/>
          <w:sz w:val="24"/>
          <w:szCs w:val="24"/>
        </w:rPr>
        <w:t>) despite situating them as one of the major Dutch anti-apartheid movements alongside the Anti-Aparth</w:t>
      </w:r>
      <w:r w:rsidR="003B1C62">
        <w:rPr>
          <w:rFonts w:ascii="Garamond" w:hAnsi="Garamond"/>
          <w:sz w:val="24"/>
          <w:szCs w:val="24"/>
        </w:rPr>
        <w:t>eidsbeweging Nederland (AABN), K</w:t>
      </w:r>
      <w:r w:rsidRPr="006B1236">
        <w:rPr>
          <w:rFonts w:ascii="Garamond" w:hAnsi="Garamond"/>
          <w:sz w:val="24"/>
          <w:szCs w:val="24"/>
        </w:rPr>
        <w:t>om</w:t>
      </w:r>
      <w:r w:rsidR="003B1C62">
        <w:rPr>
          <w:rFonts w:ascii="Garamond" w:hAnsi="Garamond"/>
          <w:sz w:val="24"/>
          <w:szCs w:val="24"/>
        </w:rPr>
        <w:t>m</w:t>
      </w:r>
      <w:r w:rsidRPr="006B1236">
        <w:rPr>
          <w:rFonts w:ascii="Garamond" w:hAnsi="Garamond"/>
          <w:sz w:val="24"/>
          <w:szCs w:val="24"/>
        </w:rPr>
        <w:t>i</w:t>
      </w:r>
      <w:r w:rsidR="003B1C62">
        <w:rPr>
          <w:rFonts w:ascii="Garamond" w:hAnsi="Garamond"/>
          <w:sz w:val="24"/>
          <w:szCs w:val="24"/>
        </w:rPr>
        <w:t>t</w:t>
      </w:r>
      <w:r w:rsidRPr="006B1236">
        <w:rPr>
          <w:rFonts w:ascii="Garamond" w:hAnsi="Garamond"/>
          <w:sz w:val="24"/>
          <w:szCs w:val="24"/>
        </w:rPr>
        <w:t>te</w:t>
      </w:r>
      <w:r w:rsidR="003B1C62">
        <w:rPr>
          <w:rFonts w:ascii="Garamond" w:hAnsi="Garamond"/>
          <w:sz w:val="24"/>
          <w:szCs w:val="24"/>
        </w:rPr>
        <w:t>e Zuid Afrika (K</w:t>
      </w:r>
      <w:r w:rsidRPr="006B1236">
        <w:rPr>
          <w:rFonts w:ascii="Garamond" w:hAnsi="Garamond"/>
          <w:sz w:val="24"/>
          <w:szCs w:val="24"/>
        </w:rPr>
        <w:t>ZA), Defence and Aid Fund Netherlands (DAFN) and Kairos. A cursory glance at the bibliography is in</w:t>
      </w:r>
      <w:r w:rsidR="002706A8">
        <w:rPr>
          <w:rFonts w:ascii="Garamond" w:hAnsi="Garamond"/>
          <w:sz w:val="24"/>
          <w:szCs w:val="24"/>
        </w:rPr>
        <w:t>formative, whilst the other AAM</w:t>
      </w:r>
      <w:r w:rsidRPr="006B1236">
        <w:rPr>
          <w:rFonts w:ascii="Garamond" w:hAnsi="Garamond"/>
          <w:sz w:val="24"/>
          <w:szCs w:val="24"/>
        </w:rPr>
        <w:t>s have between four and six publications referenced, the BOA have only one despite having published more prolifically than the other organizations.</w:t>
      </w:r>
      <w:r w:rsidRPr="006B1236">
        <w:rPr>
          <w:rFonts w:ascii="Garamond" w:hAnsi="Garamond" w:cs="Times-Roman"/>
          <w:sz w:val="24"/>
          <w:szCs w:val="24"/>
        </w:rPr>
        <w:t xml:space="preserve">  </w:t>
      </w:r>
    </w:p>
    <w:p w:rsidR="00BA0F0B" w:rsidRPr="006B1236" w:rsidRDefault="00BA0F0B" w:rsidP="006B1236">
      <w:pPr>
        <w:autoSpaceDE w:val="0"/>
        <w:autoSpaceDN w:val="0"/>
        <w:adjustRightInd w:val="0"/>
        <w:spacing w:after="0" w:line="360" w:lineRule="auto"/>
        <w:jc w:val="both"/>
        <w:rPr>
          <w:rFonts w:ascii="Garamond" w:hAnsi="Garamond" w:cs="Times-Roman"/>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During the coding process for my interviews I realized that this disjuncture required illumination as the data confirmed my earlier readings of existing correspondence between activists, which seemed to conflate the gap between substantial achievement and insubstantial representation with assumptions about race and ‘whiteness’; a blurring at the joins between legacy and jealousy, apartheid and race, past and present, that suggested the BOA’s narrative had been repressed, underwritten and tamed for an official reading of Dutch anti-apartheid. An account of anti-apartheid which extolled national Dutch activists, values and vigour, located in an ideological and spatial vacuum safe from the imbricating bodywork of the BOA and its uncomfortable claims of Dutch complicity in relational places and ‘whole worlds’ of racism. So, following an introduction to the Outspan boycott I present what official accounts have said about the BOA, in combination with interview data and existing public correspondence between activists.</w:t>
      </w:r>
    </w:p>
    <w:p w:rsidR="00BA0F0B" w:rsidRPr="006B1236" w:rsidRDefault="00BA0F0B" w:rsidP="006B1236">
      <w:pPr>
        <w:tabs>
          <w:tab w:val="left" w:pos="2067"/>
        </w:tabs>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ab/>
      </w: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 xml:space="preserve">According to du Plessis the Dutch white anti-apartheid struggle should be divided into four broad phases that extend and complicate official historiographies. Firstly, the period prior to official apartheid policy from 1652-1948 was characterized by sporadic opposition to “racism no less oppressive or virulent” (du Plessis, 2012) than official segregation, and comprised of resistance to slavery, primitive accumulation, and the securing of cheap labour. The second period of 1948-1960 is bookended by the legalization of South African Apartheid and the Sharpeville massacre. Anti-apartheid activism of this period was limited to largely uncoordinated and underground actions inspired by two Dutch publications, Dr J.J Buskes (1955) </w:t>
      </w:r>
      <w:r w:rsidRPr="006B1236">
        <w:rPr>
          <w:rFonts w:ascii="Garamond" w:hAnsi="Garamond"/>
          <w:i/>
          <w:sz w:val="24"/>
          <w:szCs w:val="24"/>
        </w:rPr>
        <w:t>South Africa's Apartheid Policy: Unacceptable</w:t>
      </w:r>
      <w:r w:rsidRPr="006B1236">
        <w:rPr>
          <w:rFonts w:ascii="Garamond" w:hAnsi="Garamond"/>
          <w:sz w:val="24"/>
          <w:szCs w:val="24"/>
        </w:rPr>
        <w:t xml:space="preserve"> (</w:t>
      </w:r>
      <w:r w:rsidRPr="006B1236">
        <w:rPr>
          <w:rFonts w:ascii="Garamond" w:hAnsi="Garamond"/>
          <w:i/>
          <w:sz w:val="24"/>
          <w:szCs w:val="24"/>
        </w:rPr>
        <w:t>Zuid Afrika’s Apartheidrbeleid Ona</w:t>
      </w:r>
      <w:r w:rsidR="00992269">
        <w:rPr>
          <w:rFonts w:ascii="Garamond" w:hAnsi="Garamond"/>
          <w:i/>
          <w:sz w:val="24"/>
          <w:szCs w:val="24"/>
        </w:rPr>
        <w:t>anvaa</w:t>
      </w:r>
      <w:r w:rsidRPr="006B1236">
        <w:rPr>
          <w:rFonts w:ascii="Garamond" w:hAnsi="Garamond"/>
          <w:i/>
          <w:sz w:val="24"/>
          <w:szCs w:val="24"/>
        </w:rPr>
        <w:t>r</w:t>
      </w:r>
      <w:r w:rsidR="00992269">
        <w:rPr>
          <w:rFonts w:ascii="Garamond" w:hAnsi="Garamond"/>
          <w:i/>
          <w:sz w:val="24"/>
          <w:szCs w:val="24"/>
        </w:rPr>
        <w:t>d</w:t>
      </w:r>
      <w:r w:rsidRPr="006B1236">
        <w:rPr>
          <w:rFonts w:ascii="Garamond" w:hAnsi="Garamond"/>
          <w:i/>
          <w:sz w:val="24"/>
          <w:szCs w:val="24"/>
        </w:rPr>
        <w:t>baar</w:t>
      </w:r>
      <w:r w:rsidRPr="006B1236">
        <w:rPr>
          <w:rFonts w:ascii="Garamond" w:hAnsi="Garamond"/>
          <w:sz w:val="24"/>
          <w:szCs w:val="24"/>
        </w:rPr>
        <w:t xml:space="preserve">), and the co-founder of the BOA, Karel Roskam’s, </w:t>
      </w:r>
      <w:r w:rsidRPr="006B1236">
        <w:rPr>
          <w:rFonts w:ascii="Garamond" w:hAnsi="Garamond"/>
          <w:i/>
          <w:sz w:val="24"/>
          <w:szCs w:val="24"/>
        </w:rPr>
        <w:t xml:space="preserve">Apartheid and Discrimination </w:t>
      </w:r>
      <w:r w:rsidRPr="006B1236">
        <w:rPr>
          <w:rFonts w:ascii="Garamond" w:hAnsi="Garamond"/>
          <w:sz w:val="24"/>
          <w:szCs w:val="24"/>
        </w:rPr>
        <w:t xml:space="preserve">(1960). Following the Sharpeville massacre of 1960 the third period of Dutch anti-apartheid was distinctive for the widespread mobilization of Dutch anti-apartheid movements. After the Soweto uprising </w:t>
      </w:r>
      <w:r w:rsidRPr="006B1236">
        <w:rPr>
          <w:rFonts w:ascii="Garamond" w:hAnsi="Garamond"/>
          <w:sz w:val="24"/>
          <w:szCs w:val="24"/>
        </w:rPr>
        <w:lastRenderedPageBreak/>
        <w:t xml:space="preserve">of 1976, the final phase of anti-apartheid activism was marked by its increasingly popular and fashionable support. </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B83595" w:rsidRDefault="00BA0F0B" w:rsidP="006B1236">
      <w:pPr>
        <w:autoSpaceDE w:val="0"/>
        <w:autoSpaceDN w:val="0"/>
        <w:adjustRightInd w:val="0"/>
        <w:spacing w:after="0" w:line="360" w:lineRule="auto"/>
        <w:jc w:val="both"/>
        <w:rPr>
          <w:rFonts w:ascii="Garamond" w:hAnsi="Garamond"/>
          <w:b/>
          <w:i/>
          <w:szCs w:val="24"/>
        </w:rPr>
      </w:pPr>
      <w:r w:rsidRPr="00B83595">
        <w:rPr>
          <w:rFonts w:ascii="Garamond" w:hAnsi="Garamond"/>
          <w:b/>
          <w:i/>
          <w:szCs w:val="24"/>
        </w:rPr>
        <w:t>BOA formation and boycott campaign</w:t>
      </w:r>
    </w:p>
    <w:p w:rsidR="00BA0F0B" w:rsidRPr="006B1236" w:rsidRDefault="00BA0F0B" w:rsidP="006B1236">
      <w:pPr>
        <w:autoSpaceDE w:val="0"/>
        <w:autoSpaceDN w:val="0"/>
        <w:adjustRightInd w:val="0"/>
        <w:spacing w:after="0" w:line="360" w:lineRule="auto"/>
        <w:jc w:val="both"/>
        <w:rPr>
          <w:rFonts w:ascii="Garamond" w:hAnsi="Garamond"/>
          <w:b/>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 BOA was registered as a development foundation, and its status required a chairman, treasurer and secretary. Their foundation status afforded the organization advantages:</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6B1236" w:rsidRDefault="006B1236" w:rsidP="006B1236">
      <w:pPr>
        <w:spacing w:line="360" w:lineRule="auto"/>
        <w:ind w:left="284" w:right="284"/>
        <w:jc w:val="both"/>
        <w:rPr>
          <w:rFonts w:ascii="Garamond" w:hAnsi="Garamond"/>
        </w:rPr>
      </w:pPr>
      <w:r w:rsidRPr="006B1236">
        <w:rPr>
          <w:rFonts w:ascii="Garamond" w:hAnsi="Garamond"/>
        </w:rPr>
        <w:t>HUGH</w:t>
      </w:r>
      <w:r w:rsidR="00BA0F0B" w:rsidRPr="006B1236">
        <w:rPr>
          <w:rFonts w:ascii="Garamond" w:hAnsi="Garamond"/>
        </w:rPr>
        <w:t xml:space="preserve">: So the BOA were a </w:t>
      </w:r>
      <w:r>
        <w:rPr>
          <w:rFonts w:ascii="Garamond" w:hAnsi="Garamond"/>
        </w:rPr>
        <w:t>foundation. What did that mean?</w:t>
      </w:r>
    </w:p>
    <w:p w:rsidR="006B1236" w:rsidRDefault="006B1236" w:rsidP="006B1236">
      <w:pPr>
        <w:spacing w:line="360" w:lineRule="auto"/>
        <w:ind w:left="284" w:right="284"/>
        <w:jc w:val="both"/>
        <w:rPr>
          <w:rFonts w:ascii="Garamond" w:hAnsi="Garamond"/>
        </w:rPr>
      </w:pPr>
      <w:r w:rsidRPr="006B1236">
        <w:rPr>
          <w:rFonts w:ascii="Garamond" w:hAnsi="Garamond"/>
        </w:rPr>
        <w:t>ESAU</w:t>
      </w:r>
      <w:r w:rsidR="00BA0F0B" w:rsidRPr="006B1236">
        <w:rPr>
          <w:rFonts w:ascii="Garamond" w:hAnsi="Garamond"/>
        </w:rPr>
        <w:t>: The foundation can be used for any social work, boycott movement, well depending on what the aims are. It gives you legal status and an executive committee. Legal status was useful for instance if you want money from the state you have to be a foundation</w:t>
      </w:r>
      <w:r w:rsidR="00BA0F0B" w:rsidRPr="006B1236">
        <w:rPr>
          <w:rStyle w:val="FootnoteReference"/>
          <w:rFonts w:ascii="Garamond" w:hAnsi="Garamond"/>
        </w:rPr>
        <w:footnoteReference w:id="55"/>
      </w:r>
      <w:r w:rsidR="00BA0F0B" w:rsidRPr="006B1236">
        <w:rPr>
          <w:rFonts w:ascii="Garamond" w:hAnsi="Garamond"/>
        </w:rPr>
        <w:t>. And we had members from parliament like Dolf Coppes - it meant we had access to parliament.</w:t>
      </w:r>
    </w:p>
    <w:p w:rsidR="006B1236" w:rsidRDefault="006B1236" w:rsidP="006B1236">
      <w:pPr>
        <w:spacing w:line="360" w:lineRule="auto"/>
        <w:ind w:left="284" w:right="284"/>
        <w:jc w:val="both"/>
        <w:rPr>
          <w:rFonts w:ascii="Garamond" w:hAnsi="Garamond"/>
        </w:rPr>
      </w:pPr>
      <w:r w:rsidRPr="006B1236">
        <w:rPr>
          <w:rFonts w:ascii="Garamond" w:hAnsi="Garamond"/>
        </w:rPr>
        <w:t>HUGH</w:t>
      </w:r>
      <w:r w:rsidR="00BA0F0B" w:rsidRPr="006B1236">
        <w:rPr>
          <w:rFonts w:ascii="Garamond" w:hAnsi="Garamond"/>
        </w:rPr>
        <w:t>: So the legal jurisdiction for the status was applied after WW2?</w:t>
      </w:r>
    </w:p>
    <w:p w:rsidR="00BA0F0B" w:rsidRPr="006B1236" w:rsidRDefault="006B1236" w:rsidP="006B1236">
      <w:pPr>
        <w:spacing w:line="360" w:lineRule="auto"/>
        <w:ind w:left="284" w:right="284"/>
        <w:jc w:val="both"/>
        <w:rPr>
          <w:rFonts w:ascii="Garamond" w:hAnsi="Garamond"/>
        </w:rPr>
      </w:pPr>
      <w:r w:rsidRPr="006B1236">
        <w:rPr>
          <w:rFonts w:ascii="Garamond" w:hAnsi="Garamond"/>
        </w:rPr>
        <w:t>ESAU</w:t>
      </w:r>
      <w:r w:rsidR="00BA0F0B" w:rsidRPr="006B1236">
        <w:rPr>
          <w:rFonts w:ascii="Garamond" w:hAnsi="Garamond"/>
        </w:rPr>
        <w:t xml:space="preserve">: It gives a progressive left wing movement an opportunity, a climate to operate freely, and we were protected by law. But also it gives protection to right wing fascists, they are also protected by law. Its freedom of expression. </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During the boycott campaign of 1972-74 the BOA depended on personal fundraising campaigns and collections at churches (especially the Dutch Reformed Church), and stipends from the Programme to Combat Racism (the PCR) of the World Church Council based in Geneva. After the BOA gained mass publicity from the Outspan boycott the foundation received funds from the Dutch ‘Development Aid Scheme’,</w:t>
      </w:r>
      <w:r w:rsidRPr="006B1236">
        <w:rPr>
          <w:rStyle w:val="FootnoteReference"/>
          <w:rFonts w:ascii="Garamond" w:hAnsi="Garamond"/>
          <w:sz w:val="24"/>
          <w:szCs w:val="24"/>
        </w:rPr>
        <w:footnoteReference w:id="56"/>
      </w:r>
      <w:r w:rsidRPr="006B1236">
        <w:rPr>
          <w:rFonts w:ascii="Garamond" w:hAnsi="Garamond"/>
          <w:sz w:val="24"/>
          <w:szCs w:val="24"/>
        </w:rPr>
        <w:t xml:space="preserve"> and private donations from ordinary individuals and key figures in the liberal progressive Den Uyl government, including the Prime Minister himself (Interview du Plessis, 2011).</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lastRenderedPageBreak/>
        <w:t>The Outspan boycott sought to engage people in anti-apartheid and antiracism from across Dutch society; through the Outspan orange activist networks could begin from the ‘lowest threshold’:</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ind w:left="284" w:right="284"/>
        <w:jc w:val="both"/>
        <w:rPr>
          <w:rFonts w:ascii="Garamond" w:hAnsi="Garamond"/>
          <w:sz w:val="24"/>
        </w:rPr>
      </w:pPr>
      <w:r w:rsidRPr="006B1236">
        <w:rPr>
          <w:rFonts w:ascii="Garamond" w:hAnsi="Garamond"/>
          <w:sz w:val="24"/>
        </w:rPr>
        <w:t>The emphasis of the BOA was always the grassroots. The Dutch people were hungry for a national campaign against South Africa. The Outspan campaign was the first of the national campaigns, and at that time the Dutch were ready. The aim of the BOA was to raise the consciousness of the European public on racism and apartheid</w:t>
      </w:r>
      <w:r w:rsidR="00B83595">
        <w:rPr>
          <w:rFonts w:ascii="Garamond" w:hAnsi="Garamond"/>
          <w:sz w:val="24"/>
        </w:rPr>
        <w:t>. (Interview du Plessis, 2011)</w:t>
      </w:r>
    </w:p>
    <w:p w:rsidR="00BA0F0B" w:rsidRPr="006B1236" w:rsidRDefault="00BA0F0B" w:rsidP="006B1236">
      <w:pPr>
        <w:autoSpaceDE w:val="0"/>
        <w:autoSpaceDN w:val="0"/>
        <w:adjustRightInd w:val="0"/>
        <w:spacing w:after="0" w:line="360" w:lineRule="auto"/>
        <w:jc w:val="both"/>
        <w:rPr>
          <w:rFonts w:ascii="Garamond" w:hAnsi="Garamond"/>
          <w:sz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 key for du Plessis here is that the Dutch public were ready in 1972 for actions against apartheid. The BOA were able to capture the attention of a progressive generation of Dutch students and young people, the result of a generational cycle of the widespread political sensibilities of civil society (see, Buruma, 2010):</w:t>
      </w:r>
      <w:r w:rsidRPr="006B1236">
        <w:rPr>
          <w:rStyle w:val="FootnoteReference"/>
          <w:rFonts w:ascii="Garamond" w:hAnsi="Garamond"/>
          <w:sz w:val="24"/>
          <w:szCs w:val="24"/>
        </w:rPr>
        <w:footnoteReference w:id="57"/>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ind w:left="284" w:right="284"/>
        <w:jc w:val="both"/>
        <w:rPr>
          <w:rFonts w:ascii="Garamond" w:hAnsi="Garamond"/>
          <w:sz w:val="24"/>
          <w:szCs w:val="24"/>
        </w:rPr>
      </w:pPr>
      <w:r w:rsidRPr="006B1236">
        <w:rPr>
          <w:rFonts w:ascii="Garamond" w:hAnsi="Garamond"/>
          <w:sz w:val="24"/>
        </w:rPr>
        <w:t>Dutch society operates in cycles you know, the parents of the progressive activists of the 1970s were invariably conservative and racist, and the children of activist parents in the seventies tend to revert back to conservatism. The curren</w:t>
      </w:r>
      <w:r w:rsidR="00B83595">
        <w:rPr>
          <w:rFonts w:ascii="Garamond" w:hAnsi="Garamond"/>
          <w:sz w:val="24"/>
        </w:rPr>
        <w:t>t cycle is thus conservative. (I</w:t>
      </w:r>
      <w:r w:rsidRPr="006B1236">
        <w:rPr>
          <w:rFonts w:ascii="Garamond" w:hAnsi="Garamond"/>
          <w:sz w:val="24"/>
        </w:rPr>
        <w:t xml:space="preserve">nterview du Plessis, 2012) </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 BOA c</w:t>
      </w:r>
      <w:r w:rsidR="00992269">
        <w:rPr>
          <w:rFonts w:ascii="Garamond" w:hAnsi="Garamond"/>
          <w:sz w:val="24"/>
          <w:szCs w:val="24"/>
        </w:rPr>
        <w:t xml:space="preserve">onducted the boycott in </w:t>
      </w:r>
      <w:r w:rsidRPr="006B1236">
        <w:rPr>
          <w:rFonts w:ascii="Garamond" w:hAnsi="Garamond"/>
          <w:sz w:val="24"/>
          <w:szCs w:val="24"/>
        </w:rPr>
        <w:t xml:space="preserve">two distinct phases; the first in 1972 publicized the threat of the boycott, and aimed to educate the Dutch public, and the second in 1973 put the boycott into action (interview Veerman, 2011). Following the BOA anti-apartheid congress in 1973 and widespread publicity for the BOA boycott in national and regional media, a survey carried out by a Dutch newspaper in 1973 illustrated that the BOA were recognized by 71% of the national public (Bosgra, 2009). The BOA’s first publication, an eighty-page book entitled </w:t>
      </w:r>
      <w:r w:rsidRPr="006B1236">
        <w:rPr>
          <w:rFonts w:ascii="Garamond" w:hAnsi="Garamond"/>
          <w:i/>
          <w:sz w:val="24"/>
          <w:szCs w:val="24"/>
        </w:rPr>
        <w:t xml:space="preserve">Outspan: Bouwstenen Voor Apartheid </w:t>
      </w:r>
      <w:r w:rsidRPr="006B1236">
        <w:rPr>
          <w:rFonts w:ascii="Garamond" w:hAnsi="Garamond"/>
          <w:sz w:val="24"/>
          <w:szCs w:val="24"/>
        </w:rPr>
        <w:t>(Outspan: Building Bricks For Apartheid) sold approximately thirty thousand copies in three editions between 1972-6 (interview du Plessis, 2011), and the organization distributed many times that number of BOA pamphlets, posters, T-shirts and stickers. The organization translated into Dutch and disseminated anti-apartheid IDAF (International Defence Aid Fund) books</w:t>
      </w:r>
      <w:r w:rsidR="00992269">
        <w:rPr>
          <w:rFonts w:ascii="Garamond" w:hAnsi="Garamond"/>
          <w:sz w:val="24"/>
          <w:szCs w:val="24"/>
        </w:rPr>
        <w:t xml:space="preserve"> by Hilda Bernstein, Barbara Ro</w:t>
      </w:r>
      <w:r w:rsidRPr="006B1236">
        <w:rPr>
          <w:rFonts w:ascii="Garamond" w:hAnsi="Garamond"/>
          <w:sz w:val="24"/>
          <w:szCs w:val="24"/>
        </w:rPr>
        <w:t xml:space="preserve">gers, Alex Happle and Rosalynde Ainslie as a means of providing information on the different forms of agricultural labour utilized by </w:t>
      </w:r>
      <w:r w:rsidRPr="006B1236">
        <w:rPr>
          <w:rFonts w:ascii="Garamond" w:hAnsi="Garamond"/>
          <w:sz w:val="24"/>
          <w:szCs w:val="24"/>
        </w:rPr>
        <w:lastRenderedPageBreak/>
        <w:t xml:space="preserve">apartheid fruit producers exporting through the Outspan brand. At anti-Outspan congresses and press conferences they hosted exiled luminaries of the global Anti-Apartheid Movement such as Ruth First, Peter Hain, Joel Carlson, Cedric Mayson and Masizi Kunene. In 1973 the BOA established 800 action groups across The Netherlands (du Plessis, 1973), and through collaborating with the Dutch minister, Rev. R.J van der Veen, devised joint action plans with the World Council </w:t>
      </w:r>
      <w:r w:rsidR="002706A8">
        <w:rPr>
          <w:rFonts w:ascii="Garamond" w:hAnsi="Garamond"/>
          <w:sz w:val="24"/>
          <w:szCs w:val="24"/>
        </w:rPr>
        <w:t>of Churches and other Dutch AAM</w:t>
      </w:r>
      <w:r w:rsidRPr="006B1236">
        <w:rPr>
          <w:rFonts w:ascii="Garamond" w:hAnsi="Garamond"/>
          <w:sz w:val="24"/>
          <w:szCs w:val="24"/>
        </w:rPr>
        <w:t xml:space="preserve">s in order to influence public opinion on apartheid (BOA Congress Verslag, 1973). </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 boycott of Outspan was publicly supported by all of the 165 ‘Third World Shops’, whose volunteers would picket local supermarkets and grocers retailing Outspan wares and citrus (interview Beerends, 2011)</w:t>
      </w:r>
      <w:r w:rsidRPr="006B1236">
        <w:rPr>
          <w:rFonts w:ascii="Garamond" w:hAnsi="Garamond"/>
          <w:i/>
          <w:sz w:val="24"/>
          <w:szCs w:val="24"/>
        </w:rPr>
        <w:t xml:space="preserve">. </w:t>
      </w:r>
      <w:r w:rsidRPr="006B1236">
        <w:rPr>
          <w:rFonts w:ascii="Garamond" w:hAnsi="Garamond"/>
          <w:sz w:val="24"/>
          <w:szCs w:val="24"/>
        </w:rPr>
        <w:t>From September 1972 through to September 1973, over 500 articles on the BOA were published in the Dutch provincial and national press, and they received regular coverage across a broad spectrum of national radio and television stations. Reports of the boycott appeared sporadically in national newspapers in England, Be</w:t>
      </w:r>
      <w:r w:rsidR="00DB7421">
        <w:rPr>
          <w:rFonts w:ascii="Garamond" w:hAnsi="Garamond"/>
          <w:sz w:val="24"/>
          <w:szCs w:val="24"/>
        </w:rPr>
        <w:t>lgium, France and Germany (see F</w:t>
      </w:r>
      <w:r w:rsidRPr="006B1236">
        <w:rPr>
          <w:rFonts w:ascii="Garamond" w:hAnsi="Garamond"/>
          <w:sz w:val="24"/>
          <w:szCs w:val="24"/>
        </w:rPr>
        <w:t>igure 1</w:t>
      </w:r>
      <w:r w:rsidR="00DB7421">
        <w:rPr>
          <w:rFonts w:ascii="Garamond" w:hAnsi="Garamond"/>
          <w:sz w:val="24"/>
          <w:szCs w:val="24"/>
        </w:rPr>
        <w:t>4</w:t>
      </w:r>
      <w:r w:rsidRPr="006B1236">
        <w:rPr>
          <w:rFonts w:ascii="Garamond" w:hAnsi="Garamond"/>
          <w:sz w:val="24"/>
          <w:szCs w:val="24"/>
        </w:rPr>
        <w:t xml:space="preserve">). </w:t>
      </w:r>
    </w:p>
    <w:p w:rsidR="00BA0F0B" w:rsidRPr="006B1236" w:rsidRDefault="00BA0F0B" w:rsidP="006B1236">
      <w:pPr>
        <w:autoSpaceDE w:val="0"/>
        <w:autoSpaceDN w:val="0"/>
        <w:adjustRightInd w:val="0"/>
        <w:spacing w:after="0" w:line="360" w:lineRule="auto"/>
        <w:jc w:val="both"/>
        <w:rPr>
          <w:rFonts w:ascii="Garamond" w:hAnsi="Garamond"/>
          <w:sz w:val="24"/>
          <w:szCs w:val="24"/>
        </w:rPr>
      </w:pPr>
    </w:p>
    <w:p w:rsidR="00BA0F0B" w:rsidRPr="006B1236" w:rsidRDefault="00BA0F0B" w:rsidP="006B1236">
      <w:pPr>
        <w:autoSpaceDE w:val="0"/>
        <w:autoSpaceDN w:val="0"/>
        <w:adjustRightInd w:val="0"/>
        <w:spacing w:after="0" w:line="360" w:lineRule="auto"/>
        <w:jc w:val="both"/>
        <w:rPr>
          <w:rFonts w:ascii="Garamond" w:hAnsi="Garamond"/>
          <w:sz w:val="24"/>
          <w:szCs w:val="24"/>
        </w:rPr>
      </w:pPr>
      <w:r w:rsidRPr="006B1236">
        <w:rPr>
          <w:rFonts w:ascii="Garamond" w:hAnsi="Garamond"/>
          <w:sz w:val="24"/>
          <w:szCs w:val="24"/>
        </w:rPr>
        <w:t>The boycott was endorsed by ANC and SACTU</w:t>
      </w:r>
      <w:r w:rsidR="002706A8" w:rsidRPr="006B1236">
        <w:rPr>
          <w:rStyle w:val="FootnoteReference"/>
          <w:rFonts w:ascii="Garamond" w:hAnsi="Garamond"/>
          <w:sz w:val="24"/>
          <w:szCs w:val="24"/>
        </w:rPr>
        <w:footnoteReference w:id="58"/>
      </w:r>
      <w:r w:rsidR="002706A8">
        <w:rPr>
          <w:rFonts w:ascii="Garamond" w:hAnsi="Garamond"/>
          <w:sz w:val="24"/>
          <w:szCs w:val="24"/>
        </w:rPr>
        <w:t xml:space="preserve"> </w:t>
      </w:r>
      <w:r w:rsidRPr="006B1236">
        <w:rPr>
          <w:rFonts w:ascii="Garamond" w:hAnsi="Garamond"/>
          <w:sz w:val="24"/>
          <w:szCs w:val="24"/>
        </w:rPr>
        <w:t>delegates who spoke at the BOA's first international anti-apartheid congress in Leiden (16th -18 March, 1973) alongside exiled anti-apartheid activists Ruth Fi</w:t>
      </w:r>
      <w:r w:rsidR="00992269">
        <w:rPr>
          <w:rFonts w:ascii="Garamond" w:hAnsi="Garamond"/>
          <w:sz w:val="24"/>
          <w:szCs w:val="24"/>
        </w:rPr>
        <w:t>rst, Peter Hain and James Phillips</w:t>
      </w:r>
      <w:r w:rsidRPr="006B1236">
        <w:rPr>
          <w:rFonts w:ascii="Garamond" w:hAnsi="Garamond"/>
          <w:sz w:val="24"/>
          <w:szCs w:val="24"/>
        </w:rPr>
        <w:t>. As became a recurrent publicity technique for the BOA, a press conference was called at the International Press Centre “Nieuwspoort” (The Hague), on the 7th of March to announce the congress to the Dutch public.  The Congress brought together activists from a spectrum of anti-apartheid campaigns across Europe and South Africa. It constituted a public appeal to boycott and agitate against South Africa more broadly, and a defence against widespread arguments that boycotts and divestment were counter-productive for black South Africans. Highlights from the Congress were broadcast on national radio and published across the print media. Ruth First</w:t>
      </w:r>
      <w:r w:rsidRPr="006B1236">
        <w:rPr>
          <w:rStyle w:val="FootnoteReference"/>
          <w:rFonts w:ascii="Garamond" w:hAnsi="Garamond"/>
          <w:sz w:val="24"/>
          <w:szCs w:val="24"/>
        </w:rPr>
        <w:footnoteReference w:id="59"/>
      </w:r>
      <w:r w:rsidRPr="006B1236">
        <w:rPr>
          <w:rFonts w:ascii="Garamond" w:hAnsi="Garamond"/>
          <w:sz w:val="24"/>
          <w:szCs w:val="24"/>
        </w:rPr>
        <w:t xml:space="preserve"> gave a passionate talk on the importance of investments, trade and white migration to the reproduction of the South African state. </w:t>
      </w:r>
    </w:p>
    <w:p w:rsidR="00BA0F0B" w:rsidRDefault="00BA0F0B" w:rsidP="006B1236">
      <w:pPr>
        <w:autoSpaceDE w:val="0"/>
        <w:autoSpaceDN w:val="0"/>
        <w:adjustRightInd w:val="0"/>
        <w:spacing w:after="0" w:line="360" w:lineRule="auto"/>
        <w:jc w:val="both"/>
        <w:rPr>
          <w:rFonts w:ascii="Garamond" w:hAnsi="Garamond"/>
          <w:sz w:val="24"/>
          <w:szCs w:val="24"/>
        </w:rPr>
      </w:pPr>
    </w:p>
    <w:p w:rsidR="00BA0F0B" w:rsidRDefault="00BA0F0B" w:rsidP="00BA0F0B">
      <w:pPr>
        <w:autoSpaceDE w:val="0"/>
        <w:autoSpaceDN w:val="0"/>
        <w:adjustRightInd w:val="0"/>
        <w:spacing w:after="0" w:line="360" w:lineRule="auto"/>
        <w:jc w:val="center"/>
        <w:rPr>
          <w:rFonts w:ascii="Garamond" w:hAnsi="Garamond"/>
          <w:sz w:val="24"/>
          <w:szCs w:val="24"/>
        </w:rPr>
      </w:pPr>
      <w:r>
        <w:rPr>
          <w:rFonts w:ascii="Garamond" w:hAnsi="Garamond"/>
          <w:noProof/>
          <w:sz w:val="24"/>
          <w:szCs w:val="24"/>
          <w:lang w:eastAsia="en-GB"/>
        </w:rPr>
        <w:lastRenderedPageBreak/>
        <w:drawing>
          <wp:inline distT="0" distB="0" distL="0" distR="0">
            <wp:extent cx="4992429" cy="4803445"/>
            <wp:effectExtent l="19050" t="0" r="0" b="0"/>
            <wp:docPr id="49" name="Picture 1" descr="C:\Users\hugh crosfield\Desktop\Outspan Boycot Plakboek Nr 4\OB PlakBoek Nr 4 pg 38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Outspan Boycot Plakboek Nr 4\OB PlakBoek Nr 4 pg 38  (2).tif"/>
                    <pic:cNvPicPr>
                      <a:picLocks noChangeAspect="1" noChangeArrowheads="1"/>
                    </pic:cNvPicPr>
                  </pic:nvPicPr>
                  <pic:blipFill>
                    <a:blip r:embed="rId27" cstate="print"/>
                    <a:srcRect/>
                    <a:stretch>
                      <a:fillRect/>
                    </a:stretch>
                  </pic:blipFill>
                  <pic:spPr bwMode="auto">
                    <a:xfrm>
                      <a:off x="0" y="0"/>
                      <a:ext cx="4992244" cy="4803267"/>
                    </a:xfrm>
                    <a:prstGeom prst="rect">
                      <a:avLst/>
                    </a:prstGeom>
                    <a:noFill/>
                    <a:ln w="9525">
                      <a:noFill/>
                      <a:miter lim="800000"/>
                      <a:headEnd/>
                      <a:tailEnd/>
                    </a:ln>
                  </pic:spPr>
                </pic:pic>
              </a:graphicData>
            </a:graphic>
          </wp:inline>
        </w:drawing>
      </w:r>
    </w:p>
    <w:p w:rsidR="001A482E" w:rsidRDefault="00691864" w:rsidP="00691864">
      <w:pPr>
        <w:pStyle w:val="Caption"/>
        <w:ind w:left="284"/>
        <w:rPr>
          <w:rFonts w:ascii="Perpetua" w:hAnsi="Perpetua"/>
          <w:b w:val="0"/>
          <w:color w:val="auto"/>
          <w:sz w:val="20"/>
        </w:rPr>
      </w:pPr>
      <w:bookmarkStart w:id="339" w:name="_Toc263509011"/>
      <w:bookmarkStart w:id="340" w:name="_Toc263510798"/>
      <w:bookmarkStart w:id="341" w:name="_Toc244508214"/>
      <w:bookmarkStart w:id="342" w:name="_Toc244577276"/>
      <w:bookmarkStart w:id="343" w:name="_Toc263495745"/>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14</w:t>
      </w:r>
      <w:r w:rsidR="00DF2DF8" w:rsidRPr="00691864">
        <w:rPr>
          <w:rFonts w:ascii="Perpetua" w:hAnsi="Perpetua"/>
          <w:b w:val="0"/>
          <w:color w:val="auto"/>
          <w:sz w:val="20"/>
        </w:rPr>
        <w:fldChar w:fldCharType="end"/>
      </w:r>
      <w:r w:rsidR="001A482E">
        <w:rPr>
          <w:rFonts w:ascii="Perpetua" w:hAnsi="Perpetua"/>
          <w:b w:val="0"/>
          <w:color w:val="auto"/>
          <w:sz w:val="20"/>
        </w:rPr>
        <w:t>: Photograph of a</w:t>
      </w:r>
      <w:r w:rsidRPr="00691864">
        <w:rPr>
          <w:rFonts w:ascii="Perpetua" w:hAnsi="Perpetua"/>
          <w:b w:val="0"/>
          <w:color w:val="auto"/>
          <w:sz w:val="20"/>
        </w:rPr>
        <w:t xml:space="preserve">rticle in </w:t>
      </w:r>
      <w:r w:rsidRPr="001A482E">
        <w:rPr>
          <w:rFonts w:ascii="Perpetua" w:hAnsi="Perpetua"/>
          <w:b w:val="0"/>
          <w:i/>
          <w:color w:val="auto"/>
          <w:sz w:val="20"/>
        </w:rPr>
        <w:t>The New International</w:t>
      </w:r>
      <w:r w:rsidRPr="00691864">
        <w:rPr>
          <w:rFonts w:ascii="Perpetua" w:hAnsi="Perpetua"/>
          <w:b w:val="0"/>
          <w:color w:val="auto"/>
          <w:sz w:val="20"/>
        </w:rPr>
        <w:t>, July 1976, on the BOA Outspan boycott.</w:t>
      </w:r>
      <w:bookmarkEnd w:id="339"/>
      <w:bookmarkEnd w:id="340"/>
    </w:p>
    <w:p w:rsidR="00BA0F0B" w:rsidRPr="001A482E" w:rsidRDefault="00691864" w:rsidP="001A482E">
      <w:pPr>
        <w:ind w:left="284"/>
        <w:rPr>
          <w:rFonts w:ascii="Perpetua" w:hAnsi="Perpetua"/>
          <w:sz w:val="20"/>
        </w:rPr>
      </w:pPr>
      <w:r w:rsidRPr="001A482E">
        <w:rPr>
          <w:rFonts w:ascii="Perpetua" w:hAnsi="Perpetua"/>
          <w:sz w:val="20"/>
        </w:rPr>
        <w:t>U</w:t>
      </w:r>
      <w:r w:rsidR="00BA0F0B" w:rsidRPr="001A482E">
        <w:rPr>
          <w:rFonts w:ascii="Perpetua" w:hAnsi="Perpetua"/>
          <w:sz w:val="20"/>
        </w:rPr>
        <w:t>sing the BOA Outspan boycott and interview with du Plessis as an example of a 'new' ethics of consumption: "outlining a new type of consumer concern emerging in the rich world"</w:t>
      </w:r>
      <w:r w:rsidRPr="001A482E">
        <w:rPr>
          <w:rFonts w:ascii="Perpetua" w:hAnsi="Perpetua"/>
          <w:sz w:val="20"/>
        </w:rPr>
        <w:t xml:space="preserve"> (p.12)</w:t>
      </w:r>
      <w:r w:rsidR="00BA0F0B" w:rsidRPr="001A482E">
        <w:rPr>
          <w:rFonts w:ascii="Perpetua" w:hAnsi="Perpetua"/>
          <w:sz w:val="20"/>
        </w:rPr>
        <w:t xml:space="preserve">. </w:t>
      </w:r>
      <w:r w:rsidR="00A820B9" w:rsidRPr="001A482E">
        <w:rPr>
          <w:rFonts w:ascii="Perpetua" w:hAnsi="Perpetua"/>
          <w:sz w:val="20"/>
        </w:rPr>
        <w:t xml:space="preserve">Image courtesy of </w:t>
      </w:r>
      <w:r w:rsidR="00BA0F0B" w:rsidRPr="001A482E">
        <w:rPr>
          <w:rFonts w:ascii="Perpetua" w:hAnsi="Perpetua"/>
          <w:sz w:val="20"/>
        </w:rPr>
        <w:t>du Plessis, private archive.</w:t>
      </w:r>
      <w:bookmarkEnd w:id="341"/>
      <w:bookmarkEnd w:id="342"/>
      <w:bookmarkEnd w:id="343"/>
    </w:p>
    <w:p w:rsidR="00BA0F0B" w:rsidRDefault="00BA0F0B" w:rsidP="00BA0F0B">
      <w:pPr>
        <w:autoSpaceDE w:val="0"/>
        <w:autoSpaceDN w:val="0"/>
        <w:adjustRightInd w:val="0"/>
        <w:spacing w:after="0" w:line="360" w:lineRule="auto"/>
        <w:jc w:val="both"/>
        <w:rPr>
          <w:rFonts w:ascii="Garamond" w:hAnsi="Garamond"/>
          <w:sz w:val="24"/>
          <w:szCs w:val="24"/>
        </w:rPr>
      </w:pPr>
    </w:p>
    <w:p w:rsidR="00BA0F0B" w:rsidRDefault="00BA0F0B" w:rsidP="00026BC9">
      <w:pPr>
        <w:autoSpaceDE w:val="0"/>
        <w:autoSpaceDN w:val="0"/>
        <w:adjustRightInd w:val="0"/>
        <w:spacing w:after="0" w:line="360" w:lineRule="auto"/>
        <w:jc w:val="both"/>
        <w:rPr>
          <w:rFonts w:ascii="Garamond" w:hAnsi="Garamond"/>
          <w:sz w:val="24"/>
          <w:szCs w:val="24"/>
        </w:rPr>
      </w:pPr>
      <w:r>
        <w:rPr>
          <w:rFonts w:ascii="Garamond" w:hAnsi="Garamond"/>
          <w:sz w:val="24"/>
          <w:szCs w:val="24"/>
        </w:rPr>
        <w:t>On buying Outspan oranges</w:t>
      </w:r>
      <w:r w:rsidR="00D57889">
        <w:rPr>
          <w:rFonts w:ascii="Garamond" w:hAnsi="Garamond"/>
          <w:sz w:val="24"/>
          <w:szCs w:val="24"/>
        </w:rPr>
        <w:t>,</w:t>
      </w:r>
      <w:r>
        <w:rPr>
          <w:rFonts w:ascii="Garamond" w:hAnsi="Garamond"/>
          <w:sz w:val="24"/>
          <w:szCs w:val="24"/>
        </w:rPr>
        <w:t xml:space="preserve"> Ruth First argued:</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ind w:left="284" w:right="284"/>
        <w:jc w:val="both"/>
        <w:rPr>
          <w:rFonts w:ascii="Garamond" w:hAnsi="Garamond"/>
        </w:rPr>
      </w:pPr>
      <w:r w:rsidRPr="00907189">
        <w:rPr>
          <w:rFonts w:ascii="Garamond" w:hAnsi="Garamond"/>
        </w:rPr>
        <w:t>The ordinary man or woman who buys an Outspan orange or who buys a share in the exchange of a company that invests in Southern Africa acquiesces with the system - chooses to identify herself with the oppressor</w:t>
      </w:r>
      <w:r>
        <w:rPr>
          <w:rFonts w:ascii="Garamond" w:hAnsi="Garamond"/>
        </w:rPr>
        <w:t>.</w:t>
      </w:r>
      <w:r w:rsidRPr="00907189">
        <w:rPr>
          <w:rFonts w:ascii="Garamond" w:hAnsi="Garamond"/>
        </w:rPr>
        <w:t xml:space="preserve"> (Translated from Dutch, </w:t>
      </w:r>
      <w:r w:rsidRPr="00907189">
        <w:rPr>
          <w:rFonts w:ascii="Garamond" w:hAnsi="Garamond"/>
          <w:i/>
        </w:rPr>
        <w:t>BOA Dokumentatiemap nr I: 17</w:t>
      </w:r>
      <w:r w:rsidRPr="00907189">
        <w:rPr>
          <w:rFonts w:ascii="Garamond" w:hAnsi="Garamond"/>
        </w:rPr>
        <w:t xml:space="preserve">, 1973)    </w:t>
      </w:r>
    </w:p>
    <w:p w:rsidR="00BA0F0B" w:rsidRPr="00907189" w:rsidRDefault="00BA0F0B" w:rsidP="00026BC9">
      <w:pPr>
        <w:autoSpaceDE w:val="0"/>
        <w:autoSpaceDN w:val="0"/>
        <w:adjustRightInd w:val="0"/>
        <w:spacing w:after="0" w:line="360" w:lineRule="auto"/>
        <w:ind w:left="284" w:right="284"/>
        <w:jc w:val="both"/>
        <w:rPr>
          <w:rFonts w:ascii="Garamond" w:hAnsi="Garamond"/>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Joel Car</w:t>
      </w:r>
      <w:r w:rsidR="00992269">
        <w:rPr>
          <w:rFonts w:ascii="Garamond" w:hAnsi="Garamond"/>
          <w:sz w:val="24"/>
          <w:szCs w:val="24"/>
        </w:rPr>
        <w:t>lson also spoke at the press conference.</w:t>
      </w:r>
      <w:r w:rsidRPr="00907189">
        <w:rPr>
          <w:rFonts w:ascii="Garamond" w:hAnsi="Garamond"/>
          <w:sz w:val="24"/>
          <w:szCs w:val="24"/>
        </w:rPr>
        <w:t xml:space="preserve"> Carlson was an exiled white lawyer from South Africa and had published extensively during the 1960s and </w:t>
      </w:r>
      <w:r>
        <w:rPr>
          <w:rFonts w:ascii="Garamond" w:hAnsi="Garamond"/>
          <w:sz w:val="24"/>
          <w:szCs w:val="24"/>
        </w:rPr>
        <w:t>19</w:t>
      </w:r>
      <w:r w:rsidRPr="00907189">
        <w:rPr>
          <w:rFonts w:ascii="Garamond" w:hAnsi="Garamond"/>
          <w:sz w:val="24"/>
          <w:szCs w:val="24"/>
        </w:rPr>
        <w:t xml:space="preserve">70s on the conditions of black labour and the </w:t>
      </w:r>
      <w:r w:rsidRPr="001E269A">
        <w:rPr>
          <w:rFonts w:ascii="Garamond" w:hAnsi="Garamond"/>
          <w:sz w:val="24"/>
          <w:szCs w:val="24"/>
        </w:rPr>
        <w:t xml:space="preserve">importance of legal defence for black political prisoners. His publication </w:t>
      </w:r>
      <w:r w:rsidRPr="001E269A">
        <w:rPr>
          <w:rFonts w:ascii="Garamond" w:hAnsi="Garamond"/>
          <w:i/>
          <w:iCs/>
          <w:sz w:val="24"/>
          <w:szCs w:val="24"/>
        </w:rPr>
        <w:t>No Neutral Ground</w:t>
      </w:r>
      <w:r w:rsidRPr="001E269A">
        <w:rPr>
          <w:rFonts w:ascii="Garamond" w:hAnsi="Garamond"/>
          <w:iCs/>
          <w:sz w:val="24"/>
          <w:szCs w:val="24"/>
        </w:rPr>
        <w:t xml:space="preserve"> (1973) gave eye-witness accounts of how legal defence could restrain police torture of political prisoners, create the conditions to </w:t>
      </w:r>
      <w:r w:rsidRPr="001E269A">
        <w:rPr>
          <w:rFonts w:ascii="Garamond" w:hAnsi="Garamond"/>
          <w:iCs/>
          <w:sz w:val="24"/>
          <w:szCs w:val="24"/>
        </w:rPr>
        <w:lastRenderedPageBreak/>
        <w:t>survive pre-trial interrogation, and avoid the death penalty (Carlson, 1973: Carstens, 1974). In a question and answer session with journalists foll</w:t>
      </w:r>
      <w:r w:rsidR="00992269">
        <w:rPr>
          <w:rFonts w:ascii="Garamond" w:hAnsi="Garamond"/>
          <w:iCs/>
          <w:sz w:val="24"/>
          <w:szCs w:val="24"/>
        </w:rPr>
        <w:t>owing his speech at the press conference</w:t>
      </w:r>
      <w:r w:rsidRPr="001E269A">
        <w:rPr>
          <w:rFonts w:ascii="Garamond" w:hAnsi="Garamond"/>
          <w:iCs/>
          <w:sz w:val="24"/>
          <w:szCs w:val="24"/>
        </w:rPr>
        <w:t>, Carlson argued:</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pStyle w:val="Default"/>
        <w:spacing w:line="360" w:lineRule="auto"/>
        <w:ind w:left="284" w:right="284"/>
        <w:jc w:val="both"/>
        <w:rPr>
          <w:rFonts w:ascii="Garamond" w:hAnsi="Garamond"/>
          <w:sz w:val="22"/>
          <w:szCs w:val="22"/>
        </w:rPr>
      </w:pPr>
      <w:r w:rsidRPr="00907189">
        <w:rPr>
          <w:rFonts w:ascii="Garamond" w:hAnsi="Garamond"/>
          <w:sz w:val="22"/>
          <w:szCs w:val="22"/>
        </w:rPr>
        <w:t xml:space="preserve">The blacks want their freedom and they want that quickly and in a peaceful manner. A boycott could contribute to this. To claim that the blacks would suffer first from a boycott, is white propaganda. The blacks in South Africa had to live on starvation wages for more than 300 years. They would rather suffer in a situation which still offers hope than in a situation without perspective. (Carlson, 1973 in du Plessis, 2009: 10-11) </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026BC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The congress brought together a transnational community of anti-apartheid organizations, trade-unions and liberation movements. It gave the BOA the opportunity to present a comprehensive list of boycott signatories from reputable organizations, politicians and activists to retailers across Holland before the summer of Dutch Outspan orange consumption began (interview, van der Aa 2011). But more importantly, among the Dutch public and the broader Dutch movement, it cemented the citrus boycott as an effective and viable form of anti-apartheid activism.</w:t>
      </w:r>
    </w:p>
    <w:p w:rsidR="00026BC9" w:rsidRDefault="00026BC9" w:rsidP="00026BC9">
      <w:pPr>
        <w:autoSpaceDE w:val="0"/>
        <w:autoSpaceDN w:val="0"/>
        <w:adjustRightInd w:val="0"/>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865"/>
        <w:gridCol w:w="2651"/>
      </w:tblGrid>
      <w:tr w:rsidR="00026BC9">
        <w:tc>
          <w:tcPr>
            <w:tcW w:w="4258" w:type="dxa"/>
          </w:tcPr>
          <w:p w:rsidR="00026BC9" w:rsidRPr="00026BC9" w:rsidRDefault="00026BC9" w:rsidP="00026BC9">
            <w:pPr>
              <w:autoSpaceDE w:val="0"/>
              <w:autoSpaceDN w:val="0"/>
              <w:adjustRightInd w:val="0"/>
              <w:spacing w:after="0" w:line="360" w:lineRule="auto"/>
              <w:jc w:val="both"/>
              <w:rPr>
                <w:rFonts w:ascii="Garamond" w:hAnsi="Garamond"/>
                <w:sz w:val="24"/>
                <w:szCs w:val="24"/>
              </w:rPr>
            </w:pPr>
            <w:r w:rsidRPr="00026BC9">
              <w:rPr>
                <w:rFonts w:ascii="Garamond" w:hAnsi="Garamond"/>
                <w:noProof/>
                <w:sz w:val="24"/>
                <w:szCs w:val="24"/>
                <w:lang w:eastAsia="en-GB"/>
              </w:rPr>
              <w:drawing>
                <wp:inline distT="0" distB="0" distL="0" distR="0">
                  <wp:extent cx="3567666" cy="2711795"/>
                  <wp:effectExtent l="19050" t="0" r="0" b="0"/>
                  <wp:docPr id="17" name="Picture 20" descr="C:\Users\hugh crosfield\Pictures\inspan girls with ruth fir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ugh crosfield\Pictures\inspan girls with ruth first.png"/>
                          <pic:cNvPicPr>
                            <a:picLocks noChangeAspect="1" noChangeArrowheads="1"/>
                          </pic:cNvPicPr>
                        </pic:nvPicPr>
                        <pic:blipFill>
                          <a:blip r:embed="rId28" cstate="print"/>
                          <a:srcRect/>
                          <a:stretch>
                            <a:fillRect/>
                          </a:stretch>
                        </pic:blipFill>
                        <pic:spPr bwMode="auto">
                          <a:xfrm>
                            <a:off x="0" y="0"/>
                            <a:ext cx="3570693" cy="2714096"/>
                          </a:xfrm>
                          <a:prstGeom prst="rect">
                            <a:avLst/>
                          </a:prstGeom>
                          <a:noFill/>
                          <a:ln w="9525">
                            <a:noFill/>
                            <a:miter lim="800000"/>
                            <a:headEnd/>
                            <a:tailEnd/>
                          </a:ln>
                        </pic:spPr>
                      </pic:pic>
                    </a:graphicData>
                  </a:graphic>
                </wp:inline>
              </w:drawing>
            </w:r>
          </w:p>
        </w:tc>
        <w:tc>
          <w:tcPr>
            <w:tcW w:w="4258" w:type="dxa"/>
          </w:tcPr>
          <w:p w:rsidR="001A482E" w:rsidRDefault="00691864" w:rsidP="00026BC9">
            <w:pPr>
              <w:pStyle w:val="Caption"/>
              <w:rPr>
                <w:rFonts w:ascii="Perpetua" w:hAnsi="Perpetua"/>
                <w:b w:val="0"/>
                <w:color w:val="auto"/>
                <w:sz w:val="20"/>
              </w:rPr>
            </w:pPr>
            <w:bookmarkStart w:id="344" w:name="_Toc263509012"/>
            <w:bookmarkStart w:id="345" w:name="_Toc263510799"/>
            <w:bookmarkStart w:id="346" w:name="_Toc244508215"/>
            <w:bookmarkStart w:id="347" w:name="_Toc244577277"/>
            <w:bookmarkStart w:id="348" w:name="_Toc263495746"/>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15</w:t>
            </w:r>
            <w:r w:rsidR="00DF2DF8" w:rsidRPr="00691864">
              <w:rPr>
                <w:rFonts w:ascii="Perpetua" w:hAnsi="Perpetua"/>
                <w:b w:val="0"/>
                <w:color w:val="auto"/>
                <w:sz w:val="20"/>
              </w:rPr>
              <w:fldChar w:fldCharType="end"/>
            </w:r>
            <w:r w:rsidRPr="00691864">
              <w:rPr>
                <w:rFonts w:ascii="Perpetua" w:hAnsi="Perpetua"/>
                <w:b w:val="0"/>
                <w:color w:val="auto"/>
                <w:sz w:val="20"/>
              </w:rPr>
              <w:t xml:space="preserve">: Photograph </w:t>
            </w:r>
            <w:r w:rsidR="00992269">
              <w:rPr>
                <w:rFonts w:ascii="Perpetua" w:hAnsi="Perpetua"/>
                <w:b w:val="0"/>
                <w:color w:val="auto"/>
                <w:sz w:val="20"/>
              </w:rPr>
              <w:t>of Ruth First with Inspan Girls from the Dutch Antilles and Suriname</w:t>
            </w:r>
            <w:r w:rsidR="00026BC9" w:rsidRPr="00691864">
              <w:rPr>
                <w:rFonts w:ascii="Perpetua" w:hAnsi="Perpetua"/>
                <w:b w:val="0"/>
                <w:color w:val="auto"/>
                <w:sz w:val="20"/>
              </w:rPr>
              <w:t>.</w:t>
            </w:r>
            <w:bookmarkEnd w:id="344"/>
            <w:bookmarkEnd w:id="345"/>
            <w:r w:rsidR="00026BC9" w:rsidRPr="00691864">
              <w:rPr>
                <w:rFonts w:ascii="Perpetua" w:hAnsi="Perpetua"/>
                <w:b w:val="0"/>
                <w:color w:val="auto"/>
                <w:sz w:val="20"/>
              </w:rPr>
              <w:t xml:space="preserve"> </w:t>
            </w:r>
          </w:p>
          <w:p w:rsidR="00026BC9" w:rsidRPr="001A482E" w:rsidRDefault="00026BC9" w:rsidP="001A482E">
            <w:pPr>
              <w:rPr>
                <w:rFonts w:ascii="Perpetua" w:hAnsi="Perpetua"/>
                <w:sz w:val="20"/>
              </w:rPr>
            </w:pPr>
            <w:r w:rsidRPr="001A482E">
              <w:rPr>
                <w:rFonts w:ascii="Perpetua" w:hAnsi="Perpetua"/>
                <w:sz w:val="20"/>
              </w:rPr>
              <w:t>Image courtesy of the IISH.</w:t>
            </w:r>
            <w:bookmarkEnd w:id="346"/>
            <w:bookmarkEnd w:id="347"/>
            <w:bookmarkEnd w:id="348"/>
            <w:r w:rsidRPr="001A482E">
              <w:rPr>
                <w:rFonts w:ascii="Perpetua" w:hAnsi="Perpetua"/>
                <w:sz w:val="20"/>
              </w:rPr>
              <w:t xml:space="preserve">   </w:t>
            </w:r>
          </w:p>
          <w:p w:rsidR="00026BC9" w:rsidRPr="00691864" w:rsidRDefault="00026BC9" w:rsidP="00691864">
            <w:pPr>
              <w:keepNext/>
              <w:autoSpaceDE w:val="0"/>
              <w:autoSpaceDN w:val="0"/>
              <w:adjustRightInd w:val="0"/>
              <w:spacing w:after="0" w:line="360" w:lineRule="auto"/>
              <w:jc w:val="both"/>
              <w:rPr>
                <w:rFonts w:ascii="Perpetua" w:hAnsi="Perpetua"/>
                <w:sz w:val="20"/>
                <w:szCs w:val="24"/>
              </w:rPr>
            </w:pPr>
          </w:p>
        </w:tc>
      </w:tr>
    </w:tbl>
    <w:p w:rsidR="00691864" w:rsidRDefault="00691864" w:rsidP="00026BC9">
      <w:pPr>
        <w:autoSpaceDE w:val="0"/>
        <w:autoSpaceDN w:val="0"/>
        <w:adjustRightInd w:val="0"/>
        <w:spacing w:after="0" w:line="360" w:lineRule="auto"/>
        <w:jc w:val="both"/>
        <w:rPr>
          <w:rFonts w:ascii="Garamond" w:hAnsi="Garamond"/>
          <w:sz w:val="24"/>
          <w:szCs w:val="24"/>
        </w:rPr>
      </w:pPr>
    </w:p>
    <w:p w:rsidR="00BA0F0B" w:rsidRPr="001E269A" w:rsidRDefault="00BA0F0B" w:rsidP="00026BC9">
      <w:pPr>
        <w:autoSpaceDE w:val="0"/>
        <w:autoSpaceDN w:val="0"/>
        <w:adjustRightInd w:val="0"/>
        <w:spacing w:after="0" w:line="360" w:lineRule="auto"/>
        <w:jc w:val="both"/>
        <w:rPr>
          <w:rFonts w:ascii="Perpetua" w:hAnsi="Perpetua"/>
        </w:rPr>
      </w:pPr>
      <w:r w:rsidRPr="00907189">
        <w:rPr>
          <w:rFonts w:ascii="Garamond" w:hAnsi="Garamond"/>
          <w:sz w:val="24"/>
          <w:szCs w:val="24"/>
        </w:rPr>
        <w:t xml:space="preserve">In South Africa the BOA were reported on as acting out of solidarity with the apartheid labourer in the columns of the liberal </w:t>
      </w:r>
      <w:r w:rsidRPr="00907189">
        <w:rPr>
          <w:rFonts w:ascii="Garamond" w:hAnsi="Garamond"/>
          <w:i/>
          <w:sz w:val="24"/>
          <w:szCs w:val="24"/>
        </w:rPr>
        <w:t>Cape Times, The Cape Argus</w:t>
      </w:r>
      <w:r w:rsidRPr="00907189">
        <w:rPr>
          <w:rFonts w:ascii="Garamond" w:hAnsi="Garamond"/>
          <w:sz w:val="24"/>
          <w:szCs w:val="24"/>
        </w:rPr>
        <w:t xml:space="preserve"> and the </w:t>
      </w:r>
      <w:r w:rsidRPr="00907189">
        <w:rPr>
          <w:rFonts w:ascii="Garamond" w:hAnsi="Garamond"/>
          <w:i/>
          <w:sz w:val="24"/>
          <w:szCs w:val="24"/>
        </w:rPr>
        <w:t xml:space="preserve">Johannesburg Star. </w:t>
      </w:r>
      <w:r w:rsidRPr="00907189">
        <w:rPr>
          <w:rFonts w:ascii="Garamond" w:hAnsi="Garamond"/>
          <w:sz w:val="24"/>
          <w:szCs w:val="24"/>
        </w:rPr>
        <w:t xml:space="preserve">As a significant measure of their success, the BOA caught the attention of the apartheid regime in South Africa; in 1972 the apartheid propagandist Eschel Rhoodie attempted </w:t>
      </w:r>
      <w:r w:rsidR="00F07857">
        <w:rPr>
          <w:rFonts w:ascii="Garamond" w:hAnsi="Garamond"/>
          <w:sz w:val="24"/>
          <w:szCs w:val="24"/>
        </w:rPr>
        <w:t>a smear campaign on du Plessis’</w:t>
      </w:r>
      <w:r w:rsidRPr="00907189">
        <w:rPr>
          <w:rFonts w:ascii="Garamond" w:hAnsi="Garamond"/>
          <w:sz w:val="24"/>
          <w:szCs w:val="24"/>
        </w:rPr>
        <w:t xml:space="preserve"> name by suggesting he had accepted ‘substantial funds’ in exchange for contact details of other anti-apartheid activists (Sanders, 2000) and the </w:t>
      </w:r>
      <w:r w:rsidRPr="00907189">
        <w:rPr>
          <w:rFonts w:ascii="Garamond" w:hAnsi="Garamond"/>
          <w:sz w:val="24"/>
          <w:szCs w:val="24"/>
        </w:rPr>
        <w:lastRenderedPageBreak/>
        <w:t>BOA became a focus for informants and the South African secret police (interview du Plessis, 2011; interview Van der Aa, 2011). From 1973-75 the BOA became the subject of a legal dispute over the use of its central boycott motif. The Reclame Code Commissie (RCC), an advertising standards board launched an injunction against the image due to its supposed indecency, and for two years the squeezing image was officially banned from publication. This gave the image, and the BOA, a subversive edge, and drew sympathetic publicity from the entire Dutch press:</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ind w:left="284" w:right="284"/>
        <w:jc w:val="both"/>
        <w:rPr>
          <w:rFonts w:ascii="Garamond" w:hAnsi="Garamond"/>
        </w:rPr>
      </w:pPr>
      <w:r w:rsidRPr="00907189">
        <w:rPr>
          <w:rFonts w:ascii="Garamond" w:hAnsi="Garamond"/>
        </w:rPr>
        <w:t>Various newspapers and magazines all discussed it in the context of their cases, the freedom of expression, and they all asked the question, to what extent were the Reclame Code Commissie right and justified in banning the motifs because they were not a commercial? We were not a company and we didn’t sell any commodities…</w:t>
      </w:r>
      <w:r w:rsidRPr="00907189">
        <w:rPr>
          <w:rFonts w:ascii="Garamond" w:hAnsi="Garamond"/>
          <w:sz w:val="28"/>
        </w:rPr>
        <w:t xml:space="preserve"> </w:t>
      </w:r>
      <w:r w:rsidRPr="00907189">
        <w:rPr>
          <w:rFonts w:ascii="Garamond" w:hAnsi="Garamond"/>
        </w:rPr>
        <w:t>And they arranged a press conference for Schiphol airport, in the press centre. And they sat with the BOA lawyer, Willem van Manen and asked him to speak about the freedom of express</w:t>
      </w:r>
      <w:r>
        <w:rPr>
          <w:rFonts w:ascii="Garamond" w:hAnsi="Garamond"/>
        </w:rPr>
        <w:t>ion as he was the most specializ</w:t>
      </w:r>
      <w:r w:rsidRPr="00907189">
        <w:rPr>
          <w:rFonts w:ascii="Garamond" w:hAnsi="Garamond"/>
        </w:rPr>
        <w:t>ed lawyer in Holland on that subject. He asked me to organize the publicity for him, so I called the ANP the GPD, Trouw and so on</w:t>
      </w:r>
      <w:r w:rsidRPr="00907189">
        <w:rPr>
          <w:rStyle w:val="FootnoteReference"/>
          <w:rFonts w:ascii="Garamond" w:hAnsi="Garamond"/>
        </w:rPr>
        <w:footnoteReference w:id="60"/>
      </w:r>
      <w:r w:rsidRPr="00907189">
        <w:rPr>
          <w:rFonts w:ascii="Garamond" w:hAnsi="Garamond"/>
        </w:rPr>
        <w:t xml:space="preserve">. And they were all there. And the following day there were huge articles about his speech, and reproductions of the motif. I’m glad it was banned! (interview </w:t>
      </w:r>
      <w:r>
        <w:rPr>
          <w:rFonts w:ascii="Garamond" w:hAnsi="Garamond"/>
        </w:rPr>
        <w:t>du Plessis, 2011)</w:t>
      </w:r>
    </w:p>
    <w:p w:rsidR="00026BC9" w:rsidRDefault="00026BC9" w:rsidP="00026BC9">
      <w:pPr>
        <w:autoSpaceDE w:val="0"/>
        <w:autoSpaceDN w:val="0"/>
        <w:adjustRightInd w:val="0"/>
        <w:spacing w:after="0" w:line="360" w:lineRule="auto"/>
        <w:jc w:val="both"/>
        <w:rPr>
          <w:rFonts w:ascii="Garamond" w:hAnsi="Garamond"/>
        </w:rPr>
      </w:pPr>
    </w:p>
    <w:p w:rsidR="00026BC9" w:rsidRPr="00907189" w:rsidRDefault="00026BC9"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The contest over the BOA’s central motif was framed in the national press as a debate over the freedom of expression in Holland. The publicity yielded huge boycott potential; the main Dutch supermarkets (Albert Heijn, The Spar, De Gruyter, Vroom en Dreesmaan) buckled to BOA demands days after they were threatened with wholesale boycotts of their stores. In response to the publicity and the forma</w:t>
      </w:r>
      <w:r w:rsidR="000B6D76">
        <w:rPr>
          <w:rFonts w:ascii="Garamond" w:hAnsi="Garamond"/>
          <w:sz w:val="24"/>
          <w:szCs w:val="24"/>
        </w:rPr>
        <w:t>tion of the BOA’s multi-ethnic Inspan Girls</w:t>
      </w:r>
      <w:r w:rsidRPr="00907189">
        <w:rPr>
          <w:rFonts w:ascii="Garamond" w:hAnsi="Garamond"/>
          <w:sz w:val="24"/>
          <w:szCs w:val="24"/>
        </w:rPr>
        <w:t>, Outspan cancelled their</w:t>
      </w:r>
      <w:r>
        <w:rPr>
          <w:rFonts w:ascii="Garamond" w:hAnsi="Garamond"/>
          <w:sz w:val="24"/>
          <w:szCs w:val="24"/>
        </w:rPr>
        <w:t xml:space="preserve"> Outspan G</w:t>
      </w:r>
      <w:r w:rsidRPr="00907189">
        <w:rPr>
          <w:rFonts w:ascii="Garamond" w:hAnsi="Garamond"/>
          <w:sz w:val="24"/>
          <w:szCs w:val="24"/>
        </w:rPr>
        <w:t xml:space="preserve">irls tour in the summer on 1973, called a halt to all their advertising campaigns in Holland, and removed all labelling from their citrus in an attempt to sell to a market that had lost its taste for the Outspan brand. However, the BOA taught retailers and </w:t>
      </w:r>
      <w:r>
        <w:rPr>
          <w:rFonts w:ascii="Garamond" w:hAnsi="Garamond"/>
          <w:sz w:val="24"/>
          <w:szCs w:val="24"/>
        </w:rPr>
        <w:t>the Dutch public how to recogniz</w:t>
      </w:r>
      <w:r w:rsidRPr="00907189">
        <w:rPr>
          <w:rFonts w:ascii="Garamond" w:hAnsi="Garamond"/>
          <w:sz w:val="24"/>
          <w:szCs w:val="24"/>
        </w:rPr>
        <w:t>e the material properties of the South African navel orange (which accounted for most of the Outspan citrus export to Holland), citing its thick skin as an obvious attribute which set it apart from other summer season oranges from South America (du Plessis, 1972; 2011). The Inspan Girls were the front line of a nationwide network of loca</w:t>
      </w:r>
      <w:r>
        <w:rPr>
          <w:rFonts w:ascii="Garamond" w:hAnsi="Garamond"/>
          <w:sz w:val="24"/>
          <w:szCs w:val="24"/>
        </w:rPr>
        <w:t>l resistance to Outspan advertis</w:t>
      </w:r>
      <w:r w:rsidRPr="00907189">
        <w:rPr>
          <w:rFonts w:ascii="Garamond" w:hAnsi="Garamond"/>
          <w:sz w:val="24"/>
          <w:szCs w:val="24"/>
        </w:rPr>
        <w:t>ing:</w:t>
      </w:r>
    </w:p>
    <w:p w:rsidR="00026BC9" w:rsidRPr="00907189" w:rsidRDefault="00026BC9" w:rsidP="00026BC9">
      <w:pPr>
        <w:autoSpaceDE w:val="0"/>
        <w:autoSpaceDN w:val="0"/>
        <w:adjustRightInd w:val="0"/>
        <w:spacing w:after="0" w:line="360" w:lineRule="auto"/>
        <w:jc w:val="both"/>
        <w:rPr>
          <w:rFonts w:ascii="Garamond" w:hAnsi="Garamond"/>
        </w:rPr>
      </w:pPr>
    </w:p>
    <w:p w:rsidR="00026BC9" w:rsidRPr="00907189" w:rsidRDefault="00026BC9" w:rsidP="00026BC9">
      <w:pPr>
        <w:pStyle w:val="Default"/>
        <w:spacing w:line="360" w:lineRule="auto"/>
        <w:ind w:left="284" w:right="284"/>
        <w:jc w:val="both"/>
        <w:rPr>
          <w:rFonts w:ascii="Garamond" w:hAnsi="Garamond"/>
          <w:sz w:val="22"/>
          <w:szCs w:val="22"/>
        </w:rPr>
      </w:pPr>
      <w:r w:rsidRPr="00907189">
        <w:rPr>
          <w:rFonts w:ascii="Garamond" w:hAnsi="Garamond"/>
          <w:sz w:val="22"/>
          <w:szCs w:val="22"/>
        </w:rPr>
        <w:lastRenderedPageBreak/>
        <w:t>As soon as the South African Outspan girls were due for a visit somewhere then all local groups in the vicinity were to be alerted. The shopkeeper should be asked to cancel the visit, but if he refused then a campaign directed at the consumers sho</w:t>
      </w:r>
      <w:r w:rsidR="000B6D76">
        <w:rPr>
          <w:rFonts w:ascii="Garamond" w:hAnsi="Garamond"/>
          <w:sz w:val="22"/>
          <w:szCs w:val="22"/>
        </w:rPr>
        <w:t>uld be prepared and the Inspan G</w:t>
      </w:r>
      <w:r w:rsidRPr="00907189">
        <w:rPr>
          <w:rFonts w:ascii="Garamond" w:hAnsi="Garamond"/>
          <w:sz w:val="22"/>
          <w:szCs w:val="22"/>
        </w:rPr>
        <w:t>irls called in for assistance (du Plessis, 2009: 13).</w:t>
      </w:r>
    </w:p>
    <w:p w:rsidR="00026BC9" w:rsidRPr="00907189" w:rsidRDefault="00026BC9" w:rsidP="00026BC9">
      <w:pPr>
        <w:autoSpaceDE w:val="0"/>
        <w:autoSpaceDN w:val="0"/>
        <w:adjustRightInd w:val="0"/>
        <w:spacing w:after="0" w:line="360" w:lineRule="auto"/>
        <w:jc w:val="both"/>
        <w:rPr>
          <w:rFonts w:ascii="Garamond" w:hAnsi="Garamond"/>
          <w:sz w:val="24"/>
          <w:szCs w:val="24"/>
        </w:rPr>
      </w:pPr>
    </w:p>
    <w:p w:rsidR="004A7172" w:rsidRDefault="00026BC9"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Outspan halted all exports to Holland in 1976, a captive market which had previously been its fourth largest in Europe (BOA, 1972; Grundy, 1974). Hans Beerends (the former co-ordinator of the Dutch Third World Shop’s) told me, the BOA “had won, they had won against Outspan by 1978 and that was it, they had nothing left to do” (interview 2011).</w:t>
      </w:r>
    </w:p>
    <w:p w:rsidR="004A7172" w:rsidRDefault="004A7172" w:rsidP="00026BC9">
      <w:pPr>
        <w:autoSpaceDE w:val="0"/>
        <w:autoSpaceDN w:val="0"/>
        <w:adjustRightInd w:val="0"/>
        <w:spacing w:after="0" w:line="360" w:lineRule="auto"/>
        <w:jc w:val="both"/>
        <w:rPr>
          <w:rFonts w:ascii="Garamond" w:hAnsi="Garamond"/>
          <w:sz w:val="24"/>
          <w:szCs w:val="24"/>
        </w:rPr>
      </w:pPr>
    </w:p>
    <w:p w:rsidR="004A7172" w:rsidRDefault="004A7172" w:rsidP="00026BC9">
      <w:pPr>
        <w:autoSpaceDE w:val="0"/>
        <w:autoSpaceDN w:val="0"/>
        <w:adjustRightInd w:val="0"/>
        <w:spacing w:after="0" w:line="360" w:lineRule="auto"/>
        <w:jc w:val="both"/>
        <w:rPr>
          <w:rFonts w:ascii="Garamond" w:hAnsi="Garamond"/>
          <w:sz w:val="24"/>
          <w:szCs w:val="24"/>
        </w:rPr>
      </w:pPr>
    </w:p>
    <w:p w:rsidR="00026BC9" w:rsidRDefault="00026BC9" w:rsidP="00026BC9">
      <w:pPr>
        <w:autoSpaceDE w:val="0"/>
        <w:autoSpaceDN w:val="0"/>
        <w:adjustRightInd w:val="0"/>
        <w:spacing w:after="0" w:line="360" w:lineRule="auto"/>
        <w:jc w:val="both"/>
        <w:rPr>
          <w:rFonts w:ascii="Garamond" w:hAnsi="Garamond"/>
          <w:sz w:val="24"/>
          <w:szCs w:val="24"/>
        </w:rPr>
      </w:pPr>
    </w:p>
    <w:p w:rsidR="00026BC9" w:rsidRDefault="00026BC9" w:rsidP="00026BC9">
      <w:pPr>
        <w:autoSpaceDE w:val="0"/>
        <w:autoSpaceDN w:val="0"/>
        <w:adjustRightInd w:val="0"/>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786"/>
        <w:gridCol w:w="3730"/>
      </w:tblGrid>
      <w:tr w:rsidR="00026BC9">
        <w:tc>
          <w:tcPr>
            <w:tcW w:w="4786" w:type="dxa"/>
          </w:tcPr>
          <w:p w:rsidR="00026BC9" w:rsidRPr="00A70185" w:rsidRDefault="00026BC9" w:rsidP="00A70185">
            <w:pPr>
              <w:pStyle w:val="Caption"/>
            </w:pPr>
            <w:r w:rsidRPr="00A70185">
              <w:rPr>
                <w:noProof/>
                <w:lang w:eastAsia="en-GB"/>
              </w:rPr>
              <w:drawing>
                <wp:inline distT="0" distB="0" distL="0" distR="0">
                  <wp:extent cx="2489200" cy="3708478"/>
                  <wp:effectExtent l="76200" t="25400" r="101600" b="76122"/>
                  <wp:docPr id="93" name="Picture 1" descr="https://pbs.twimg.com/media/A89ghriCYAAbiGh.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A89ghriCYAAbiGh.jpg:large"/>
                          <pic:cNvPicPr>
                            <a:picLocks noChangeAspect="1" noChangeArrowheads="1"/>
                          </pic:cNvPicPr>
                        </pic:nvPicPr>
                        <pic:blipFill>
                          <a:blip r:embed="rId29" cstate="print"/>
                          <a:srcRect/>
                          <a:stretch>
                            <a:fillRect/>
                          </a:stretch>
                        </pic:blipFill>
                        <pic:spPr bwMode="auto">
                          <a:xfrm>
                            <a:off x="0" y="0"/>
                            <a:ext cx="2493084" cy="371426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tc>
        <w:tc>
          <w:tcPr>
            <w:tcW w:w="3730" w:type="dxa"/>
          </w:tcPr>
          <w:p w:rsidR="001A482E" w:rsidRDefault="00691864" w:rsidP="00A70185">
            <w:pPr>
              <w:pStyle w:val="Caption"/>
              <w:rPr>
                <w:rFonts w:ascii="Perpetua" w:hAnsi="Perpetua"/>
                <w:b w:val="0"/>
                <w:color w:val="auto"/>
                <w:sz w:val="20"/>
              </w:rPr>
            </w:pPr>
            <w:bookmarkStart w:id="349" w:name="_Toc263509013"/>
            <w:bookmarkStart w:id="350" w:name="_Toc263510800"/>
            <w:bookmarkStart w:id="351" w:name="_Toc244508216"/>
            <w:bookmarkStart w:id="352" w:name="_Toc244577278"/>
            <w:bookmarkStart w:id="353" w:name="_Toc263495747"/>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16</w:t>
            </w:r>
            <w:r w:rsidR="00DF2DF8" w:rsidRPr="00691864">
              <w:rPr>
                <w:rFonts w:ascii="Perpetua" w:hAnsi="Perpetua"/>
                <w:b w:val="0"/>
                <w:color w:val="auto"/>
                <w:sz w:val="20"/>
              </w:rPr>
              <w:fldChar w:fldCharType="end"/>
            </w:r>
            <w:r w:rsidR="001A482E">
              <w:rPr>
                <w:rFonts w:ascii="Perpetua" w:hAnsi="Perpetua"/>
                <w:b w:val="0"/>
                <w:color w:val="auto"/>
                <w:sz w:val="20"/>
              </w:rPr>
              <w:t>: Photograph of a</w:t>
            </w:r>
            <w:r w:rsidRPr="00691864">
              <w:rPr>
                <w:rFonts w:ascii="Perpetua" w:hAnsi="Perpetua"/>
                <w:b w:val="0"/>
                <w:color w:val="auto"/>
                <w:sz w:val="20"/>
              </w:rPr>
              <w:t>nti-apartheid picket outside Barclays</w:t>
            </w:r>
            <w:r w:rsidR="001A482E">
              <w:rPr>
                <w:rFonts w:ascii="Perpetua" w:hAnsi="Perpetua"/>
                <w:b w:val="0"/>
                <w:color w:val="auto"/>
                <w:sz w:val="20"/>
              </w:rPr>
              <w:t xml:space="preserve"> Bank, Dublin, 1986.</w:t>
            </w:r>
            <w:bookmarkEnd w:id="349"/>
            <w:bookmarkEnd w:id="350"/>
          </w:p>
          <w:p w:rsidR="00026BC9" w:rsidRPr="001A482E" w:rsidRDefault="00026BC9" w:rsidP="001A482E">
            <w:pPr>
              <w:rPr>
                <w:rFonts w:ascii="Perpetua" w:hAnsi="Perpetua"/>
                <w:sz w:val="20"/>
              </w:rPr>
            </w:pPr>
            <w:r w:rsidRPr="001A482E">
              <w:rPr>
                <w:rFonts w:ascii="Perpetua" w:hAnsi="Perpetua"/>
                <w:sz w:val="20"/>
              </w:rPr>
              <w:t>Anti-cape logo is an adaption of the BOA's design. Image courtesy of the IISH.</w:t>
            </w:r>
            <w:bookmarkEnd w:id="351"/>
            <w:bookmarkEnd w:id="352"/>
            <w:bookmarkEnd w:id="353"/>
          </w:p>
          <w:p w:rsidR="00026BC9" w:rsidRDefault="00026BC9" w:rsidP="00691864">
            <w:pPr>
              <w:pStyle w:val="Caption"/>
              <w:keepNext/>
            </w:pPr>
          </w:p>
        </w:tc>
      </w:tr>
    </w:tbl>
    <w:p w:rsidR="00026BC9" w:rsidRPr="00907189" w:rsidRDefault="00026BC9"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rPr>
      </w:pPr>
    </w:p>
    <w:p w:rsidR="00DB7421" w:rsidRDefault="00BA0F0B" w:rsidP="00DB7421">
      <w:pPr>
        <w:autoSpaceDE w:val="0"/>
        <w:autoSpaceDN w:val="0"/>
        <w:adjustRightInd w:val="0"/>
        <w:spacing w:after="0" w:line="360" w:lineRule="auto"/>
        <w:ind w:left="-284" w:right="-489"/>
        <w:rPr>
          <w:rFonts w:ascii="Garamond" w:hAnsi="Garamond"/>
          <w:i/>
        </w:rPr>
      </w:pPr>
      <w:r w:rsidRPr="00907189">
        <w:rPr>
          <w:rFonts w:ascii="Garamond" w:hAnsi="Garamond"/>
          <w:b/>
          <w:noProof/>
          <w:sz w:val="24"/>
          <w:szCs w:val="24"/>
          <w:lang w:eastAsia="en-GB"/>
        </w:rPr>
        <w:lastRenderedPageBreak/>
        <w:drawing>
          <wp:inline distT="0" distB="0" distL="0" distR="0">
            <wp:extent cx="1981200" cy="3213100"/>
            <wp:effectExtent l="254000" t="228600" r="228600" b="215900"/>
            <wp:docPr id="5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30" cstate="print"/>
                    <a:srcRect/>
                    <a:stretch>
                      <a:fillRect/>
                    </a:stretch>
                  </pic:blipFill>
                  <pic:spPr bwMode="auto">
                    <a:xfrm>
                      <a:off x="0" y="0"/>
                      <a:ext cx="1985226" cy="3219629"/>
                    </a:xfrm>
                    <a:prstGeom prst="rect">
                      <a:avLst/>
                    </a:prstGeom>
                    <a:ln w="228600" cap="sq" cmpd="thickThin">
                      <a:solidFill>
                        <a:srgbClr val="000000">
                          <a:alpha val="46000"/>
                        </a:srgbClr>
                      </a:solidFill>
                      <a:prstDash val="solid"/>
                      <a:miter lim="800000"/>
                    </a:ln>
                    <a:effectLst>
                      <a:innerShdw blurRad="76200">
                        <a:srgbClr val="000000"/>
                      </a:innerShdw>
                    </a:effectLst>
                  </pic:spPr>
                </pic:pic>
              </a:graphicData>
            </a:graphic>
          </wp:inline>
        </w:drawing>
      </w:r>
      <w:r w:rsidR="00DB7421">
        <w:rPr>
          <w:rFonts w:ascii="Garamond" w:hAnsi="Garamond"/>
          <w:i/>
        </w:rPr>
        <w:t xml:space="preserve">     </w:t>
      </w:r>
      <w:r w:rsidRPr="00907189">
        <w:rPr>
          <w:rFonts w:ascii="Garamond" w:hAnsi="Garamond"/>
          <w:noProof/>
          <w:sz w:val="24"/>
          <w:szCs w:val="24"/>
          <w:lang w:eastAsia="en-GB"/>
        </w:rPr>
        <w:drawing>
          <wp:inline distT="0" distB="0" distL="0" distR="0">
            <wp:extent cx="2436217" cy="3553302"/>
            <wp:effectExtent l="76200" t="50800" r="103783" b="78898"/>
            <wp:docPr id="52" name="Picture 3" descr="Description: search?action=get&amp;id=30051002791942&amp;col=images&amp;fieldname=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earch?action=get&amp;id=30051002791942&amp;col=images&amp;fieldname=resource"/>
                    <pic:cNvPicPr>
                      <a:picLocks noChangeAspect="1" noChangeArrowheads="1"/>
                    </pic:cNvPicPr>
                  </pic:nvPicPr>
                  <pic:blipFill>
                    <a:blip r:embed="rId31" cstate="print"/>
                    <a:srcRect/>
                    <a:stretch>
                      <a:fillRect/>
                    </a:stretch>
                  </pic:blipFill>
                  <pic:spPr bwMode="auto">
                    <a:xfrm>
                      <a:off x="0" y="0"/>
                      <a:ext cx="2436192" cy="3553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B7421" w:rsidRDefault="00DB7421" w:rsidP="00BA0F0B">
      <w:pPr>
        <w:autoSpaceDE w:val="0"/>
        <w:autoSpaceDN w:val="0"/>
        <w:adjustRightInd w:val="0"/>
        <w:spacing w:after="0" w:line="360" w:lineRule="auto"/>
        <w:jc w:val="center"/>
        <w:rPr>
          <w:rFonts w:ascii="Garamond" w:hAnsi="Garamond"/>
          <w:i/>
        </w:rPr>
      </w:pPr>
    </w:p>
    <w:p w:rsidR="00DB7421" w:rsidRDefault="00BA0F0B" w:rsidP="00BA0F0B">
      <w:pPr>
        <w:autoSpaceDE w:val="0"/>
        <w:autoSpaceDN w:val="0"/>
        <w:adjustRightInd w:val="0"/>
        <w:spacing w:after="0" w:line="360" w:lineRule="auto"/>
        <w:jc w:val="center"/>
        <w:rPr>
          <w:rFonts w:ascii="Garamond" w:hAnsi="Garamond"/>
          <w:i/>
        </w:rPr>
      </w:pPr>
      <w:r w:rsidRPr="00907189">
        <w:rPr>
          <w:rFonts w:ascii="Garamond" w:hAnsi="Garamond"/>
          <w:noProof/>
          <w:sz w:val="24"/>
          <w:szCs w:val="24"/>
          <w:lang w:eastAsia="en-GB"/>
        </w:rPr>
        <w:drawing>
          <wp:inline distT="0" distB="0" distL="0" distR="0">
            <wp:extent cx="2451100" cy="3403052"/>
            <wp:effectExtent l="76200" t="50800" r="114300" b="76748"/>
            <wp:docPr id="53" name="Picture 4" descr="Description: search?action=get&amp;id=30051002718440&amp;col=images&amp;fieldname=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earch?action=get&amp;id=30051002718440&amp;col=images&amp;fieldname=resource"/>
                    <pic:cNvPicPr>
                      <a:picLocks noChangeAspect="1" noChangeArrowheads="1"/>
                    </pic:cNvPicPr>
                  </pic:nvPicPr>
                  <pic:blipFill>
                    <a:blip r:embed="rId32" cstate="print"/>
                    <a:srcRect/>
                    <a:stretch>
                      <a:fillRect/>
                    </a:stretch>
                  </pic:blipFill>
                  <pic:spPr bwMode="auto">
                    <a:xfrm>
                      <a:off x="0" y="0"/>
                      <a:ext cx="2451685" cy="34038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B7421" w:rsidRDefault="00DB7421" w:rsidP="00BA0F0B">
      <w:pPr>
        <w:autoSpaceDE w:val="0"/>
        <w:autoSpaceDN w:val="0"/>
        <w:adjustRightInd w:val="0"/>
        <w:spacing w:after="0" w:line="360" w:lineRule="auto"/>
        <w:jc w:val="center"/>
        <w:rPr>
          <w:rFonts w:ascii="Garamond" w:hAnsi="Garamond"/>
          <w:i/>
        </w:rPr>
      </w:pPr>
    </w:p>
    <w:p w:rsidR="001A482E" w:rsidRDefault="00691864" w:rsidP="00691864">
      <w:pPr>
        <w:pStyle w:val="Caption"/>
        <w:rPr>
          <w:rFonts w:ascii="Perpetua" w:hAnsi="Perpetua"/>
          <w:i/>
          <w:color w:val="auto"/>
          <w:sz w:val="20"/>
        </w:rPr>
      </w:pPr>
      <w:bookmarkStart w:id="354" w:name="_Toc263509014"/>
      <w:bookmarkStart w:id="355" w:name="_Toc263510801"/>
      <w:bookmarkStart w:id="356" w:name="_Toc244508217"/>
      <w:bookmarkStart w:id="357" w:name="_Toc244577279"/>
      <w:bookmarkStart w:id="358" w:name="_Toc263495748"/>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17</w:t>
      </w:r>
      <w:r w:rsidR="00DF2DF8" w:rsidRPr="00691864">
        <w:rPr>
          <w:rFonts w:ascii="Perpetua" w:hAnsi="Perpetua"/>
          <w:b w:val="0"/>
          <w:color w:val="auto"/>
          <w:sz w:val="20"/>
        </w:rPr>
        <w:fldChar w:fldCharType="end"/>
      </w:r>
      <w:r w:rsidRPr="00691864">
        <w:rPr>
          <w:rFonts w:ascii="Perpetua" w:hAnsi="Perpetua"/>
          <w:b w:val="0"/>
          <w:color w:val="auto"/>
          <w:sz w:val="20"/>
        </w:rPr>
        <w:t>: Selection of BOA Posters, 'Don't Squeeze a South African Dry'.</w:t>
      </w:r>
      <w:bookmarkEnd w:id="354"/>
      <w:bookmarkEnd w:id="355"/>
      <w:r w:rsidR="00026BC9" w:rsidRPr="00DB7421">
        <w:rPr>
          <w:rFonts w:ascii="Perpetua" w:hAnsi="Perpetua"/>
          <w:i/>
          <w:color w:val="auto"/>
          <w:sz w:val="20"/>
        </w:rPr>
        <w:t xml:space="preserve"> </w:t>
      </w:r>
    </w:p>
    <w:p w:rsidR="00026BC9" w:rsidRPr="001A482E" w:rsidRDefault="00026BC9" w:rsidP="001A482E">
      <w:pPr>
        <w:rPr>
          <w:rFonts w:ascii="Perpetua" w:hAnsi="Perpetua"/>
          <w:sz w:val="20"/>
        </w:rPr>
      </w:pPr>
      <w:r w:rsidRPr="001A482E">
        <w:rPr>
          <w:rFonts w:ascii="Perpetua" w:hAnsi="Perpetua"/>
          <w:sz w:val="20"/>
        </w:rPr>
        <w:t>The original BOA poster by Van der Aa (top left), and versions from the CAO (top right) and IAAM (bottom). Copyright IISH.</w:t>
      </w:r>
      <w:bookmarkEnd w:id="356"/>
      <w:bookmarkEnd w:id="357"/>
      <w:bookmarkEnd w:id="358"/>
    </w:p>
    <w:p w:rsidR="00BA0F0B" w:rsidRPr="00907189" w:rsidRDefault="00BA0F0B" w:rsidP="00BA0F0B">
      <w:pPr>
        <w:autoSpaceDE w:val="0"/>
        <w:autoSpaceDN w:val="0"/>
        <w:adjustRightInd w:val="0"/>
        <w:spacing w:after="0" w:line="360" w:lineRule="auto"/>
        <w:jc w:val="center"/>
        <w:rPr>
          <w:rFonts w:ascii="Garamond" w:hAnsi="Garamond"/>
          <w:b/>
          <w:sz w:val="24"/>
          <w:szCs w:val="24"/>
        </w:rPr>
      </w:pPr>
    </w:p>
    <w:p w:rsidR="00BA0F0B" w:rsidRPr="00907189" w:rsidRDefault="00BA0F0B" w:rsidP="00BA0F0B">
      <w:pPr>
        <w:autoSpaceDE w:val="0"/>
        <w:autoSpaceDN w:val="0"/>
        <w:adjustRightInd w:val="0"/>
        <w:spacing w:after="0" w:line="360" w:lineRule="auto"/>
        <w:jc w:val="center"/>
        <w:rPr>
          <w:rFonts w:ascii="Garamond" w:hAnsi="Garamond"/>
          <w:b/>
          <w:sz w:val="24"/>
          <w:szCs w:val="24"/>
        </w:rPr>
      </w:pPr>
    </w:p>
    <w:p w:rsidR="00D57889" w:rsidRDefault="00D57889" w:rsidP="00026BC9">
      <w:pPr>
        <w:autoSpaceDE w:val="0"/>
        <w:autoSpaceDN w:val="0"/>
        <w:adjustRightInd w:val="0"/>
        <w:spacing w:after="0" w:line="360" w:lineRule="auto"/>
        <w:rPr>
          <w:rFonts w:ascii="Garamond" w:hAnsi="Garamond"/>
          <w:i/>
          <w:sz w:val="24"/>
          <w:szCs w:val="24"/>
        </w:rPr>
      </w:pPr>
    </w:p>
    <w:p w:rsidR="00BA0F0B" w:rsidRPr="00B83595" w:rsidRDefault="00BA0F0B" w:rsidP="00026BC9">
      <w:pPr>
        <w:autoSpaceDE w:val="0"/>
        <w:autoSpaceDN w:val="0"/>
        <w:adjustRightInd w:val="0"/>
        <w:spacing w:after="0" w:line="360" w:lineRule="auto"/>
        <w:rPr>
          <w:rFonts w:ascii="Garamond" w:hAnsi="Garamond"/>
          <w:b/>
          <w:i/>
          <w:szCs w:val="24"/>
        </w:rPr>
      </w:pPr>
      <w:r w:rsidRPr="00B83595">
        <w:rPr>
          <w:rFonts w:ascii="Garamond" w:hAnsi="Garamond"/>
          <w:b/>
          <w:i/>
          <w:szCs w:val="24"/>
        </w:rPr>
        <w:t xml:space="preserve">The BOA in Dutch anti-apartheid </w:t>
      </w:r>
    </w:p>
    <w:p w:rsidR="00BA0F0B" w:rsidRPr="00907189" w:rsidRDefault="00BA0F0B" w:rsidP="00026BC9">
      <w:pPr>
        <w:autoSpaceDE w:val="0"/>
        <w:autoSpaceDN w:val="0"/>
        <w:adjustRightInd w:val="0"/>
        <w:spacing w:after="0" w:line="360" w:lineRule="auto"/>
        <w:jc w:val="both"/>
        <w:rPr>
          <w:rFonts w:ascii="Garamond" w:hAnsi="Garamond"/>
          <w:b/>
          <w:sz w:val="24"/>
          <w:szCs w:val="24"/>
        </w:rPr>
      </w:pPr>
    </w:p>
    <w:p w:rsidR="00BA0F0B" w:rsidRPr="00907189" w:rsidRDefault="00BA0F0B" w:rsidP="00026BC9">
      <w:pPr>
        <w:autoSpaceDE w:val="0"/>
        <w:autoSpaceDN w:val="0"/>
        <w:adjustRightInd w:val="0"/>
        <w:spacing w:after="0" w:line="360" w:lineRule="auto"/>
        <w:ind w:left="284" w:right="284"/>
        <w:jc w:val="both"/>
        <w:rPr>
          <w:rFonts w:ascii="Garamond" w:hAnsi="Garamond"/>
        </w:rPr>
      </w:pPr>
      <w:r w:rsidRPr="00907189">
        <w:rPr>
          <w:rFonts w:ascii="Garamond" w:hAnsi="Garamond"/>
        </w:rPr>
        <w:t xml:space="preserve">Words have an extraordinary </w:t>
      </w:r>
      <w:r>
        <w:rPr>
          <w:rFonts w:ascii="Garamond" w:hAnsi="Garamond"/>
        </w:rPr>
        <w:t>power to wound and even to kill.</w:t>
      </w:r>
      <w:r w:rsidRPr="00907189">
        <w:rPr>
          <w:rFonts w:ascii="Garamond" w:hAnsi="Garamond"/>
        </w:rPr>
        <w:t xml:space="preserve"> (Gregory, 2004; xiv)</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 xml:space="preserve">Representation, narrative and voice matter a great deal, and they matter specifically as an analytical lens for understanding race (Nash, 2003; </w:t>
      </w:r>
      <w:r w:rsidRPr="00907189">
        <w:rPr>
          <w:rFonts w:ascii="Garamond" w:hAnsi="Garamond"/>
          <w:color w:val="000000"/>
          <w:sz w:val="24"/>
          <w:szCs w:val="24"/>
        </w:rPr>
        <w:t xml:space="preserve">McKittrick, 2006; </w:t>
      </w:r>
      <w:r w:rsidRPr="00907189">
        <w:rPr>
          <w:rFonts w:ascii="Garamond" w:hAnsi="Garamond"/>
          <w:sz w:val="24"/>
          <w:szCs w:val="24"/>
        </w:rPr>
        <w:t>Price, 2010).  Since January 1991, du Plessis has been recovering from a stroke which stymied his plans to continue actions against racism in Holland. Until two years ago the BOA remained silent in public debates on Dutch anti-apartheid, leaving reports of their actions in the hands of other biographers. Then in 2009, two web dossiers appeared on the anti-apartheid section of the International Institute for Social History (IISH) website. The fi</w:t>
      </w:r>
      <w:r>
        <w:rPr>
          <w:rFonts w:ascii="Garamond" w:hAnsi="Garamond"/>
          <w:sz w:val="24"/>
          <w:szCs w:val="24"/>
        </w:rPr>
        <w:t>rst, a sixteen page contextualiz</w:t>
      </w:r>
      <w:r w:rsidRPr="00907189">
        <w:rPr>
          <w:rFonts w:ascii="Garamond" w:hAnsi="Garamond"/>
          <w:sz w:val="24"/>
          <w:szCs w:val="24"/>
        </w:rPr>
        <w:t xml:space="preserve">ation and description of the BOA reads as a rebuttal to the five hundred words devoted to the BOA in the South African Democracy Educational Trust’s (SADET) influential volume on the international struggle against apartheid. The chapter on Dutch anti-apartheid, written by Sietse Bosgra, the former leader of the Komitee Zuidelijk Afrika (Committee for Southern Africa), situates the BOA as one of five main anti-apartheid movements in Holland during the 1970s and </w:t>
      </w:r>
      <w:r>
        <w:rPr>
          <w:rFonts w:ascii="Garamond" w:hAnsi="Garamond"/>
          <w:sz w:val="24"/>
          <w:szCs w:val="24"/>
        </w:rPr>
        <w:t>19</w:t>
      </w:r>
      <w:r w:rsidRPr="00907189">
        <w:rPr>
          <w:rFonts w:ascii="Garamond" w:hAnsi="Garamond"/>
          <w:sz w:val="24"/>
          <w:szCs w:val="24"/>
        </w:rPr>
        <w:t>80s. He accredits the BOA with creating “the best known anti-apartheid symbol in Holland” (2009: 545), but his appraisal is dampened by a series of criticisms. They weren’t radical enough because they tried to appeal to consumers without class distinction,</w:t>
      </w:r>
      <w:r>
        <w:rPr>
          <w:rFonts w:ascii="Garamond" w:hAnsi="Garamond"/>
          <w:sz w:val="24"/>
          <w:szCs w:val="24"/>
        </w:rPr>
        <w:t xml:space="preserve"> and they were wrong to criticiz</w:t>
      </w:r>
      <w:r w:rsidRPr="00907189">
        <w:rPr>
          <w:rFonts w:ascii="Garamond" w:hAnsi="Garamond"/>
          <w:sz w:val="24"/>
          <w:szCs w:val="24"/>
        </w:rPr>
        <w:t xml:space="preserve">e the Den Uyl government for its ties to Vorster’s apartheid regime because they received a subsidy from that same government. The BOA are typeset as outcasts. But most importantly, race, and the categorization of race become the locus of this difference. Bosgra concludes the BOA report with “the BOA virtually became an antiracist organization, increasingly isolated from the anti-apartheid struggle” (Bosgra, 2009: 546). It is worth repeating Bosgra’s opening sentence on the BOA: </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ind w:left="284" w:right="284"/>
        <w:jc w:val="both"/>
        <w:rPr>
          <w:rFonts w:ascii="Garamond" w:hAnsi="Garamond"/>
        </w:rPr>
      </w:pPr>
      <w:r w:rsidRPr="00907189">
        <w:rPr>
          <w:rFonts w:ascii="Garamond" w:hAnsi="Garamond"/>
        </w:rPr>
        <w:t>Another motivated and fanatical newcomer to join the CZA was the coloured South African Student Esau du Plessis (2009: 545)</w:t>
      </w:r>
      <w:r>
        <w:rPr>
          <w:rFonts w:ascii="Garamond" w:hAnsi="Garamond"/>
        </w:rPr>
        <w:t>.</w:t>
      </w:r>
      <w:r w:rsidRPr="00907189">
        <w:rPr>
          <w:rStyle w:val="FootnoteReference"/>
          <w:rFonts w:ascii="Garamond" w:hAnsi="Garamond"/>
        </w:rPr>
        <w:footnoteReference w:id="61"/>
      </w:r>
      <w:r w:rsidRPr="00907189">
        <w:rPr>
          <w:rFonts w:ascii="Garamond" w:hAnsi="Garamond"/>
        </w:rPr>
        <w:t xml:space="preserve"> </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 xml:space="preserve">This could be construed as a provocative statement. The adjective ‘coloured’ is mentioned in the same breath as fanatical; for an exiled South African the term carries discriminatory weight in addition to its marking of phenotypic difference. Following the </w:t>
      </w:r>
      <w:r w:rsidRPr="00907189">
        <w:rPr>
          <w:rFonts w:ascii="Garamond" w:hAnsi="Garamond"/>
          <w:sz w:val="24"/>
          <w:szCs w:val="24"/>
        </w:rPr>
        <w:lastRenderedPageBreak/>
        <w:t>sixteen page history of the BOA, the</w:t>
      </w:r>
      <w:r>
        <w:rPr>
          <w:rFonts w:ascii="Garamond" w:hAnsi="Garamond"/>
          <w:sz w:val="24"/>
          <w:szCs w:val="24"/>
        </w:rPr>
        <w:t xml:space="preserve"> second web dossier on the IISH</w:t>
      </w:r>
      <w:r w:rsidRPr="00907189">
        <w:rPr>
          <w:rFonts w:ascii="Garamond" w:hAnsi="Garamond"/>
          <w:sz w:val="24"/>
          <w:szCs w:val="24"/>
        </w:rPr>
        <w:t xml:space="preserve"> website to appear in 2009 is a sequence of public correspondence exchanged between du Plessis and Bosgra.</w:t>
      </w:r>
      <w:r w:rsidRPr="00907189">
        <w:rPr>
          <w:rStyle w:val="FootnoteReference"/>
          <w:rFonts w:ascii="Garamond" w:hAnsi="Garamond"/>
          <w:sz w:val="24"/>
          <w:szCs w:val="24"/>
        </w:rPr>
        <w:footnoteReference w:id="62"/>
      </w:r>
      <w:r w:rsidRPr="00907189">
        <w:rPr>
          <w:rFonts w:ascii="Garamond" w:hAnsi="Garamond"/>
          <w:sz w:val="24"/>
          <w:szCs w:val="24"/>
        </w:rPr>
        <w:t xml:space="preserve"> The former BOA leader responds to Bosgra’s chapter by presenting a measured historiography of the links between Dutch racism and apartheid South Africa</w:t>
      </w:r>
      <w:r>
        <w:rPr>
          <w:rFonts w:ascii="Garamond" w:hAnsi="Garamond"/>
          <w:sz w:val="24"/>
          <w:szCs w:val="24"/>
        </w:rPr>
        <w:t>.</w:t>
      </w:r>
      <w:r w:rsidRPr="00907189">
        <w:rPr>
          <w:rStyle w:val="FootnoteReference"/>
          <w:rFonts w:ascii="Garamond" w:hAnsi="Garamond"/>
          <w:sz w:val="24"/>
          <w:szCs w:val="24"/>
        </w:rPr>
        <w:footnoteReference w:id="63"/>
      </w:r>
      <w:r w:rsidRPr="00907189">
        <w:rPr>
          <w:rFonts w:ascii="Garamond" w:hAnsi="Garamond"/>
          <w:sz w:val="24"/>
          <w:szCs w:val="24"/>
        </w:rPr>
        <w:t xml:space="preserve"> Bosgra’s response is instructive:</w:t>
      </w:r>
    </w:p>
    <w:p w:rsidR="00BA0F0B" w:rsidRPr="00907189" w:rsidRDefault="00BA0F0B" w:rsidP="00BA0F0B">
      <w:pPr>
        <w:autoSpaceDE w:val="0"/>
        <w:autoSpaceDN w:val="0"/>
        <w:adjustRightInd w:val="0"/>
        <w:spacing w:after="0" w:line="360" w:lineRule="auto"/>
        <w:jc w:val="both"/>
        <w:rPr>
          <w:rFonts w:ascii="Garamond" w:hAnsi="Garamond"/>
          <w:sz w:val="24"/>
          <w:szCs w:val="24"/>
        </w:rPr>
      </w:pPr>
    </w:p>
    <w:p w:rsidR="00BA0F0B" w:rsidRPr="00907189" w:rsidRDefault="00BA0F0B" w:rsidP="00BA0F0B">
      <w:pPr>
        <w:autoSpaceDE w:val="0"/>
        <w:autoSpaceDN w:val="0"/>
        <w:adjustRightInd w:val="0"/>
        <w:spacing w:after="0" w:line="360" w:lineRule="auto"/>
        <w:ind w:left="284" w:right="284"/>
        <w:jc w:val="both"/>
        <w:rPr>
          <w:rFonts w:ascii="Garamond" w:hAnsi="Garamond"/>
        </w:rPr>
      </w:pPr>
      <w:r w:rsidRPr="00907189">
        <w:rPr>
          <w:rFonts w:ascii="Garamond" w:hAnsi="Garamond"/>
        </w:rPr>
        <w:t>Esau tried to increase support amongst the Dutch population for the anti-apartheid struggle by accusing his audience in interviews and at meetings of being racists and at the origin of South African apartheid… Contrary to the Dutch anti-apartheid activists and the few white South Africans that were connected with the Dutch anti-apartheid movement Esau could and did present himself in Holland – and was often accepted – as representative of the victims of apartheid. At the same time he did not accept us, white Dutchmen, as equally able and qualified to talk about the suffering of the black population under apartheid. In that respect it is relevant to mention in my report that in South Africa he was classified as ‘coloured’</w:t>
      </w:r>
      <w:r>
        <w:rPr>
          <w:rFonts w:ascii="Garamond" w:hAnsi="Garamond"/>
        </w:rPr>
        <w:t xml:space="preserve">. </w:t>
      </w:r>
      <w:r w:rsidRPr="00907189">
        <w:rPr>
          <w:rFonts w:ascii="Garamond" w:hAnsi="Garamond"/>
        </w:rPr>
        <w:t>(2009: 5)</w:t>
      </w:r>
      <w:r w:rsidRPr="00907189">
        <w:rPr>
          <w:rStyle w:val="FootnoteReference"/>
          <w:rFonts w:ascii="Garamond" w:hAnsi="Garamond"/>
        </w:rPr>
        <w:footnoteReference w:id="64"/>
      </w:r>
      <w:r w:rsidRPr="00907189">
        <w:rPr>
          <w:rFonts w:ascii="Garamond" w:hAnsi="Garamond"/>
        </w:rPr>
        <w:t xml:space="preserve"> </w:t>
      </w:r>
    </w:p>
    <w:p w:rsidR="00BA0F0B" w:rsidRPr="00907189" w:rsidRDefault="00BA0F0B" w:rsidP="00BA0F0B">
      <w:pPr>
        <w:autoSpaceDE w:val="0"/>
        <w:autoSpaceDN w:val="0"/>
        <w:adjustRightInd w:val="0"/>
        <w:spacing w:after="0" w:line="360" w:lineRule="auto"/>
        <w:jc w:val="both"/>
        <w:rPr>
          <w:rFonts w:ascii="Garamond" w:hAnsi="Garamond"/>
        </w:rPr>
      </w:pPr>
    </w:p>
    <w:p w:rsidR="00BA0F0B" w:rsidRPr="00907189" w:rsidRDefault="00BA0F0B" w:rsidP="00BA0F0B">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There are two entwined racial registers at work here; structural and embodied. Ra</w:t>
      </w:r>
      <w:r>
        <w:rPr>
          <w:rFonts w:ascii="Garamond" w:hAnsi="Garamond"/>
          <w:sz w:val="24"/>
          <w:szCs w:val="24"/>
        </w:rPr>
        <w:t>ce is presented as an internaliz</w:t>
      </w:r>
      <w:r w:rsidRPr="00907189">
        <w:rPr>
          <w:rFonts w:ascii="Garamond" w:hAnsi="Garamond"/>
          <w:sz w:val="24"/>
          <w:szCs w:val="24"/>
        </w:rPr>
        <w:t xml:space="preserve">ed condition and distinguishing factor between </w:t>
      </w:r>
      <w:r>
        <w:rPr>
          <w:rFonts w:ascii="Garamond" w:hAnsi="Garamond"/>
          <w:sz w:val="24"/>
          <w:szCs w:val="24"/>
        </w:rPr>
        <w:t>'</w:t>
      </w:r>
      <w:r w:rsidRPr="006C3FA0">
        <w:rPr>
          <w:rFonts w:ascii="Garamond" w:hAnsi="Garamond"/>
          <w:sz w:val="24"/>
          <w:szCs w:val="24"/>
        </w:rPr>
        <w:t>us, white Dutchmen</w:t>
      </w:r>
      <w:r>
        <w:rPr>
          <w:rFonts w:ascii="Garamond" w:hAnsi="Garamond"/>
          <w:sz w:val="24"/>
          <w:szCs w:val="24"/>
        </w:rPr>
        <w:t>',</w:t>
      </w:r>
      <w:r w:rsidRPr="00907189">
        <w:rPr>
          <w:rFonts w:ascii="Garamond" w:hAnsi="Garamond"/>
          <w:sz w:val="24"/>
          <w:szCs w:val="24"/>
        </w:rPr>
        <w:t xml:space="preserve"> and du Plessis as a ‘self-proclaimed’ coloured representative of apartheid. In such discourse the victim of racism is presented as both privileged and the source of racism. Whiteness permits the ability to transcend embodied and placed subjectivities; white Dutchmen who have not experienced apartheid </w:t>
      </w:r>
      <w:r w:rsidRPr="00907189">
        <w:rPr>
          <w:rFonts w:ascii="Garamond" w:hAnsi="Garamond"/>
          <w:i/>
          <w:sz w:val="24"/>
          <w:szCs w:val="24"/>
        </w:rPr>
        <w:t>are</w:t>
      </w:r>
      <w:r w:rsidRPr="00907189">
        <w:rPr>
          <w:rFonts w:ascii="Garamond" w:hAnsi="Garamond"/>
          <w:sz w:val="24"/>
          <w:szCs w:val="24"/>
        </w:rPr>
        <w:t xml:space="preserve"> presumed equally able and qualified to talk about black suffering. Whether locating difference in the corporeal, or in conjuring the absence of the corporeal - “no matter how advanced racism is it never loses its localization as the body” (Fanon, 1952 in </w:t>
      </w:r>
      <w:r>
        <w:rPr>
          <w:rFonts w:ascii="Garamond" w:hAnsi="Garamond"/>
          <w:sz w:val="24"/>
          <w:szCs w:val="24"/>
        </w:rPr>
        <w:t>H</w:t>
      </w:r>
      <w:r w:rsidRPr="00907189">
        <w:rPr>
          <w:rFonts w:ascii="Garamond" w:hAnsi="Garamond"/>
          <w:sz w:val="24"/>
          <w:szCs w:val="24"/>
        </w:rPr>
        <w:t xml:space="preserve">ook, 2006: 2). In Amsterdam in 2011 I interviewed Hans Beerends, the former coordinator of the </w:t>
      </w:r>
      <w:r w:rsidRPr="000A459F">
        <w:rPr>
          <w:rFonts w:ascii="Garamond" w:hAnsi="Garamond"/>
          <w:i/>
          <w:sz w:val="24"/>
          <w:szCs w:val="24"/>
        </w:rPr>
        <w:t>Dutch</w:t>
      </w:r>
      <w:r w:rsidR="000A459F" w:rsidRPr="000A459F">
        <w:rPr>
          <w:rFonts w:ascii="Garamond" w:hAnsi="Garamond"/>
          <w:i/>
          <w:sz w:val="24"/>
          <w:szCs w:val="24"/>
        </w:rPr>
        <w:t xml:space="preserve"> Association</w:t>
      </w:r>
      <w:r w:rsidRPr="00907189">
        <w:rPr>
          <w:rFonts w:ascii="Garamond" w:hAnsi="Garamond"/>
          <w:i/>
          <w:sz w:val="24"/>
          <w:szCs w:val="24"/>
        </w:rPr>
        <w:t xml:space="preserve"> of Third World Shops</w:t>
      </w:r>
      <w:r w:rsidRPr="00907189">
        <w:rPr>
          <w:rFonts w:ascii="Garamond" w:hAnsi="Garamond"/>
          <w:sz w:val="24"/>
          <w:szCs w:val="24"/>
        </w:rPr>
        <w:t>. He provided several insights to how the BOA was perceived within the wider anti-apartheid movement. On the topic of the BOA’s fight against racism in Holland he offered:</w:t>
      </w:r>
    </w:p>
    <w:p w:rsidR="00BA0F0B" w:rsidRPr="00907189" w:rsidRDefault="00BA0F0B" w:rsidP="00BA0F0B">
      <w:pPr>
        <w:autoSpaceDE w:val="0"/>
        <w:autoSpaceDN w:val="0"/>
        <w:adjustRightInd w:val="0"/>
        <w:spacing w:after="0" w:line="360" w:lineRule="auto"/>
        <w:ind w:left="284" w:right="284"/>
        <w:jc w:val="both"/>
        <w:rPr>
          <w:rFonts w:ascii="Garamond" w:hAnsi="Garamond"/>
          <w:sz w:val="24"/>
          <w:szCs w:val="24"/>
        </w:rPr>
      </w:pPr>
    </w:p>
    <w:p w:rsidR="00BA0F0B" w:rsidRPr="00907189" w:rsidRDefault="00BA0F0B" w:rsidP="00BA0F0B">
      <w:pPr>
        <w:spacing w:line="360" w:lineRule="auto"/>
        <w:ind w:left="284" w:right="284"/>
        <w:jc w:val="both"/>
        <w:rPr>
          <w:rFonts w:ascii="Garamond" w:hAnsi="Garamond"/>
        </w:rPr>
      </w:pPr>
      <w:r w:rsidRPr="00907189">
        <w:rPr>
          <w:rFonts w:ascii="Garamond" w:hAnsi="Garamond"/>
        </w:rPr>
        <w:t xml:space="preserve">Esau, he said the whole thing of ‘it’s very easy to fight against racism far away, but what to do here?’ But that was not such a success. He wanted to fight against suppression in South </w:t>
      </w:r>
      <w:r w:rsidRPr="00907189">
        <w:rPr>
          <w:rFonts w:ascii="Garamond" w:hAnsi="Garamond"/>
        </w:rPr>
        <w:lastRenderedPageBreak/>
        <w:t>Africa, Latin America and so on, but also antiracism. But [the other Dutch AMMs] didn’t think the BOA should be the antiracist</w:t>
      </w:r>
      <w:r>
        <w:rPr>
          <w:rFonts w:ascii="Garamond" w:hAnsi="Garamond"/>
        </w:rPr>
        <w:t xml:space="preserve"> organiz</w:t>
      </w:r>
      <w:r w:rsidRPr="00907189">
        <w:rPr>
          <w:rFonts w:ascii="Garamond" w:hAnsi="Garamond"/>
        </w:rPr>
        <w:t>ation that special Esau wanted it to be. And so the support for this action went down… They didn’t see what was the special item of BOA, and Esau, he was thinking, they let me down, because I’m fighting against racism, and I’m doing it from ground to up  (interview Beerends, 2011)</w:t>
      </w:r>
      <w:r>
        <w:rPr>
          <w:rFonts w:ascii="Garamond" w:hAnsi="Garamond"/>
        </w:rPr>
        <w:t>.</w:t>
      </w:r>
      <w:r w:rsidRPr="00907189">
        <w:rPr>
          <w:rStyle w:val="FootnoteReference"/>
          <w:rFonts w:ascii="Garamond" w:hAnsi="Garamond"/>
        </w:rPr>
        <w:footnoteReference w:id="65"/>
      </w:r>
    </w:p>
    <w:p w:rsidR="00BA0F0B" w:rsidRPr="00907189" w:rsidRDefault="00BA0F0B" w:rsidP="00BA0F0B">
      <w:pPr>
        <w:autoSpaceDE w:val="0"/>
        <w:autoSpaceDN w:val="0"/>
        <w:adjustRightInd w:val="0"/>
        <w:spacing w:after="0" w:line="360" w:lineRule="auto"/>
        <w:jc w:val="both"/>
        <w:rPr>
          <w:rFonts w:ascii="Garamond" w:hAnsi="Garamond"/>
          <w:sz w:val="24"/>
          <w:szCs w:val="24"/>
        </w:rPr>
      </w:pPr>
    </w:p>
    <w:p w:rsidR="00BA0F0B" w:rsidRPr="00907189" w:rsidRDefault="00BA0F0B" w:rsidP="00A820B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Though Beerends appeared a thoughtful and kind interviewee, I noted a slight reluctance to talk about the BOA, and a keenness to engage with the subject of the Angola coffee boycott campaign of 1972. Echoing the email correspondence from Kier Schuringa (the anti-apartheid archivist at the IISH and former member of the AABN), he suggested I further investigate Sietse Bosgra’s Angola Committee:</w:t>
      </w:r>
    </w:p>
    <w:p w:rsidR="00BA0F0B" w:rsidRPr="00907189" w:rsidRDefault="00BA0F0B" w:rsidP="00A820B9">
      <w:pPr>
        <w:spacing w:after="0" w:line="360" w:lineRule="auto"/>
        <w:jc w:val="both"/>
        <w:rPr>
          <w:rFonts w:ascii="Garamond" w:hAnsi="Garamond"/>
        </w:rPr>
      </w:pPr>
    </w:p>
    <w:p w:rsidR="00BA0F0B" w:rsidRPr="00907189" w:rsidRDefault="00A820B9" w:rsidP="00A820B9">
      <w:pPr>
        <w:spacing w:line="360" w:lineRule="auto"/>
        <w:ind w:left="284" w:right="284"/>
        <w:jc w:val="both"/>
        <w:rPr>
          <w:rFonts w:ascii="Garamond" w:hAnsi="Garamond"/>
        </w:rPr>
      </w:pPr>
      <w:r>
        <w:rPr>
          <w:rFonts w:ascii="Garamond" w:hAnsi="Garamond"/>
        </w:rPr>
        <w:t>HUGH</w:t>
      </w:r>
      <w:r w:rsidR="00BA0F0B" w:rsidRPr="00907189">
        <w:rPr>
          <w:rFonts w:ascii="Garamond" w:hAnsi="Garamond"/>
        </w:rPr>
        <w:t>: What sort of practices and actions did the Third World shops get involved with? Specifically with the BOA, but possibly with the other AAMs?</w:t>
      </w:r>
    </w:p>
    <w:p w:rsidR="00A820B9" w:rsidRDefault="00A820B9" w:rsidP="00A820B9">
      <w:pPr>
        <w:spacing w:line="360" w:lineRule="auto"/>
        <w:ind w:left="284" w:right="284"/>
        <w:jc w:val="both"/>
        <w:rPr>
          <w:rFonts w:ascii="Garamond" w:hAnsi="Garamond"/>
        </w:rPr>
      </w:pPr>
      <w:r>
        <w:rPr>
          <w:rFonts w:ascii="Garamond" w:hAnsi="Garamond"/>
        </w:rPr>
        <w:t>HANS</w:t>
      </w:r>
      <w:r w:rsidR="00BA0F0B" w:rsidRPr="00907189">
        <w:rPr>
          <w:rFonts w:ascii="Garamond" w:hAnsi="Garamond"/>
        </w:rPr>
        <w:t>: One of the most successful actions was the action of KZA of Sietse Bosgra and the Angola boycott, he was very successful, also the BOA was also successful, but a better example was this action against Angola. Did you read about it?</w:t>
      </w:r>
    </w:p>
    <w:p w:rsidR="00BA0F0B" w:rsidRPr="00907189" w:rsidRDefault="00BA0F0B" w:rsidP="00A820B9">
      <w:pPr>
        <w:spacing w:after="0" w:line="360" w:lineRule="auto"/>
        <w:ind w:left="284" w:right="284"/>
        <w:jc w:val="both"/>
        <w:rPr>
          <w:rFonts w:ascii="Garamond" w:hAnsi="Garamond"/>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 xml:space="preserve">Beerends read from a section on the BOA from his book </w:t>
      </w:r>
      <w:r w:rsidRPr="00907189">
        <w:rPr>
          <w:rFonts w:ascii="Garamond" w:hAnsi="Garamond"/>
          <w:i/>
          <w:sz w:val="24"/>
          <w:szCs w:val="24"/>
        </w:rPr>
        <w:t>The Third World Movement, History and Future</w:t>
      </w:r>
      <w:r w:rsidRPr="00907189">
        <w:rPr>
          <w:rFonts w:ascii="Garamond" w:hAnsi="Garamond"/>
          <w:sz w:val="24"/>
          <w:szCs w:val="24"/>
        </w:rPr>
        <w:t xml:space="preserve"> (1992)</w:t>
      </w:r>
      <w:r w:rsidRPr="00907189">
        <w:rPr>
          <w:rStyle w:val="FootnoteReference"/>
          <w:rFonts w:ascii="Garamond" w:hAnsi="Garamond"/>
          <w:sz w:val="24"/>
          <w:szCs w:val="24"/>
        </w:rPr>
        <w:footnoteReference w:id="66"/>
      </w:r>
      <w:r w:rsidRPr="00907189">
        <w:rPr>
          <w:rFonts w:ascii="Garamond" w:hAnsi="Garamond"/>
          <w:sz w:val="24"/>
          <w:szCs w:val="24"/>
        </w:rPr>
        <w:t xml:space="preserve">. Translating clearly from Dutch to English, he described the BOA’s motif: </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026BC9" w:rsidRDefault="00BA0F0B" w:rsidP="00026BC9">
      <w:pPr>
        <w:spacing w:after="0" w:line="360" w:lineRule="auto"/>
        <w:ind w:left="284" w:right="284"/>
        <w:jc w:val="both"/>
        <w:rPr>
          <w:rFonts w:ascii="Garamond" w:hAnsi="Garamond"/>
        </w:rPr>
      </w:pPr>
      <w:r w:rsidRPr="00907189">
        <w:rPr>
          <w:rFonts w:ascii="Garamond" w:hAnsi="Garamond"/>
        </w:rPr>
        <w:t>There was a lot publicity, and also publicity about the…you can see a nigger head, put on [the juicer]</w:t>
      </w:r>
      <w:r w:rsidRPr="00907189">
        <w:rPr>
          <w:rFonts w:ascii="Garamond" w:hAnsi="Garamond"/>
          <w:i/>
        </w:rPr>
        <w:t>,</w:t>
      </w:r>
      <w:r w:rsidRPr="00907189">
        <w:rPr>
          <w:rFonts w:ascii="Garamond" w:hAnsi="Garamond"/>
        </w:rPr>
        <w:t xml:space="preserve"> and there was a lot of provocation (interview Beerends, 2011).</w:t>
      </w:r>
    </w:p>
    <w:p w:rsidR="00BA0F0B" w:rsidRPr="00907189" w:rsidRDefault="00BA0F0B" w:rsidP="00026BC9">
      <w:pPr>
        <w:spacing w:after="0" w:line="360" w:lineRule="auto"/>
        <w:ind w:left="284" w:right="284"/>
        <w:jc w:val="both"/>
        <w:rPr>
          <w:rFonts w:ascii="Garamond" w:hAnsi="Garamond"/>
        </w:rPr>
      </w:pPr>
    </w:p>
    <w:p w:rsidR="00A820B9" w:rsidRDefault="00BA0F0B" w:rsidP="00026BC9">
      <w:pPr>
        <w:spacing w:after="0" w:line="360" w:lineRule="auto"/>
        <w:jc w:val="both"/>
        <w:rPr>
          <w:rFonts w:ascii="Garamond" w:hAnsi="Garamond"/>
          <w:sz w:val="24"/>
          <w:szCs w:val="24"/>
        </w:rPr>
      </w:pPr>
      <w:r w:rsidRPr="00907189">
        <w:rPr>
          <w:rFonts w:ascii="Garamond" w:hAnsi="Garamond"/>
          <w:sz w:val="24"/>
          <w:szCs w:val="24"/>
        </w:rPr>
        <w:t xml:space="preserve">The term </w:t>
      </w:r>
      <w:r w:rsidRPr="00907189">
        <w:rPr>
          <w:rFonts w:ascii="Garamond" w:hAnsi="Garamond"/>
          <w:i/>
          <w:sz w:val="24"/>
          <w:szCs w:val="24"/>
        </w:rPr>
        <w:t>neger</w:t>
      </w:r>
      <w:r w:rsidRPr="00907189">
        <w:rPr>
          <w:rFonts w:ascii="Garamond" w:hAnsi="Garamond"/>
          <w:sz w:val="24"/>
          <w:szCs w:val="24"/>
        </w:rPr>
        <w:t xml:space="preserve">, or negro, is commonly used in Dutch anti-apartheid and anti-colonialist texts; Bosgra uses the word in his publication on the Angolan resistance to the Portuguese. It could have been a slip of the translators tongue, but Beerends has worked closely with African and South American independence movements, he was being interviewed on the subject of apartheid and racism, and the choice of word seemed not to fit with his life’s work and the widespread support of the third world shops for the </w:t>
      </w:r>
      <w:r w:rsidRPr="00907189">
        <w:rPr>
          <w:rFonts w:ascii="Garamond" w:hAnsi="Garamond"/>
          <w:sz w:val="24"/>
          <w:szCs w:val="24"/>
        </w:rPr>
        <w:lastRenderedPageBreak/>
        <w:t>BOA during the Outspan boycott. Bemused, at a later date I asked Esau about use of racist terminology in Dutch anti-apartheid:</w:t>
      </w:r>
    </w:p>
    <w:p w:rsidR="00BA0F0B" w:rsidRPr="00907189" w:rsidRDefault="00BA0F0B" w:rsidP="00A820B9">
      <w:pPr>
        <w:spacing w:after="0" w:line="360" w:lineRule="auto"/>
        <w:jc w:val="both"/>
        <w:rPr>
          <w:rFonts w:ascii="Garamond" w:hAnsi="Garamond"/>
          <w:sz w:val="24"/>
          <w:szCs w:val="24"/>
        </w:rPr>
      </w:pPr>
    </w:p>
    <w:p w:rsidR="00BA0F0B" w:rsidRPr="00907189" w:rsidRDefault="00A820B9" w:rsidP="00A820B9">
      <w:pPr>
        <w:spacing w:line="360" w:lineRule="auto"/>
        <w:ind w:left="284" w:right="284"/>
        <w:jc w:val="both"/>
        <w:rPr>
          <w:rFonts w:ascii="Garamond" w:hAnsi="Garamond"/>
        </w:rPr>
      </w:pPr>
      <w:r>
        <w:rPr>
          <w:rFonts w:ascii="Garamond" w:hAnsi="Garamond"/>
        </w:rPr>
        <w:t>ESAU</w:t>
      </w:r>
      <w:r w:rsidR="00BA0F0B" w:rsidRPr="00907189">
        <w:rPr>
          <w:rFonts w:ascii="Garamond" w:hAnsi="Garamond"/>
        </w:rPr>
        <w:t>: People were very careless with their terminology. It was handed down from generation to generation; that was my problem with Sietse Bosgra’s group with only Dutch people, and then nobody could point out their racist language and racist jokes they made among themselves - there was no chance to have an eye-opener. The BOA was always multi-et</w:t>
      </w:r>
      <w:r w:rsidR="000B6D76">
        <w:rPr>
          <w:rFonts w:ascii="Garamond" w:hAnsi="Garamond"/>
        </w:rPr>
        <w:t>hic and multi-racial, like the Inspan Girls</w:t>
      </w:r>
      <w:r w:rsidR="00BA0F0B" w:rsidRPr="00907189">
        <w:rPr>
          <w:rFonts w:ascii="Garamond" w:hAnsi="Garamond"/>
        </w:rPr>
        <w:t>. And that was the beginning when we set out our stall on how we would operate. And many people didn’t get the message. In Sietse Bosgra’s book on the Portuguese colonies he invariably referred to people as negroes</w:t>
      </w:r>
      <w:r w:rsidR="00BA0F0B" w:rsidRPr="00907189">
        <w:rPr>
          <w:rStyle w:val="FootnoteReference"/>
          <w:rFonts w:ascii="Garamond" w:hAnsi="Garamond"/>
        </w:rPr>
        <w:footnoteReference w:id="67"/>
      </w:r>
      <w:r w:rsidR="00BA0F0B" w:rsidRPr="00907189">
        <w:rPr>
          <w:rFonts w:ascii="Garamond" w:hAnsi="Garamond"/>
        </w:rPr>
        <w:t>. I pointed it out to other groups but they defended it, they didn’t mean any harm by it. It was simply their culture, their Eurocentric approach.</w:t>
      </w:r>
    </w:p>
    <w:p w:rsidR="00BA0F0B" w:rsidRPr="00907189" w:rsidRDefault="00A820B9" w:rsidP="00A820B9">
      <w:pPr>
        <w:spacing w:line="360" w:lineRule="auto"/>
        <w:ind w:left="284" w:right="284"/>
        <w:jc w:val="both"/>
        <w:rPr>
          <w:rFonts w:ascii="Garamond" w:hAnsi="Garamond"/>
        </w:rPr>
      </w:pPr>
      <w:r>
        <w:rPr>
          <w:rFonts w:ascii="Garamond" w:hAnsi="Garamond"/>
        </w:rPr>
        <w:t>HUGH</w:t>
      </w:r>
      <w:r w:rsidR="00BA0F0B" w:rsidRPr="00907189">
        <w:rPr>
          <w:rFonts w:ascii="Garamond" w:hAnsi="Garamond"/>
        </w:rPr>
        <w:t>: I find it interesting that people can be working in anti-apartheid and using this terminology. For me it’s hard to get into that mind-set.</w:t>
      </w:r>
    </w:p>
    <w:p w:rsidR="00BA0F0B" w:rsidRPr="00907189" w:rsidRDefault="00A820B9" w:rsidP="00A820B9">
      <w:pPr>
        <w:spacing w:line="360" w:lineRule="auto"/>
        <w:ind w:left="284" w:right="284"/>
        <w:jc w:val="both"/>
        <w:rPr>
          <w:rFonts w:ascii="Garamond" w:hAnsi="Garamond"/>
        </w:rPr>
      </w:pPr>
      <w:r>
        <w:rPr>
          <w:rFonts w:ascii="Garamond" w:hAnsi="Garamond"/>
        </w:rPr>
        <w:t>ESAU</w:t>
      </w:r>
      <w:r w:rsidR="00BA0F0B" w:rsidRPr="00907189">
        <w:rPr>
          <w:rFonts w:ascii="Garamond" w:hAnsi="Garamond"/>
        </w:rPr>
        <w:t>: It’s because the problem is deeper, they haven’t made the transition from we and they, from us and them. I read an interview in the Volkstrant paper with the Dutch activist Klaas de Jonge. And it was a good interview and he said good things, but at the end of the interview he was asked, ‘now it’s the end of apartheid, what is there to do?’ And he replied, ‘there is still a lot of mess over there…but the mess that they make now is of their own making’. And that struck me. It was as if the problem was solved, and the Dutch weren’t making the transition to an integrated, global and universal view of humanity. This question of us and them is a form of compartmentalization that is deep rooted in Dutch society and exported</w:t>
      </w:r>
      <w:r w:rsidR="00BA0F0B">
        <w:rPr>
          <w:rFonts w:ascii="Garamond" w:hAnsi="Garamond"/>
        </w:rPr>
        <w:t>.</w:t>
      </w:r>
      <w:r w:rsidR="00BA0F0B" w:rsidRPr="00907189">
        <w:rPr>
          <w:rStyle w:val="FootnoteReference"/>
          <w:rFonts w:ascii="Garamond" w:hAnsi="Garamond"/>
        </w:rPr>
        <w:footnoteReference w:id="68"/>
      </w:r>
    </w:p>
    <w:p w:rsidR="00BA0F0B" w:rsidRPr="00907189" w:rsidRDefault="00BA0F0B" w:rsidP="00A820B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The process of binding racism to particular colour-coded places in the antiracist activities of specific groups is described by Nash (2003) as an ingredient of an ‘unreflexive whiteness’, sometimes characteristic of place-specific antiracism activism. She writes:</w:t>
      </w:r>
    </w:p>
    <w:p w:rsidR="00BA0F0B" w:rsidRPr="00907189" w:rsidRDefault="00BA0F0B" w:rsidP="00BA0F0B">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 xml:space="preserve">     </w:t>
      </w:r>
    </w:p>
    <w:p w:rsidR="00BA0F0B" w:rsidRPr="00907189" w:rsidRDefault="00BA0F0B" w:rsidP="00BA0F0B">
      <w:pPr>
        <w:autoSpaceDE w:val="0"/>
        <w:autoSpaceDN w:val="0"/>
        <w:adjustRightInd w:val="0"/>
        <w:spacing w:after="0" w:line="360" w:lineRule="auto"/>
        <w:ind w:left="284" w:right="284"/>
        <w:jc w:val="both"/>
        <w:rPr>
          <w:rFonts w:ascii="Garamond" w:hAnsi="Garamond"/>
        </w:rPr>
      </w:pPr>
      <w:r w:rsidRPr="00907189">
        <w:rPr>
          <w:rFonts w:ascii="Garamond" w:hAnsi="Garamond"/>
        </w:rPr>
        <w:t>Limiting attention to race to ‘non-white’ spaces is a feature of an unreflexive whiteness, that only sees race through the visual markers of ‘non-white’ bodies, thus normalizing both the bodies and spaces of whiteness…</w:t>
      </w:r>
      <w:r w:rsidRPr="00907189">
        <w:rPr>
          <w:rFonts w:ascii="Garamond" w:hAnsi="Garamond"/>
          <w:b/>
        </w:rPr>
        <w:t xml:space="preserve"> </w:t>
      </w:r>
      <w:r w:rsidRPr="00907189">
        <w:rPr>
          <w:rFonts w:ascii="Garamond" w:hAnsi="Garamond"/>
        </w:rPr>
        <w:t>Similarly, the</w:t>
      </w:r>
      <w:r w:rsidRPr="00907189">
        <w:rPr>
          <w:rFonts w:ascii="Garamond" w:hAnsi="Garamond"/>
          <w:b/>
        </w:rPr>
        <w:t xml:space="preserve"> </w:t>
      </w:r>
      <w:r w:rsidRPr="00907189">
        <w:rPr>
          <w:rFonts w:ascii="Garamond" w:hAnsi="Garamond"/>
        </w:rPr>
        <w:t xml:space="preserve">public condemnation of incidents of overt racism, in which racism is attributed to a specific group or locality and denied more widely, especially in dismissive responses to antiracist activism, suggests that </w:t>
      </w:r>
      <w:r w:rsidRPr="00907189">
        <w:rPr>
          <w:rFonts w:ascii="Garamond" w:hAnsi="Garamond"/>
        </w:rPr>
        <w:lastRenderedPageBreak/>
        <w:t>critiques of the racism of specific groups can occur in racist ways by denying the reach and routine nature of racialization and racism</w:t>
      </w:r>
      <w:r>
        <w:rPr>
          <w:rFonts w:ascii="Garamond" w:hAnsi="Garamond"/>
        </w:rPr>
        <w:t>.</w:t>
      </w:r>
      <w:r w:rsidRPr="00907189">
        <w:rPr>
          <w:rFonts w:ascii="Garamond" w:hAnsi="Garamond"/>
        </w:rPr>
        <w:t xml:space="preserve"> </w:t>
      </w:r>
      <w:r>
        <w:rPr>
          <w:rFonts w:ascii="Garamond" w:hAnsi="Garamond"/>
        </w:rPr>
        <w:t>(2003: 640)</w:t>
      </w:r>
    </w:p>
    <w:p w:rsidR="00BA0F0B" w:rsidRPr="00907189" w:rsidRDefault="00BA0F0B" w:rsidP="00BA0F0B">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In line with Nash’s ‘unreflexive whiteness’ of place specific antiracism, the BOA believe</w:t>
      </w:r>
      <w:r>
        <w:rPr>
          <w:rFonts w:ascii="Garamond" w:hAnsi="Garamond"/>
          <w:sz w:val="24"/>
          <w:szCs w:val="24"/>
        </w:rPr>
        <w:t>d</w:t>
      </w:r>
      <w:r w:rsidRPr="00907189">
        <w:rPr>
          <w:rFonts w:ascii="Garamond" w:hAnsi="Garamond"/>
          <w:sz w:val="24"/>
          <w:szCs w:val="24"/>
        </w:rPr>
        <w:t xml:space="preserve"> that Dutch anti-apartheid activism was sometimes conducted in racist ways through public declarations by activists that pointed to the specificity of racism in distant South Africa: “after thirty years of participating in Dutch society I am convinced that some Dutch activists can be anti-apartheid far away, whilst being racist themselves” (du Plessis, interview revisions, 2012). </w:t>
      </w:r>
      <w:r w:rsidRPr="00907189">
        <w:rPr>
          <w:rFonts w:ascii="Garamond" w:hAnsi="Garamond"/>
          <w:sz w:val="24"/>
          <w:szCs w:val="24"/>
          <w:lang w:val="en-US"/>
        </w:rPr>
        <w:t xml:space="preserve">Official accounts of Dutch anti-apartheid are unwittingly reproduced in Mather </w:t>
      </w:r>
      <w:r w:rsidR="00F152DB">
        <w:rPr>
          <w:rFonts w:ascii="Garamond" w:hAnsi="Garamond"/>
          <w:sz w:val="24"/>
          <w:szCs w:val="24"/>
          <w:lang w:val="en-US"/>
        </w:rPr>
        <w:t>and</w:t>
      </w:r>
      <w:r w:rsidRPr="00907189">
        <w:rPr>
          <w:rFonts w:ascii="Garamond" w:hAnsi="Garamond"/>
          <w:sz w:val="24"/>
          <w:szCs w:val="24"/>
          <w:lang w:val="en-US"/>
        </w:rPr>
        <w:t xml:space="preserve"> Mackenzie’s (2004) publication, </w:t>
      </w:r>
      <w:r w:rsidRPr="00907189">
        <w:rPr>
          <w:rFonts w:ascii="Garamond" w:hAnsi="Garamond"/>
          <w:i/>
          <w:sz w:val="24"/>
          <w:szCs w:val="24"/>
          <w:lang w:val="en-US"/>
        </w:rPr>
        <w:t>Citrus, apartheid and the struggle to (re) present Outspan Oranges.</w:t>
      </w:r>
      <w:r w:rsidRPr="00907189">
        <w:rPr>
          <w:rFonts w:ascii="Garamond" w:hAnsi="Garamond"/>
          <w:sz w:val="24"/>
          <w:szCs w:val="24"/>
          <w:lang w:val="en-US"/>
        </w:rPr>
        <w:t xml:space="preserve"> At times, Dutch anti-apartheid is presented as a unified and cosy affair; their reading is that the BOA boycott was conducted by the 'European anti-apartheid movement'. In conclusion they contend that:</w:t>
      </w:r>
    </w:p>
    <w:p w:rsidR="00BA0F0B" w:rsidRPr="00907189" w:rsidRDefault="00BA0F0B" w:rsidP="00026BC9">
      <w:pPr>
        <w:spacing w:after="0" w:line="360" w:lineRule="auto"/>
        <w:jc w:val="both"/>
        <w:rPr>
          <w:rFonts w:ascii="Garamond" w:hAnsi="Garamond"/>
          <w:lang w:val="en-US"/>
        </w:rPr>
      </w:pPr>
    </w:p>
    <w:p w:rsidR="00026BC9" w:rsidRDefault="00BA0F0B" w:rsidP="00026BC9">
      <w:pPr>
        <w:spacing w:after="0" w:line="360" w:lineRule="auto"/>
        <w:ind w:left="284" w:right="284"/>
        <w:jc w:val="both"/>
        <w:rPr>
          <w:rFonts w:ascii="Garamond" w:hAnsi="Garamond"/>
          <w:lang w:val="en-US"/>
        </w:rPr>
      </w:pPr>
      <w:r w:rsidRPr="00907189">
        <w:rPr>
          <w:rFonts w:ascii="Garamond" w:hAnsi="Garamond"/>
          <w:lang w:val="en-US"/>
        </w:rPr>
        <w:t>the most powerful representations of Outspan were produced not by the owner of the brand, but by the European anti-apartheid movement…the movement unveiled the anatomy of the commodity chain</w:t>
      </w:r>
      <w:r>
        <w:rPr>
          <w:rFonts w:ascii="Garamond" w:hAnsi="Garamond"/>
          <w:lang w:val="en-US"/>
        </w:rPr>
        <w:t>.</w:t>
      </w:r>
      <w:r w:rsidRPr="00907189">
        <w:rPr>
          <w:rFonts w:ascii="Garamond" w:hAnsi="Garamond"/>
          <w:lang w:val="en-US"/>
        </w:rPr>
        <w:t xml:space="preserve"> (2004: 170)</w:t>
      </w:r>
    </w:p>
    <w:p w:rsidR="00BA0F0B" w:rsidRPr="00907189" w:rsidRDefault="00BA0F0B" w:rsidP="00026BC9">
      <w:pPr>
        <w:spacing w:after="0" w:line="360" w:lineRule="auto"/>
        <w:ind w:left="284" w:right="284"/>
        <w:jc w:val="both"/>
        <w:rPr>
          <w:rFonts w:ascii="Garamond" w:hAnsi="Garamond"/>
          <w:sz w:val="24"/>
          <w:szCs w:val="24"/>
          <w:lang w:val="en-US"/>
        </w:rPr>
      </w:pPr>
    </w:p>
    <w:p w:rsidR="00026BC9" w:rsidRDefault="000B6D76" w:rsidP="00026BC9">
      <w:pPr>
        <w:spacing w:after="0" w:line="360" w:lineRule="auto"/>
        <w:jc w:val="both"/>
        <w:rPr>
          <w:rFonts w:ascii="Garamond" w:hAnsi="Garamond"/>
          <w:sz w:val="24"/>
          <w:szCs w:val="24"/>
          <w:lang w:val="en-US"/>
        </w:rPr>
      </w:pPr>
      <w:r>
        <w:rPr>
          <w:rFonts w:ascii="Garamond" w:hAnsi="Garamond"/>
          <w:sz w:val="24"/>
          <w:szCs w:val="24"/>
          <w:lang w:val="en-US"/>
        </w:rPr>
        <w:t xml:space="preserve"> The BOA’s Inspan Girls</w:t>
      </w:r>
      <w:r w:rsidR="00BA0F0B" w:rsidRPr="00907189">
        <w:rPr>
          <w:rFonts w:ascii="Garamond" w:hAnsi="Garamond"/>
          <w:sz w:val="24"/>
          <w:szCs w:val="24"/>
          <w:lang w:val="en-US"/>
        </w:rPr>
        <w:t xml:space="preserve"> become representative of Dutch anti-apartheid as a whole:</w:t>
      </w:r>
    </w:p>
    <w:p w:rsidR="00BA0F0B" w:rsidRPr="00907189" w:rsidRDefault="00BA0F0B" w:rsidP="00026BC9">
      <w:pPr>
        <w:spacing w:after="0" w:line="360" w:lineRule="auto"/>
        <w:jc w:val="both"/>
        <w:rPr>
          <w:rFonts w:ascii="Garamond" w:hAnsi="Garamond"/>
          <w:sz w:val="24"/>
          <w:szCs w:val="24"/>
          <w:lang w:val="en-US"/>
        </w:rPr>
      </w:pPr>
    </w:p>
    <w:p w:rsidR="00026BC9" w:rsidRDefault="00BA0F0B" w:rsidP="00026BC9">
      <w:pPr>
        <w:spacing w:after="0" w:line="360" w:lineRule="auto"/>
        <w:ind w:left="284" w:right="284"/>
        <w:jc w:val="both"/>
        <w:rPr>
          <w:rFonts w:ascii="Garamond" w:hAnsi="Garamond"/>
          <w:lang w:val="en-US"/>
        </w:rPr>
      </w:pPr>
      <w:r w:rsidRPr="00907189">
        <w:rPr>
          <w:rFonts w:ascii="Garamond" w:hAnsi="Garamond"/>
          <w:lang w:val="en-US"/>
        </w:rPr>
        <w:t>In the case of Outspan these [geographical] representations engage with each other in fascinating ways, illustrated most vividly in the Dutch anti-apar</w:t>
      </w:r>
      <w:r w:rsidR="000B6D76">
        <w:rPr>
          <w:rFonts w:ascii="Garamond" w:hAnsi="Garamond"/>
          <w:lang w:val="en-US"/>
        </w:rPr>
        <w:t>theid movement’s black ‘Inspan G</w:t>
      </w:r>
      <w:r w:rsidRPr="00907189">
        <w:rPr>
          <w:rFonts w:ascii="Garamond" w:hAnsi="Garamond"/>
          <w:lang w:val="en-US"/>
        </w:rPr>
        <w:t xml:space="preserve">irls’, a stark opposite to the </w:t>
      </w:r>
      <w:r w:rsidR="000B6D76">
        <w:rPr>
          <w:rFonts w:ascii="Garamond" w:hAnsi="Garamond"/>
          <w:lang w:val="en-US"/>
        </w:rPr>
        <w:t>exporter’s own white ‘Outspan G</w:t>
      </w:r>
      <w:r w:rsidRPr="00907189">
        <w:rPr>
          <w:rFonts w:ascii="Garamond" w:hAnsi="Garamond"/>
          <w:lang w:val="en-US"/>
        </w:rPr>
        <w:t>irls</w:t>
      </w:r>
      <w:r w:rsidR="000B6D76">
        <w:rPr>
          <w:rFonts w:ascii="Garamond" w:hAnsi="Garamond"/>
          <w:lang w:val="en-US"/>
        </w:rPr>
        <w:t>’</w:t>
      </w:r>
      <w:r>
        <w:rPr>
          <w:rFonts w:ascii="Garamond" w:hAnsi="Garamond"/>
          <w:lang w:val="en-US"/>
        </w:rPr>
        <w:t>.</w:t>
      </w:r>
      <w:r w:rsidRPr="00907189">
        <w:rPr>
          <w:rFonts w:ascii="Garamond" w:hAnsi="Garamond"/>
          <w:lang w:val="en-US"/>
        </w:rPr>
        <w:t xml:space="preserve"> (204: 170)</w:t>
      </w:r>
      <w:r w:rsidRPr="00907189">
        <w:rPr>
          <w:rStyle w:val="FootnoteReference"/>
          <w:rFonts w:ascii="Garamond" w:hAnsi="Garamond"/>
          <w:lang w:val="en-US"/>
        </w:rPr>
        <w:footnoteReference w:id="69"/>
      </w:r>
    </w:p>
    <w:p w:rsidR="00BA0F0B" w:rsidRPr="00907189" w:rsidRDefault="00BA0F0B" w:rsidP="00026BC9">
      <w:pPr>
        <w:spacing w:after="0" w:line="360" w:lineRule="auto"/>
        <w:ind w:left="284" w:right="284"/>
        <w:jc w:val="both"/>
        <w:rPr>
          <w:rFonts w:ascii="Garamond" w:hAnsi="Garamond"/>
          <w:lang w:val="en-US"/>
        </w:rPr>
      </w:pPr>
    </w:p>
    <w:p w:rsidR="00026BC9" w:rsidRDefault="00BA0F0B" w:rsidP="00026BC9">
      <w:pPr>
        <w:spacing w:after="0" w:line="360" w:lineRule="auto"/>
        <w:jc w:val="both"/>
        <w:rPr>
          <w:rFonts w:ascii="Garamond" w:hAnsi="Garamond"/>
          <w:sz w:val="24"/>
          <w:szCs w:val="24"/>
          <w:lang w:val="en-US"/>
        </w:rPr>
      </w:pPr>
      <w:r w:rsidRPr="00907189">
        <w:rPr>
          <w:rFonts w:ascii="Garamond" w:hAnsi="Garamond"/>
          <w:sz w:val="24"/>
          <w:szCs w:val="24"/>
          <w:lang w:val="en-US"/>
        </w:rPr>
        <w:t>These are misleadin</w:t>
      </w:r>
      <w:r w:rsidR="000B6D76">
        <w:rPr>
          <w:rFonts w:ascii="Garamond" w:hAnsi="Garamond"/>
          <w:sz w:val="24"/>
          <w:szCs w:val="24"/>
          <w:lang w:val="en-US"/>
        </w:rPr>
        <w:t>g statements. The point of the Inspan Girls</w:t>
      </w:r>
      <w:r w:rsidRPr="00907189">
        <w:rPr>
          <w:rFonts w:ascii="Garamond" w:hAnsi="Garamond"/>
          <w:sz w:val="24"/>
          <w:szCs w:val="24"/>
          <w:lang w:val="en-US"/>
        </w:rPr>
        <w:t>, as the authors mention earl</w:t>
      </w:r>
      <w:r w:rsidR="00F07857">
        <w:rPr>
          <w:rFonts w:ascii="Garamond" w:hAnsi="Garamond"/>
          <w:sz w:val="24"/>
          <w:szCs w:val="24"/>
          <w:lang w:val="en-US"/>
        </w:rPr>
        <w:t>ier by quoting from du Plessis’</w:t>
      </w:r>
      <w:r w:rsidRPr="00907189">
        <w:rPr>
          <w:rFonts w:ascii="Garamond" w:hAnsi="Garamond"/>
          <w:sz w:val="24"/>
          <w:szCs w:val="24"/>
          <w:lang w:val="en-US"/>
        </w:rPr>
        <w:t xml:space="preserve"> 1974 publication for </w:t>
      </w:r>
      <w:r w:rsidRPr="00907189">
        <w:rPr>
          <w:rFonts w:ascii="Garamond" w:hAnsi="Garamond"/>
          <w:i/>
          <w:sz w:val="24"/>
          <w:szCs w:val="24"/>
          <w:lang w:val="en-US"/>
        </w:rPr>
        <w:t xml:space="preserve">Africa Today, </w:t>
      </w:r>
      <w:r w:rsidRPr="00907189">
        <w:rPr>
          <w:rFonts w:ascii="Garamond" w:hAnsi="Garamond"/>
          <w:sz w:val="24"/>
          <w:szCs w:val="24"/>
          <w:lang w:val="en-US"/>
        </w:rPr>
        <w:t>was that they embodied femininity from multiple ethnicities. They were deliber</w:t>
      </w:r>
      <w:r w:rsidR="000A459F">
        <w:rPr>
          <w:rFonts w:ascii="Garamond" w:hAnsi="Garamond"/>
          <w:sz w:val="24"/>
          <w:szCs w:val="24"/>
          <w:lang w:val="en-US"/>
        </w:rPr>
        <w:t>ately, and comprehensively,</w:t>
      </w:r>
      <w:r w:rsidRPr="00907189">
        <w:rPr>
          <w:rFonts w:ascii="Garamond" w:hAnsi="Garamond"/>
          <w:sz w:val="24"/>
          <w:szCs w:val="24"/>
          <w:lang w:val="en-US"/>
        </w:rPr>
        <w:t xml:space="preserve"> not black in the way Mather </w:t>
      </w:r>
      <w:r w:rsidR="00F152DB">
        <w:rPr>
          <w:rFonts w:ascii="Garamond" w:hAnsi="Garamond"/>
          <w:sz w:val="24"/>
          <w:szCs w:val="24"/>
          <w:lang w:val="en-US"/>
        </w:rPr>
        <w:t>and</w:t>
      </w:r>
      <w:r w:rsidRPr="00907189">
        <w:rPr>
          <w:rFonts w:ascii="Garamond" w:hAnsi="Garamond"/>
          <w:sz w:val="24"/>
          <w:szCs w:val="24"/>
          <w:lang w:val="en-US"/>
        </w:rPr>
        <w:t xml:space="preserve"> Mackenzie point out here. Whilst providing a neat conclusion, the stark black and white binary is inaccurate and is misrepresentative of the BOA’s specific intention, and its broader ideology. </w:t>
      </w:r>
    </w:p>
    <w:p w:rsidR="00BA0F0B" w:rsidRPr="00907189" w:rsidRDefault="00BA0F0B" w:rsidP="00026BC9">
      <w:pPr>
        <w:spacing w:after="0" w:line="360" w:lineRule="auto"/>
        <w:jc w:val="both"/>
        <w:rPr>
          <w:rFonts w:ascii="Garamond" w:hAnsi="Garamond"/>
          <w:sz w:val="24"/>
          <w:szCs w:val="24"/>
          <w:lang w:val="en-US"/>
        </w:rPr>
      </w:pPr>
    </w:p>
    <w:p w:rsidR="00026BC9" w:rsidRDefault="00BA0F0B" w:rsidP="00026BC9">
      <w:pPr>
        <w:spacing w:after="0" w:line="360" w:lineRule="auto"/>
        <w:jc w:val="both"/>
        <w:rPr>
          <w:rFonts w:ascii="Garamond" w:hAnsi="Garamond"/>
          <w:sz w:val="24"/>
          <w:szCs w:val="24"/>
          <w:lang w:val="en-US"/>
        </w:rPr>
      </w:pPr>
      <w:r w:rsidRPr="00907189">
        <w:rPr>
          <w:rFonts w:ascii="Garamond" w:hAnsi="Garamond"/>
          <w:sz w:val="24"/>
          <w:szCs w:val="24"/>
          <w:lang w:val="en-US"/>
        </w:rPr>
        <w:t xml:space="preserve">Mather </w:t>
      </w:r>
      <w:r w:rsidR="00F152DB">
        <w:rPr>
          <w:rFonts w:ascii="Garamond" w:hAnsi="Garamond"/>
          <w:sz w:val="24"/>
          <w:szCs w:val="24"/>
          <w:lang w:val="en-US"/>
        </w:rPr>
        <w:t>and</w:t>
      </w:r>
      <w:r w:rsidRPr="00907189">
        <w:rPr>
          <w:rFonts w:ascii="Garamond" w:hAnsi="Garamond"/>
          <w:sz w:val="24"/>
          <w:szCs w:val="24"/>
          <w:lang w:val="en-US"/>
        </w:rPr>
        <w:t xml:space="preserve"> Mackenzie do not address the BOA’s aim of combating proximate racism and changing racist attitudes in Holland, and commitment to action in solidarity</w:t>
      </w:r>
      <w:r w:rsidRPr="00907189">
        <w:rPr>
          <w:rStyle w:val="FootnoteReference"/>
          <w:rFonts w:ascii="Garamond" w:hAnsi="Garamond"/>
          <w:sz w:val="24"/>
          <w:szCs w:val="24"/>
          <w:lang w:val="en-US"/>
        </w:rPr>
        <w:footnoteReference w:id="70"/>
      </w:r>
      <w:r w:rsidRPr="00907189">
        <w:rPr>
          <w:rFonts w:ascii="Garamond" w:hAnsi="Garamond"/>
          <w:sz w:val="24"/>
          <w:szCs w:val="24"/>
          <w:lang w:val="en-US"/>
        </w:rPr>
        <w:t xml:space="preserve"> with </w:t>
      </w:r>
      <w:r w:rsidRPr="00907189">
        <w:rPr>
          <w:rFonts w:ascii="Garamond" w:hAnsi="Garamond"/>
          <w:sz w:val="24"/>
          <w:szCs w:val="24"/>
          <w:lang w:val="en-US"/>
        </w:rPr>
        <w:lastRenderedPageBreak/>
        <w:t>apartheid workers and SACTU members. Core ideologies of the organization are subsumed by the contestation of representation between two different knowledges on South Africa siphoned into activist/apartheid, producer/consumer, white/black and European/African trajectories. Here, South Africa is the place where racism is located, and Holland is the place where it is contested. There is no engagement with the context of the BOA’s campaign, and the European consumer and anti-apartheid activist are presented as essentialized categories with little agency or alterity. There is little analysis of what happens when these knowledges are embodied, and eaten. The ‘how’ of the boycott is untou</w:t>
      </w:r>
      <w:r w:rsidR="00026BC9">
        <w:rPr>
          <w:rFonts w:ascii="Garamond" w:hAnsi="Garamond"/>
          <w:sz w:val="24"/>
          <w:szCs w:val="24"/>
          <w:lang w:val="en-US"/>
        </w:rPr>
        <w:t>ched, and without interviews or</w:t>
      </w:r>
      <w:r w:rsidRPr="00907189">
        <w:rPr>
          <w:rFonts w:ascii="Garamond" w:hAnsi="Garamond"/>
          <w:sz w:val="24"/>
          <w:szCs w:val="24"/>
          <w:lang w:val="en-US"/>
        </w:rPr>
        <w:t xml:space="preserve"> readings of the extant literature, the BOA’s </w:t>
      </w:r>
      <w:r>
        <w:rPr>
          <w:rFonts w:ascii="Garamond" w:hAnsi="Garamond"/>
          <w:sz w:val="24"/>
          <w:szCs w:val="24"/>
          <w:lang w:val="en-US"/>
        </w:rPr>
        <w:t>narrative and voice are not fore</w:t>
      </w:r>
      <w:r w:rsidRPr="00907189">
        <w:rPr>
          <w:rFonts w:ascii="Garamond" w:hAnsi="Garamond"/>
          <w:sz w:val="24"/>
          <w:szCs w:val="24"/>
          <w:lang w:val="en-US"/>
        </w:rPr>
        <w:t xml:space="preserve">grounded, and the invisibility of difference, and indivisibility of scales, paint a white picture of anti-apartheid. </w:t>
      </w:r>
      <w:r>
        <w:rPr>
          <w:rFonts w:ascii="Garamond" w:hAnsi="Garamond"/>
          <w:sz w:val="24"/>
          <w:szCs w:val="24"/>
          <w:lang w:val="en-US"/>
        </w:rPr>
        <w:t>This chapter makes an original contribution to research on Dutch anti-apartheid by addressing these oversights.</w:t>
      </w:r>
    </w:p>
    <w:p w:rsidR="00BA0F0B" w:rsidRPr="00907189" w:rsidRDefault="00BA0F0B" w:rsidP="00026BC9">
      <w:pPr>
        <w:spacing w:after="0" w:line="360" w:lineRule="auto"/>
        <w:jc w:val="both"/>
        <w:rPr>
          <w:rFonts w:ascii="Garamond" w:hAnsi="Garamond"/>
          <w:sz w:val="24"/>
          <w:szCs w:val="24"/>
          <w:lang w:val="en-US"/>
        </w:rPr>
      </w:pPr>
      <w:r>
        <w:rPr>
          <w:rFonts w:ascii="Garamond" w:hAnsi="Garamond"/>
          <w:sz w:val="24"/>
          <w:szCs w:val="24"/>
          <w:lang w:val="en-US"/>
        </w:rPr>
        <w:t xml:space="preserve"> </w:t>
      </w:r>
      <w:r w:rsidRPr="00907189">
        <w:rPr>
          <w:rFonts w:ascii="Garamond" w:hAnsi="Garamond"/>
          <w:sz w:val="24"/>
          <w:szCs w:val="24"/>
          <w:lang w:val="en-US"/>
        </w:rPr>
        <w:t xml:space="preserve">         </w:t>
      </w:r>
    </w:p>
    <w:p w:rsidR="00BA0F0B" w:rsidRPr="00907189" w:rsidRDefault="00BA0F0B" w:rsidP="00026BC9">
      <w:pPr>
        <w:spacing w:after="0" w:line="360" w:lineRule="auto"/>
        <w:jc w:val="both"/>
        <w:rPr>
          <w:rFonts w:ascii="Garamond" w:hAnsi="Garamond"/>
          <w:sz w:val="24"/>
          <w:szCs w:val="24"/>
          <w:lang w:val="en-US"/>
        </w:rPr>
      </w:pPr>
      <w:r w:rsidRPr="00907189">
        <w:rPr>
          <w:rFonts w:ascii="Garamond" w:hAnsi="Garamond"/>
          <w:sz w:val="24"/>
          <w:szCs w:val="24"/>
        </w:rPr>
        <w:t xml:space="preserve">Narrative and voice are important. The extant scholarship on the BOA, the correspondence between du Plessis and Bosgra, and the interview material suggest that there are ‘unofficial’ and ‘unsafe’ narratives of Dutch anti-apartheid that have been precluded from accounts of Dutch activism. The liberal and progressive tendencies of the official anti-apartheid movement distinguish themselves against the blunt, fanatical and brutish impulses of the apartheid Boer, the anti-Semitic actions of the pro-Nazi Dutch informants during the time of occupation </w:t>
      </w:r>
      <w:r w:rsidR="00DF2DF8" w:rsidRPr="00907189">
        <w:rPr>
          <w:rFonts w:ascii="Garamond" w:hAnsi="Garamond"/>
          <w:sz w:val="24"/>
          <w:szCs w:val="24"/>
        </w:rPr>
        <w:fldChar w:fldCharType="begin"/>
      </w:r>
      <w:r w:rsidRPr="00907189">
        <w:rPr>
          <w:rFonts w:ascii="Garamond" w:hAnsi="Garamond"/>
          <w:sz w:val="24"/>
          <w:szCs w:val="24"/>
        </w:rPr>
        <w:instrText xml:space="preserve"> ADDIN ZOTERO_ITEM {"citationItems":[{"uri":["http://zotero.org/users/533342/items/792ZF5EF"]},{"uri":["http://zotero.org/users/533342/items/HX2IGIKM"]}]} </w:instrText>
      </w:r>
      <w:r w:rsidR="00DF2DF8" w:rsidRPr="00907189">
        <w:rPr>
          <w:rFonts w:ascii="Garamond" w:hAnsi="Garamond"/>
          <w:sz w:val="24"/>
          <w:szCs w:val="24"/>
        </w:rPr>
        <w:fldChar w:fldCharType="separate"/>
      </w:r>
      <w:r w:rsidRPr="00907189">
        <w:rPr>
          <w:rFonts w:ascii="Garamond" w:hAnsi="Garamond"/>
          <w:sz w:val="24"/>
        </w:rPr>
        <w:t>(Mayson 1985; Grundy 1974)</w:t>
      </w:r>
      <w:r w:rsidR="00DF2DF8" w:rsidRPr="00907189">
        <w:rPr>
          <w:rFonts w:ascii="Garamond" w:hAnsi="Garamond"/>
          <w:sz w:val="24"/>
          <w:szCs w:val="24"/>
        </w:rPr>
        <w:fldChar w:fldCharType="end"/>
      </w:r>
      <w:r w:rsidRPr="00907189">
        <w:rPr>
          <w:rFonts w:ascii="Garamond" w:hAnsi="Garamond"/>
          <w:sz w:val="24"/>
          <w:szCs w:val="24"/>
        </w:rPr>
        <w:t>; and the blackness of South Africa (In the 1970s several of the Dutch AAMs ran a series of congresses entitled ‘B(l)acking South Africa’). But when the question of anti-apartheid becomes embodied and proximate, subjective and relational</w:t>
      </w:r>
      <w:r>
        <w:rPr>
          <w:rFonts w:ascii="Garamond" w:hAnsi="Garamond"/>
          <w:sz w:val="24"/>
          <w:szCs w:val="24"/>
        </w:rPr>
        <w:t>,</w:t>
      </w:r>
      <w:r w:rsidRPr="00907189">
        <w:rPr>
          <w:rFonts w:ascii="Garamond" w:hAnsi="Garamond"/>
          <w:sz w:val="24"/>
          <w:szCs w:val="24"/>
        </w:rPr>
        <w:t xml:space="preserve"> a different set of anti-apartheid identities emerge. The co-ordinates are radically shifted to a world where there is no ‘outside’ to race and racism.</w:t>
      </w:r>
      <w:r>
        <w:rPr>
          <w:rFonts w:ascii="Garamond" w:hAnsi="Garamond"/>
          <w:sz w:val="24"/>
          <w:szCs w:val="24"/>
        </w:rPr>
        <w:t xml:space="preserve"> </w:t>
      </w: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In facing up to the BOA it a</w:t>
      </w:r>
      <w:r>
        <w:rPr>
          <w:rFonts w:ascii="Garamond" w:hAnsi="Garamond"/>
          <w:sz w:val="24"/>
          <w:szCs w:val="24"/>
        </w:rPr>
        <w:t>ppears progressive tendencies in</w:t>
      </w:r>
      <w:r w:rsidRPr="00907189">
        <w:rPr>
          <w:rFonts w:ascii="Garamond" w:hAnsi="Garamond"/>
          <w:sz w:val="24"/>
          <w:szCs w:val="24"/>
        </w:rPr>
        <w:t xml:space="preserve"> Dutch anti-apartheid are</w:t>
      </w:r>
      <w:r>
        <w:rPr>
          <w:rFonts w:ascii="Garamond" w:hAnsi="Garamond"/>
          <w:sz w:val="24"/>
          <w:szCs w:val="24"/>
        </w:rPr>
        <w:t xml:space="preserve"> slowed.</w:t>
      </w:r>
      <w:r w:rsidRPr="00907189">
        <w:rPr>
          <w:rFonts w:ascii="Garamond" w:hAnsi="Garamond"/>
          <w:sz w:val="24"/>
          <w:szCs w:val="24"/>
        </w:rPr>
        <w:t xml:space="preserve"> Official Dutch and European epistemologies disguise the ontological construction of racial identities, and difference and impurity are reigned in. In the following section I analyse how the BOA posed the awkward ontological question of individual complicity in racist discrimination through the intimacies of their boycott campaign. At various times the BOA have been referred to as ‘special’, ‘small’, ‘antiracist’, and ‘without point’. The salient issue is that the BOA faces the subtle silence </w:t>
      </w:r>
      <w:r w:rsidRPr="00907189">
        <w:rPr>
          <w:rFonts w:ascii="Garamond" w:hAnsi="Garamond"/>
          <w:sz w:val="24"/>
          <w:szCs w:val="24"/>
        </w:rPr>
        <w:lastRenderedPageBreak/>
        <w:t xml:space="preserve">of an unaccountable whiteness four decades since countering the spatial separation of apartheid and racism. Alastair </w:t>
      </w:r>
      <w:r>
        <w:rPr>
          <w:rFonts w:ascii="Garamond" w:hAnsi="Garamond"/>
          <w:sz w:val="24"/>
          <w:szCs w:val="24"/>
        </w:rPr>
        <w:t xml:space="preserve">Bonnett advises </w:t>
      </w:r>
      <w:r w:rsidRPr="00907189">
        <w:rPr>
          <w:rFonts w:ascii="Garamond" w:hAnsi="Garamond"/>
          <w:sz w:val="24"/>
          <w:szCs w:val="24"/>
        </w:rPr>
        <w:t>that</w:t>
      </w:r>
      <w:r>
        <w:rPr>
          <w:rFonts w:ascii="Garamond" w:hAnsi="Garamond"/>
          <w:sz w:val="24"/>
          <w:szCs w:val="24"/>
        </w:rPr>
        <w:t>,</w:t>
      </w:r>
      <w:r w:rsidRPr="00907189">
        <w:rPr>
          <w:rFonts w:ascii="Garamond" w:hAnsi="Garamond"/>
          <w:sz w:val="24"/>
          <w:szCs w:val="24"/>
        </w:rPr>
        <w:t xml:space="preserve"> “any form of essentialist ‘sticking’ to whiteness is not a viable antiracist position” (2000: 140). </w:t>
      </w:r>
    </w:p>
    <w:p w:rsidR="00B83595" w:rsidRDefault="00B83595" w:rsidP="00026BC9">
      <w:pPr>
        <w:autoSpaceDE w:val="0"/>
        <w:autoSpaceDN w:val="0"/>
        <w:adjustRightInd w:val="0"/>
        <w:spacing w:after="0" w:line="360" w:lineRule="auto"/>
        <w:jc w:val="both"/>
        <w:rPr>
          <w:rFonts w:ascii="Garamond" w:hAnsi="Garamond"/>
          <w:sz w:val="24"/>
          <w:szCs w:val="24"/>
        </w:rPr>
      </w:pPr>
    </w:p>
    <w:p w:rsidR="00BA0F0B" w:rsidRPr="00907189" w:rsidRDefault="00BA0F0B" w:rsidP="00026BC9">
      <w:pPr>
        <w:autoSpaceDE w:val="0"/>
        <w:autoSpaceDN w:val="0"/>
        <w:adjustRightInd w:val="0"/>
        <w:spacing w:after="0" w:line="360" w:lineRule="auto"/>
        <w:jc w:val="both"/>
        <w:rPr>
          <w:rFonts w:ascii="Garamond" w:hAnsi="Garamond"/>
          <w:sz w:val="24"/>
          <w:szCs w:val="24"/>
        </w:rPr>
      </w:pPr>
    </w:p>
    <w:p w:rsidR="00026BC9" w:rsidRDefault="00BA0F0B" w:rsidP="00D57889">
      <w:pPr>
        <w:pStyle w:val="Heading2"/>
      </w:pPr>
      <w:bookmarkStart w:id="359" w:name="_Toc244469600"/>
      <w:bookmarkStart w:id="360" w:name="_Toc244508056"/>
      <w:bookmarkStart w:id="361" w:name="_Toc244535750"/>
      <w:bookmarkStart w:id="362" w:name="_Toc244578382"/>
      <w:bookmarkStart w:id="363" w:name="_Toc244578766"/>
      <w:bookmarkStart w:id="364" w:name="_Toc263452017"/>
      <w:bookmarkStart w:id="365" w:name="_Toc263510935"/>
      <w:r w:rsidRPr="00907189">
        <w:t xml:space="preserve">Preparing for boycott bodywork: </w:t>
      </w:r>
      <w:r>
        <w:t xml:space="preserve">geographies of </w:t>
      </w:r>
      <w:r w:rsidRPr="00907189">
        <w:t xml:space="preserve">connecting colonialism, citrus </w:t>
      </w:r>
      <w:r w:rsidR="00F152DB">
        <w:t>and</w:t>
      </w:r>
      <w:r w:rsidRPr="00907189">
        <w:t xml:space="preserve"> activism</w:t>
      </w:r>
      <w:bookmarkEnd w:id="359"/>
      <w:bookmarkEnd w:id="360"/>
      <w:bookmarkEnd w:id="361"/>
      <w:bookmarkEnd w:id="362"/>
      <w:bookmarkEnd w:id="363"/>
      <w:bookmarkEnd w:id="364"/>
      <w:bookmarkEnd w:id="365"/>
    </w:p>
    <w:p w:rsidR="00BA0F0B" w:rsidRPr="00907189" w:rsidRDefault="00BA0F0B" w:rsidP="00026BC9">
      <w:pPr>
        <w:spacing w:after="0" w:line="360" w:lineRule="auto"/>
        <w:rPr>
          <w:rFonts w:ascii="Garamond" w:hAnsi="Garamond"/>
          <w:b/>
          <w:sz w:val="24"/>
          <w:szCs w:val="24"/>
        </w:rPr>
      </w:pPr>
    </w:p>
    <w:p w:rsidR="00BA0F0B" w:rsidRPr="00907189" w:rsidRDefault="00BA0F0B" w:rsidP="00026BC9">
      <w:pPr>
        <w:spacing w:after="0" w:line="360" w:lineRule="auto"/>
        <w:ind w:left="284" w:right="284"/>
        <w:jc w:val="both"/>
        <w:rPr>
          <w:rFonts w:ascii="Garamond" w:eastAsia="Times New Roman" w:hAnsi="Garamond"/>
          <w:lang w:eastAsia="en-GB"/>
        </w:rPr>
      </w:pPr>
      <w:r w:rsidRPr="00907189">
        <w:rPr>
          <w:rFonts w:ascii="Garamond" w:hAnsi="Garamond"/>
        </w:rPr>
        <w:t>Colonialism, which is almost always a consequence of imperialism, is the implanting of settlements on a distant territory</w:t>
      </w:r>
      <w:r>
        <w:rPr>
          <w:rFonts w:ascii="Garamond" w:hAnsi="Garamond"/>
        </w:rPr>
        <w:t>.</w:t>
      </w:r>
      <w:r w:rsidRPr="00907189">
        <w:rPr>
          <w:rFonts w:ascii="Garamond" w:hAnsi="Garamond"/>
        </w:rPr>
        <w:t xml:space="preserve"> </w:t>
      </w:r>
      <w:r>
        <w:rPr>
          <w:rFonts w:ascii="Garamond" w:hAnsi="Garamond"/>
        </w:rPr>
        <w:t>(Said, 1992: 9)</w:t>
      </w:r>
    </w:p>
    <w:p w:rsidR="00026BC9" w:rsidRDefault="00026BC9" w:rsidP="00026BC9">
      <w:pPr>
        <w:spacing w:after="0" w:line="360" w:lineRule="auto"/>
        <w:jc w:val="both"/>
        <w:rPr>
          <w:rFonts w:ascii="Garamond" w:eastAsia="Times New Roman" w:hAnsi="Garamond"/>
          <w:sz w:val="24"/>
          <w:szCs w:val="24"/>
          <w:lang w:eastAsia="en-GB"/>
        </w:rPr>
      </w:pPr>
    </w:p>
    <w:p w:rsidR="00BA0F0B" w:rsidRPr="00907189" w:rsidRDefault="00BA0F0B" w:rsidP="00026BC9">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The BOA’s boycott of Outspan citrus is presented by du Plessis as coherent expression of the organization’s ideology:</w:t>
      </w:r>
    </w:p>
    <w:p w:rsidR="00026BC9" w:rsidRDefault="00026BC9" w:rsidP="00026BC9">
      <w:pPr>
        <w:spacing w:after="0" w:line="360" w:lineRule="auto"/>
        <w:ind w:left="284" w:right="284"/>
        <w:jc w:val="both"/>
        <w:rPr>
          <w:rFonts w:ascii="Garamond" w:hAnsi="Garamond"/>
        </w:rPr>
      </w:pPr>
    </w:p>
    <w:p w:rsidR="00BA0F0B" w:rsidRPr="00907189" w:rsidRDefault="00BA0F0B" w:rsidP="00026BC9">
      <w:pPr>
        <w:spacing w:after="0" w:line="360" w:lineRule="auto"/>
        <w:ind w:left="284" w:right="284"/>
        <w:jc w:val="both"/>
        <w:rPr>
          <w:rFonts w:ascii="Garamond" w:eastAsia="Times New Roman" w:hAnsi="Garamond"/>
          <w:sz w:val="24"/>
          <w:szCs w:val="24"/>
          <w:lang w:eastAsia="en-GB"/>
        </w:rPr>
      </w:pPr>
      <w:r w:rsidRPr="00907189">
        <w:rPr>
          <w:rFonts w:ascii="Garamond" w:hAnsi="Garamond"/>
        </w:rPr>
        <w:t>We had four aims, four reason</w:t>
      </w:r>
      <w:r w:rsidR="00D27824">
        <w:rPr>
          <w:rFonts w:ascii="Garamond" w:hAnsi="Garamond"/>
        </w:rPr>
        <w:t>s</w:t>
      </w:r>
      <w:r w:rsidRPr="00907189">
        <w:rPr>
          <w:rFonts w:ascii="Garamond" w:hAnsi="Garamond"/>
        </w:rPr>
        <w:t xml:space="preserve"> to activate the people against apartheid through Outspan. The first one was to boycott that regime, and to isolate it. The second one was to increase the awareness of the Dutch public. Because people were either indifferent or they were pro apartheid, and we had to change their way of thinking. Because the most important aspect about activism is change the mentality of people. I know that is a very complicated and difficult thing to do, but that is what we were trying to do. The third reason was to increase and develop the Dutch solidarity with the oppressed people in South Africa. Because every action outside South Africa against apartheid was moral support for people there. They felt that they were not alone, they were not forgotten. That there were people who cared for them. That was very essential to m</w:t>
      </w:r>
      <w:r w:rsidR="00D27824">
        <w:rPr>
          <w:rFonts w:ascii="Garamond" w:hAnsi="Garamond"/>
        </w:rPr>
        <w:t xml:space="preserve">ake that known to the Dutch </w:t>
      </w:r>
      <w:r w:rsidRPr="00907189">
        <w:rPr>
          <w:rFonts w:ascii="Garamond" w:hAnsi="Garamond"/>
        </w:rPr>
        <w:t xml:space="preserve">public. And then of course, the broad aim was always to stop investment in South Africa, trade relations and emigration. </w:t>
      </w:r>
      <w:r w:rsidR="00D27824">
        <w:rPr>
          <w:rFonts w:ascii="Garamond" w:hAnsi="Garamond"/>
        </w:rPr>
        <w:t>These four</w:t>
      </w:r>
      <w:r w:rsidRPr="00907189">
        <w:rPr>
          <w:rFonts w:ascii="Garamond" w:hAnsi="Garamond"/>
        </w:rPr>
        <w:t xml:space="preserve"> things were always in the forefront in all our campaigns (du Plessis, interview revisions, 2012)</w:t>
      </w:r>
      <w:r w:rsidRPr="00907189">
        <w:rPr>
          <w:rFonts w:ascii="Garamond" w:hAnsi="Garamond"/>
          <w:sz w:val="24"/>
          <w:szCs w:val="24"/>
        </w:rPr>
        <w:t>.</w:t>
      </w:r>
      <w:r w:rsidRPr="00907189">
        <w:rPr>
          <w:rFonts w:ascii="Garamond" w:eastAsia="Times New Roman" w:hAnsi="Garamond"/>
          <w:sz w:val="24"/>
          <w:szCs w:val="24"/>
          <w:lang w:eastAsia="en-GB"/>
        </w:rPr>
        <w:t xml:space="preserve"> </w:t>
      </w:r>
    </w:p>
    <w:p w:rsidR="00BA0F0B" w:rsidRPr="00907189" w:rsidRDefault="00BA0F0B" w:rsidP="00026BC9">
      <w:pPr>
        <w:spacing w:after="0" w:line="360" w:lineRule="auto"/>
        <w:jc w:val="both"/>
        <w:rPr>
          <w:rFonts w:ascii="Garamond" w:eastAsia="Times New Roman" w:hAnsi="Garamond"/>
          <w:sz w:val="24"/>
          <w:szCs w:val="24"/>
          <w:lang w:eastAsia="en-GB"/>
        </w:rPr>
      </w:pPr>
    </w:p>
    <w:p w:rsidR="00026BC9" w:rsidRDefault="00BA0F0B" w:rsidP="00026BC9">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 xml:space="preserve">Once the boycott had been enacted, the BOA engaged with the Dutch media on a daily basis (interviews du Plessis, 2011; Veerman, 2011), and would participate in a process of framing events in South Africa and Holland with journalists from the progressive Christian and left-leaning press. </w:t>
      </w:r>
      <w:r w:rsidRPr="00907189">
        <w:rPr>
          <w:rFonts w:ascii="Garamond" w:hAnsi="Garamond"/>
          <w:sz w:val="24"/>
          <w:szCs w:val="24"/>
        </w:rPr>
        <w:t xml:space="preserve">Between November 1972 and March 1973, preparations were made with the journalists across the press for the initiation of the boycott. </w:t>
      </w:r>
      <w:r w:rsidRPr="00907189">
        <w:rPr>
          <w:rFonts w:ascii="Garamond" w:eastAsia="Times New Roman" w:hAnsi="Garamond"/>
          <w:sz w:val="24"/>
          <w:szCs w:val="24"/>
          <w:lang w:eastAsia="en-GB"/>
        </w:rPr>
        <w:t xml:space="preserve">The organization became hardwired into several of the leading national and regional news </w:t>
      </w:r>
      <w:r w:rsidRPr="00907189">
        <w:rPr>
          <w:rFonts w:ascii="Garamond" w:eastAsia="Times New Roman" w:hAnsi="Garamond"/>
          <w:sz w:val="24"/>
          <w:szCs w:val="24"/>
          <w:lang w:eastAsia="en-GB"/>
        </w:rPr>
        <w:lastRenderedPageBreak/>
        <w:t>agencies through members</w:t>
      </w:r>
      <w:r w:rsidRPr="00907189">
        <w:rPr>
          <w:rStyle w:val="FootnoteReference"/>
          <w:rFonts w:ascii="Garamond" w:eastAsia="Times New Roman" w:hAnsi="Garamond"/>
          <w:sz w:val="24"/>
          <w:szCs w:val="24"/>
          <w:lang w:eastAsia="en-GB"/>
        </w:rPr>
        <w:footnoteReference w:id="71"/>
      </w:r>
      <w:r w:rsidRPr="00907189">
        <w:rPr>
          <w:rFonts w:ascii="Garamond" w:eastAsia="Times New Roman" w:hAnsi="Garamond"/>
          <w:sz w:val="24"/>
          <w:szCs w:val="24"/>
          <w:lang w:eastAsia="en-GB"/>
        </w:rPr>
        <w:t xml:space="preserve"> who were well versed in the “grammar of interaction” between events, the media,</w:t>
      </w:r>
      <w:r w:rsidRPr="00907189">
        <w:rPr>
          <w:rStyle w:val="FootnoteReference"/>
          <w:rFonts w:ascii="Garamond" w:eastAsia="Times New Roman" w:hAnsi="Garamond"/>
          <w:sz w:val="24"/>
          <w:szCs w:val="24"/>
          <w:lang w:eastAsia="en-GB"/>
        </w:rPr>
        <w:footnoteReference w:id="72"/>
      </w:r>
      <w:r w:rsidRPr="00907189">
        <w:rPr>
          <w:rFonts w:ascii="Garamond" w:eastAsia="Times New Roman" w:hAnsi="Garamond"/>
          <w:sz w:val="24"/>
          <w:szCs w:val="24"/>
          <w:lang w:eastAsia="en-GB"/>
        </w:rPr>
        <w:t xml:space="preserve"> and the or</w:t>
      </w:r>
      <w:r w:rsidR="00F07857">
        <w:rPr>
          <w:rFonts w:ascii="Garamond" w:eastAsia="Times New Roman" w:hAnsi="Garamond"/>
          <w:sz w:val="24"/>
          <w:szCs w:val="24"/>
          <w:lang w:eastAsia="en-GB"/>
        </w:rPr>
        <w:t>ganization (Gitlin, 1980; Thörn</w:t>
      </w:r>
      <w:r w:rsidRPr="00907189">
        <w:rPr>
          <w:rFonts w:ascii="Garamond" w:eastAsia="Times New Roman" w:hAnsi="Garamond"/>
          <w:sz w:val="24"/>
          <w:szCs w:val="24"/>
          <w:lang w:eastAsia="en-GB"/>
        </w:rPr>
        <w:t xml:space="preserve">, 2009). </w:t>
      </w:r>
      <w:r w:rsidRPr="00907189">
        <w:rPr>
          <w:rFonts w:ascii="Garamond" w:hAnsi="Garamond"/>
          <w:sz w:val="24"/>
          <w:szCs w:val="24"/>
        </w:rPr>
        <w:t>During this time Karel Roskam chaired weekly meetings with a selection of journalists about the way the boycott would be addressed to the Dutch public through the media (du Plessis, 2009).</w:t>
      </w:r>
      <w:r w:rsidRPr="00907189">
        <w:rPr>
          <w:rFonts w:ascii="Garamond" w:hAnsi="Garamond"/>
          <w:sz w:val="23"/>
          <w:szCs w:val="23"/>
        </w:rPr>
        <w:t xml:space="preserve"> </w:t>
      </w:r>
      <w:r w:rsidRPr="00907189">
        <w:rPr>
          <w:rFonts w:ascii="Garamond" w:eastAsia="Times New Roman" w:hAnsi="Garamond"/>
          <w:sz w:val="24"/>
          <w:szCs w:val="24"/>
          <w:lang w:eastAsia="en-GB"/>
        </w:rPr>
        <w:t>The BOA needed to be provocative and newsworthy; much of their appeal was embodied in the charisma and coruscating rhetoric of du Plessis (interview Van der Aa, 2011), but it was Roskam's knowledge as a respected national journalist and a radio presenter for VARA that enabled the embedding of the BOA acros</w:t>
      </w:r>
      <w:r w:rsidR="00026BC9">
        <w:rPr>
          <w:rFonts w:ascii="Garamond" w:eastAsia="Times New Roman" w:hAnsi="Garamond"/>
          <w:sz w:val="24"/>
          <w:szCs w:val="24"/>
          <w:lang w:eastAsia="en-GB"/>
        </w:rPr>
        <w:t>s the left-wing news agencies.</w:t>
      </w:r>
    </w:p>
    <w:p w:rsidR="00026BC9" w:rsidRDefault="00026BC9" w:rsidP="00026BC9">
      <w:pPr>
        <w:spacing w:after="0" w:line="360" w:lineRule="auto"/>
        <w:jc w:val="both"/>
        <w:rPr>
          <w:rFonts w:ascii="Garamond" w:eastAsia="Times New Roman" w:hAnsi="Garamond"/>
          <w:sz w:val="24"/>
          <w:szCs w:val="24"/>
          <w:lang w:eastAsia="en-GB"/>
        </w:rPr>
      </w:pPr>
    </w:p>
    <w:p w:rsidR="00B83595" w:rsidRDefault="00BA0F0B" w:rsidP="00B83595">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 xml:space="preserve">Du </w:t>
      </w:r>
      <w:r w:rsidRPr="00FF40B9">
        <w:rPr>
          <w:rFonts w:ascii="Garamond" w:eastAsia="Times New Roman" w:hAnsi="Garamond"/>
          <w:sz w:val="24"/>
          <w:szCs w:val="24"/>
          <w:lang w:eastAsia="en-GB"/>
        </w:rPr>
        <w:t xml:space="preserve">Plessis dictated press statements by telephone and telex to the Dutch press agencies, the </w:t>
      </w:r>
      <w:r w:rsidR="00FF40B9" w:rsidRPr="00FF40B9">
        <w:rPr>
          <w:rFonts w:ascii="Garamond" w:hAnsi="Garamond"/>
          <w:bCs/>
          <w:color w:val="444444"/>
          <w:sz w:val="24"/>
        </w:rPr>
        <w:t>Algemeen Nederlands Persbureau (</w:t>
      </w:r>
      <w:r w:rsidRPr="00FF40B9">
        <w:rPr>
          <w:rFonts w:ascii="Garamond" w:eastAsia="Times New Roman" w:hAnsi="Garamond"/>
          <w:sz w:val="24"/>
          <w:szCs w:val="24"/>
          <w:lang w:eastAsia="en-GB"/>
        </w:rPr>
        <w:t>ANP</w:t>
      </w:r>
      <w:r w:rsidR="00FF40B9" w:rsidRPr="00FF40B9">
        <w:rPr>
          <w:rFonts w:ascii="Garamond" w:eastAsia="Times New Roman" w:hAnsi="Garamond"/>
          <w:sz w:val="24"/>
          <w:szCs w:val="24"/>
          <w:lang w:eastAsia="en-GB"/>
        </w:rPr>
        <w:t>)</w:t>
      </w:r>
      <w:r w:rsidRPr="00FF40B9">
        <w:rPr>
          <w:rFonts w:ascii="Garamond" w:eastAsia="Times New Roman" w:hAnsi="Garamond"/>
          <w:sz w:val="24"/>
          <w:szCs w:val="24"/>
          <w:lang w:eastAsia="en-GB"/>
        </w:rPr>
        <w:t xml:space="preserve"> and</w:t>
      </w:r>
      <w:r w:rsidR="00FF40B9" w:rsidRPr="00FF40B9">
        <w:rPr>
          <w:rFonts w:ascii="Garamond" w:eastAsia="Times New Roman" w:hAnsi="Garamond"/>
          <w:sz w:val="24"/>
          <w:szCs w:val="24"/>
          <w:lang w:eastAsia="en-GB"/>
        </w:rPr>
        <w:t xml:space="preserve"> </w:t>
      </w:r>
      <w:r w:rsidR="00FF40B9" w:rsidRPr="00FF40B9">
        <w:rPr>
          <w:rFonts w:ascii="Garamond" w:hAnsi="Garamond"/>
          <w:color w:val="000000"/>
          <w:sz w:val="24"/>
          <w:szCs w:val="26"/>
          <w:shd w:val="clear" w:color="auto" w:fill="FFFFFF"/>
        </w:rPr>
        <w:t>Geassocieerde Pers Diensten</w:t>
      </w:r>
      <w:r w:rsidRPr="00FF40B9">
        <w:rPr>
          <w:rFonts w:ascii="Garamond" w:eastAsia="Times New Roman" w:hAnsi="Garamond"/>
          <w:sz w:val="24"/>
          <w:szCs w:val="24"/>
          <w:lang w:eastAsia="en-GB"/>
        </w:rPr>
        <w:t xml:space="preserve"> </w:t>
      </w:r>
      <w:r w:rsidR="00FF40B9" w:rsidRPr="00FF40B9">
        <w:rPr>
          <w:rFonts w:ascii="Garamond" w:eastAsia="Times New Roman" w:hAnsi="Garamond"/>
          <w:sz w:val="24"/>
          <w:szCs w:val="24"/>
          <w:lang w:eastAsia="en-GB"/>
        </w:rPr>
        <w:t>(</w:t>
      </w:r>
      <w:r w:rsidRPr="00FF40B9">
        <w:rPr>
          <w:rFonts w:ascii="Garamond" w:eastAsia="Times New Roman" w:hAnsi="Garamond"/>
          <w:sz w:val="24"/>
          <w:szCs w:val="24"/>
          <w:lang w:eastAsia="en-GB"/>
        </w:rPr>
        <w:t>GDP</w:t>
      </w:r>
      <w:r w:rsidR="00FF40B9" w:rsidRPr="00FF40B9">
        <w:rPr>
          <w:rFonts w:ascii="Garamond" w:eastAsia="Times New Roman" w:hAnsi="Garamond"/>
          <w:sz w:val="24"/>
          <w:szCs w:val="24"/>
          <w:lang w:eastAsia="en-GB"/>
        </w:rPr>
        <w:t>)</w:t>
      </w:r>
      <w:r w:rsidRPr="00FF40B9">
        <w:rPr>
          <w:rFonts w:ascii="Garamond" w:eastAsia="Times New Roman" w:hAnsi="Garamond"/>
          <w:sz w:val="24"/>
          <w:szCs w:val="24"/>
          <w:lang w:eastAsia="en-GB"/>
        </w:rPr>
        <w:t>, and</w:t>
      </w:r>
      <w:r w:rsidRPr="00907189">
        <w:rPr>
          <w:rFonts w:ascii="Garamond" w:eastAsia="Times New Roman" w:hAnsi="Garamond"/>
          <w:sz w:val="24"/>
          <w:szCs w:val="24"/>
          <w:lang w:eastAsia="en-GB"/>
        </w:rPr>
        <w:t xml:space="preserve"> published statements and updates in national daily papers by telephone or Telex from a room in the African Studies Centre at Leiden University. Other print media such as the Conservative national daily, </w:t>
      </w:r>
      <w:r w:rsidRPr="00907189">
        <w:rPr>
          <w:rFonts w:ascii="Garamond" w:eastAsia="Times New Roman" w:hAnsi="Garamond"/>
          <w:i/>
          <w:sz w:val="24"/>
          <w:szCs w:val="24"/>
          <w:lang w:eastAsia="en-GB"/>
        </w:rPr>
        <w:t xml:space="preserve">Da Telegraaf, </w:t>
      </w:r>
      <w:r w:rsidRPr="00907189">
        <w:rPr>
          <w:rFonts w:ascii="Garamond" w:eastAsia="Times New Roman" w:hAnsi="Garamond"/>
          <w:sz w:val="24"/>
          <w:szCs w:val="24"/>
          <w:lang w:eastAsia="en-GB"/>
        </w:rPr>
        <w:t xml:space="preserve">would quote du Plessis, but frame the BOA’s campaign with the traditional critiques of boycotts as Communist insurrection’, or boycotts as anti-Dutch and anti-white. The negative publicity from the political right lent the BOA extra column inches in the liberal press, and legitimacy in radical circles. By proxy the BOA became champions of the political leitmotiv for 1970s Dutch youth culture; for the </w:t>
      </w:r>
      <w:r w:rsidR="00B83595">
        <w:rPr>
          <w:rFonts w:ascii="Garamond" w:eastAsia="Times New Roman" w:hAnsi="Garamond"/>
          <w:sz w:val="24"/>
          <w:szCs w:val="24"/>
          <w:lang w:eastAsia="en-GB"/>
        </w:rPr>
        <w:t>right to freedom of expression.</w:t>
      </w:r>
    </w:p>
    <w:p w:rsidR="00B83595" w:rsidRDefault="00B83595" w:rsidP="00B83595">
      <w:pPr>
        <w:spacing w:after="0" w:line="360" w:lineRule="auto"/>
        <w:jc w:val="both"/>
        <w:rPr>
          <w:rFonts w:ascii="Garamond" w:eastAsia="Times New Roman" w:hAnsi="Garamond"/>
          <w:sz w:val="24"/>
          <w:szCs w:val="24"/>
          <w:lang w:eastAsia="en-GB"/>
        </w:rPr>
      </w:pPr>
    </w:p>
    <w:p w:rsidR="00B83595" w:rsidRDefault="00B83595" w:rsidP="00B83595">
      <w:pPr>
        <w:spacing w:after="0" w:line="360" w:lineRule="auto"/>
        <w:jc w:val="both"/>
        <w:rPr>
          <w:rFonts w:ascii="Garamond" w:hAnsi="Garamond"/>
          <w:sz w:val="24"/>
          <w:szCs w:val="24"/>
        </w:rPr>
      </w:pPr>
      <w:r w:rsidRPr="00907189">
        <w:rPr>
          <w:rFonts w:ascii="Garamond" w:hAnsi="Garamond"/>
          <w:sz w:val="24"/>
          <w:szCs w:val="24"/>
        </w:rPr>
        <w:t>The BOA's Outspan boycott materialized from the interplay between the BOA's public values of solidarity with South African labour a</w:t>
      </w:r>
      <w:r>
        <w:rPr>
          <w:rFonts w:ascii="Garamond" w:hAnsi="Garamond"/>
          <w:sz w:val="24"/>
          <w:szCs w:val="24"/>
        </w:rPr>
        <w:t xml:space="preserve">nd antiracism on the one hand, </w:t>
      </w:r>
      <w:r w:rsidRPr="00907189">
        <w:rPr>
          <w:rFonts w:ascii="Garamond" w:hAnsi="Garamond"/>
          <w:sz w:val="24"/>
          <w:szCs w:val="24"/>
        </w:rPr>
        <w:t>and the representations of apartheid</w:t>
      </w:r>
      <w:r w:rsidRPr="00907189">
        <w:rPr>
          <w:rStyle w:val="FootnoteReference"/>
          <w:rFonts w:ascii="Garamond" w:hAnsi="Garamond"/>
          <w:sz w:val="24"/>
          <w:szCs w:val="24"/>
        </w:rPr>
        <w:footnoteReference w:id="73"/>
      </w:r>
      <w:r w:rsidRPr="00907189">
        <w:rPr>
          <w:rFonts w:ascii="Garamond" w:hAnsi="Garamond"/>
          <w:sz w:val="24"/>
          <w:szCs w:val="24"/>
        </w:rPr>
        <w:t xml:space="preserve"> in the Dutch media and the anti-apartheid movement on </w:t>
      </w:r>
      <w:r w:rsidRPr="00907189">
        <w:rPr>
          <w:rFonts w:ascii="Garamond" w:hAnsi="Garamond"/>
          <w:sz w:val="24"/>
          <w:szCs w:val="24"/>
        </w:rPr>
        <w:lastRenderedPageBreak/>
        <w:t>the other. According to the organization, apartheid was constructed from the land, labour and environmental abuses of colonialism and white capitalism (including citrus). Extending from this, the BOA asserted that apartheid was a specific material expression of racism embedded in personal, public and national spaces.</w:t>
      </w:r>
      <w:r w:rsidRPr="00907189">
        <w:rPr>
          <w:rStyle w:val="FootnoteReference"/>
          <w:rFonts w:ascii="Garamond" w:hAnsi="Garamond"/>
          <w:sz w:val="24"/>
          <w:szCs w:val="24"/>
        </w:rPr>
        <w:footnoteReference w:id="74"/>
      </w:r>
      <w:r w:rsidRPr="00907189">
        <w:rPr>
          <w:rFonts w:ascii="Garamond" w:hAnsi="Garamond"/>
          <w:sz w:val="24"/>
          <w:szCs w:val="24"/>
        </w:rPr>
        <w:t xml:space="preserve"> The media reports on the 1970 famine in South African resettlement areas gave publicity to the belief that drought and famine were an egregious outcome of apartheid. The BOA required a connective trope to link apartheid abuses to European actions. In the early 1970s IDAF published several witness accounts of abuse on citrus farms, the BOA argued this suffering was indicative of the structural violence of the apartheid labour laws and the European demand for apartheid citrus. As an economy predicated on racist exploitation, the BOA argued that Vorster’s</w:t>
      </w:r>
      <w:r w:rsidRPr="00907189">
        <w:rPr>
          <w:rStyle w:val="FootnoteReference"/>
          <w:rFonts w:ascii="Garamond" w:hAnsi="Garamond"/>
          <w:sz w:val="24"/>
          <w:szCs w:val="24"/>
        </w:rPr>
        <w:footnoteReference w:id="75"/>
      </w:r>
      <w:r w:rsidRPr="00907189">
        <w:rPr>
          <w:rFonts w:ascii="Garamond" w:hAnsi="Garamond"/>
          <w:sz w:val="24"/>
          <w:szCs w:val="24"/>
        </w:rPr>
        <w:t xml:space="preserve"> South Africa could only function because the rest of the ‘white world’ (and particularly Holland and the UK) sanctioned it.</w:t>
      </w:r>
    </w:p>
    <w:p w:rsidR="00BA0F0B" w:rsidRPr="00907189" w:rsidRDefault="00BA0F0B" w:rsidP="00026BC9">
      <w:pPr>
        <w:spacing w:after="0" w:line="360" w:lineRule="auto"/>
        <w:jc w:val="both"/>
        <w:rPr>
          <w:rFonts w:ascii="Garamond" w:eastAsia="Times New Roman" w:hAnsi="Garamond"/>
          <w:sz w:val="24"/>
          <w:szCs w:val="24"/>
          <w:lang w:eastAsia="en-GB"/>
        </w:rPr>
      </w:pPr>
    </w:p>
    <w:tbl>
      <w:tblPr>
        <w:tblStyle w:val="TableGrid"/>
        <w:tblW w:w="8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204"/>
        <w:gridCol w:w="3535"/>
      </w:tblGrid>
      <w:tr w:rsidR="00A70185">
        <w:trPr>
          <w:trHeight w:val="4186"/>
        </w:trPr>
        <w:tc>
          <w:tcPr>
            <w:tcW w:w="5204" w:type="dxa"/>
          </w:tcPr>
          <w:p w:rsidR="00A70185" w:rsidRPr="00A70185" w:rsidRDefault="00A70185" w:rsidP="00BA0F0B">
            <w:pPr>
              <w:spacing w:line="360" w:lineRule="auto"/>
              <w:jc w:val="center"/>
              <w:rPr>
                <w:rFonts w:ascii="Perpetua" w:eastAsia="Times New Roman" w:hAnsi="Perpetua"/>
                <w:sz w:val="24"/>
                <w:szCs w:val="24"/>
                <w:lang w:eastAsia="en-GB"/>
              </w:rPr>
            </w:pPr>
            <w:r w:rsidRPr="00A70185">
              <w:rPr>
                <w:rFonts w:ascii="Perpetua" w:eastAsia="Times New Roman" w:hAnsi="Perpetua"/>
                <w:noProof/>
                <w:sz w:val="24"/>
                <w:szCs w:val="24"/>
                <w:lang w:eastAsia="en-GB"/>
              </w:rPr>
              <w:lastRenderedPageBreak/>
              <w:drawing>
                <wp:inline distT="0" distB="0" distL="0" distR="0">
                  <wp:extent cx="2312458" cy="3488209"/>
                  <wp:effectExtent l="76200" t="25400" r="100542" b="67791"/>
                  <wp:docPr id="3" name="Picture 4" descr="Description: C:\Users\Hugh\Desktop\2011-01-09 Esau Archive BOA\PLAKBOEK Nr 1\PlakBoek Nr 1 pg 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Hugh\Desktop\2011-01-09 Esau Archive BOA\PLAKBOEK Nr 1\PlakBoek Nr 1 pg 33.tif"/>
                          <pic:cNvPicPr>
                            <a:picLocks noChangeAspect="1" noChangeArrowheads="1"/>
                          </pic:cNvPicPr>
                        </pic:nvPicPr>
                        <pic:blipFill>
                          <a:blip r:embed="rId33" cstate="print"/>
                          <a:srcRect/>
                          <a:stretch>
                            <a:fillRect/>
                          </a:stretch>
                        </pic:blipFill>
                        <pic:spPr bwMode="auto">
                          <a:xfrm>
                            <a:off x="0" y="0"/>
                            <a:ext cx="2321662" cy="3502092"/>
                          </a:xfrm>
                          <a:prstGeom prst="rect">
                            <a:avLst/>
                          </a:prstGeom>
                          <a:ln w="158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tc>
        <w:tc>
          <w:tcPr>
            <w:tcW w:w="3535" w:type="dxa"/>
          </w:tcPr>
          <w:p w:rsidR="001A482E" w:rsidRDefault="00691864" w:rsidP="00A70185">
            <w:pPr>
              <w:pStyle w:val="Caption"/>
              <w:rPr>
                <w:rFonts w:ascii="Perpetua" w:eastAsia="Times New Roman" w:hAnsi="Perpetua"/>
                <w:b w:val="0"/>
                <w:color w:val="auto"/>
                <w:sz w:val="20"/>
                <w:szCs w:val="24"/>
                <w:lang w:eastAsia="en-GB"/>
              </w:rPr>
            </w:pPr>
            <w:bookmarkStart w:id="366" w:name="_Toc263509015"/>
            <w:bookmarkStart w:id="367" w:name="_Toc263510802"/>
            <w:bookmarkStart w:id="368" w:name="_Toc244508218"/>
            <w:bookmarkStart w:id="369" w:name="_Toc244577280"/>
            <w:bookmarkStart w:id="370" w:name="_Toc263495749"/>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18</w:t>
            </w:r>
            <w:r w:rsidR="00DF2DF8" w:rsidRPr="00691864">
              <w:rPr>
                <w:rFonts w:ascii="Perpetua" w:hAnsi="Perpetua"/>
                <w:b w:val="0"/>
                <w:color w:val="auto"/>
                <w:sz w:val="20"/>
              </w:rPr>
              <w:fldChar w:fldCharType="end"/>
            </w:r>
            <w:r w:rsidRPr="00691864">
              <w:rPr>
                <w:rFonts w:ascii="Perpetua" w:hAnsi="Perpetua"/>
                <w:b w:val="0"/>
                <w:color w:val="auto"/>
                <w:sz w:val="20"/>
              </w:rPr>
              <w:t>: Photograph of Esau du Plessi at a press conference in Leiden.</w:t>
            </w:r>
            <w:bookmarkEnd w:id="366"/>
            <w:bookmarkEnd w:id="367"/>
            <w:r w:rsidRPr="00691864">
              <w:rPr>
                <w:rFonts w:ascii="Perpetua" w:eastAsia="Times New Roman" w:hAnsi="Perpetua"/>
                <w:b w:val="0"/>
                <w:color w:val="auto"/>
                <w:sz w:val="20"/>
                <w:szCs w:val="24"/>
                <w:lang w:eastAsia="en-GB"/>
              </w:rPr>
              <w:t xml:space="preserve"> </w:t>
            </w:r>
          </w:p>
          <w:p w:rsidR="00A70185" w:rsidRPr="001A482E" w:rsidRDefault="00A70185" w:rsidP="001A482E">
            <w:pPr>
              <w:rPr>
                <w:rFonts w:ascii="Perpetua" w:hAnsi="Perpetua"/>
                <w:sz w:val="20"/>
              </w:rPr>
            </w:pPr>
            <w:r w:rsidRPr="001A482E">
              <w:rPr>
                <w:rFonts w:ascii="Perpetua" w:hAnsi="Perpetua"/>
                <w:sz w:val="20"/>
              </w:rPr>
              <w:t xml:space="preserve">Behind him is the warning “Beware! Don’t let me catch you with Outspan fruit” (Leidsch Dagblad, 24.10.1972: 13) </w:t>
            </w:r>
            <w:r w:rsidRPr="001A482E">
              <w:rPr>
                <w:rFonts w:ascii="Perpetua" w:hAnsi="Perpetua"/>
                <w:sz w:val="20"/>
              </w:rPr>
              <w:footnoteReference w:id="76"/>
            </w:r>
            <w:bookmarkEnd w:id="368"/>
            <w:bookmarkEnd w:id="369"/>
            <w:bookmarkEnd w:id="370"/>
          </w:p>
          <w:p w:rsidR="00A70185" w:rsidRDefault="00A70185" w:rsidP="00691864">
            <w:pPr>
              <w:keepNext/>
              <w:spacing w:line="360" w:lineRule="auto"/>
              <w:jc w:val="center"/>
              <w:rPr>
                <w:rFonts w:ascii="Perpetua" w:eastAsia="Times New Roman" w:hAnsi="Perpetua"/>
                <w:sz w:val="24"/>
                <w:szCs w:val="24"/>
                <w:lang w:eastAsia="en-GB"/>
              </w:rPr>
            </w:pPr>
          </w:p>
        </w:tc>
      </w:tr>
    </w:tbl>
    <w:p w:rsidR="009A2190" w:rsidRDefault="009A2190" w:rsidP="009A2190">
      <w:pPr>
        <w:spacing w:after="0" w:line="360" w:lineRule="auto"/>
        <w:jc w:val="both"/>
        <w:rPr>
          <w:rFonts w:ascii="Garamond" w:hAnsi="Garamond"/>
          <w:sz w:val="24"/>
          <w:szCs w:val="24"/>
        </w:rPr>
      </w:pPr>
    </w:p>
    <w:p w:rsidR="004A7172" w:rsidRDefault="004A7172" w:rsidP="009A2190">
      <w:pPr>
        <w:spacing w:after="0" w:line="360" w:lineRule="auto"/>
        <w:jc w:val="both"/>
        <w:rPr>
          <w:rFonts w:ascii="Garamond" w:hAnsi="Garamond"/>
          <w:b/>
          <w:i/>
          <w:szCs w:val="24"/>
        </w:rPr>
      </w:pPr>
    </w:p>
    <w:p w:rsidR="009A2190" w:rsidRPr="00B83595" w:rsidRDefault="00BA0F0B" w:rsidP="009A2190">
      <w:pPr>
        <w:spacing w:after="0" w:line="360" w:lineRule="auto"/>
        <w:jc w:val="both"/>
        <w:rPr>
          <w:rFonts w:ascii="Garamond" w:hAnsi="Garamond"/>
          <w:b/>
          <w:szCs w:val="24"/>
        </w:rPr>
      </w:pPr>
      <w:r w:rsidRPr="00B83595">
        <w:rPr>
          <w:rFonts w:ascii="Garamond" w:hAnsi="Garamond"/>
          <w:b/>
          <w:i/>
          <w:szCs w:val="24"/>
        </w:rPr>
        <w:t>Oranges and the colonial struggle for land and labour</w:t>
      </w:r>
    </w:p>
    <w:p w:rsidR="009A2190" w:rsidRDefault="009A2190" w:rsidP="009A2190">
      <w:pPr>
        <w:spacing w:after="0" w:line="360" w:lineRule="auto"/>
        <w:jc w:val="both"/>
        <w:rPr>
          <w:rFonts w:ascii="Garamond" w:hAnsi="Garamond"/>
          <w:sz w:val="24"/>
          <w:szCs w:val="24"/>
        </w:rPr>
      </w:pPr>
    </w:p>
    <w:p w:rsidR="009A2190" w:rsidRDefault="00BA0F0B" w:rsidP="009A2190">
      <w:pPr>
        <w:spacing w:after="0" w:line="360" w:lineRule="auto"/>
        <w:jc w:val="both"/>
        <w:rPr>
          <w:rFonts w:ascii="Garamond" w:hAnsi="Garamond"/>
          <w:sz w:val="24"/>
          <w:szCs w:val="24"/>
        </w:rPr>
      </w:pPr>
      <w:r w:rsidRPr="00907189">
        <w:rPr>
          <w:rFonts w:ascii="Garamond" w:hAnsi="Garamond"/>
          <w:sz w:val="24"/>
          <w:szCs w:val="24"/>
        </w:rPr>
        <w:t xml:space="preserve">The BOA interpreted apartheid as a natural progression of the material and social </w:t>
      </w:r>
      <w:r w:rsidR="009A2190">
        <w:rPr>
          <w:rFonts w:ascii="Garamond" w:hAnsi="Garamond"/>
          <w:sz w:val="24"/>
          <w:szCs w:val="24"/>
        </w:rPr>
        <w:t>expression of colonial racism,</w:t>
      </w:r>
      <w:r w:rsidRPr="00907189">
        <w:rPr>
          <w:rFonts w:ascii="Garamond" w:hAnsi="Garamond"/>
          <w:sz w:val="24"/>
          <w:szCs w:val="24"/>
        </w:rPr>
        <w:t xml:space="preserve"> as a discriminatory method for justifying the conquest and possession of new lands, and as a means for acquir</w:t>
      </w:r>
      <w:r w:rsidR="009A2190">
        <w:rPr>
          <w:rFonts w:ascii="Garamond" w:hAnsi="Garamond"/>
          <w:sz w:val="24"/>
          <w:szCs w:val="24"/>
        </w:rPr>
        <w:t>ing cheap and plentiful labour:</w:t>
      </w:r>
    </w:p>
    <w:p w:rsidR="009A2190" w:rsidRDefault="009A2190" w:rsidP="009A2190">
      <w:pPr>
        <w:spacing w:after="0" w:line="360" w:lineRule="auto"/>
        <w:jc w:val="both"/>
        <w:rPr>
          <w:rFonts w:ascii="Garamond" w:hAnsi="Garamond"/>
          <w:sz w:val="24"/>
          <w:szCs w:val="24"/>
        </w:rPr>
      </w:pPr>
    </w:p>
    <w:p w:rsidR="009A2190" w:rsidRDefault="00BA0F0B" w:rsidP="009A2190">
      <w:pPr>
        <w:spacing w:after="0" w:line="360" w:lineRule="auto"/>
        <w:ind w:left="284" w:right="284"/>
        <w:jc w:val="both"/>
        <w:rPr>
          <w:rFonts w:ascii="Garamond" w:hAnsi="Garamond"/>
        </w:rPr>
      </w:pPr>
      <w:r w:rsidRPr="00907189">
        <w:rPr>
          <w:rFonts w:ascii="Garamond" w:hAnsi="Garamond"/>
        </w:rPr>
        <w:t>The important thing for me was land and cheap labour. From the beginning those were the cornerstones of the subsequent development, but they didn’t have the name of apartheid at that time. But the whole system was there…racism was one of the many ugly faces of discrimination made to secure land and labour (Interview du Plessis, 2011).</w:t>
      </w:r>
    </w:p>
    <w:p w:rsidR="009A2190" w:rsidRDefault="009A2190" w:rsidP="009A2190">
      <w:pPr>
        <w:spacing w:after="0" w:line="360" w:lineRule="auto"/>
        <w:ind w:right="284"/>
        <w:jc w:val="both"/>
        <w:rPr>
          <w:rFonts w:ascii="Garamond" w:hAnsi="Garamond"/>
          <w:sz w:val="24"/>
          <w:szCs w:val="24"/>
        </w:rPr>
      </w:pPr>
    </w:p>
    <w:p w:rsidR="00BA0F0B" w:rsidRPr="009A2190" w:rsidRDefault="009A2190" w:rsidP="005B48FD">
      <w:pPr>
        <w:spacing w:after="0" w:line="360" w:lineRule="auto"/>
        <w:jc w:val="both"/>
        <w:rPr>
          <w:rFonts w:ascii="Garamond" w:hAnsi="Garamond"/>
          <w:sz w:val="24"/>
          <w:szCs w:val="24"/>
        </w:rPr>
      </w:pPr>
      <w:r>
        <w:rPr>
          <w:rFonts w:ascii="Garamond" w:hAnsi="Garamond"/>
          <w:sz w:val="24"/>
          <w:szCs w:val="24"/>
        </w:rPr>
        <w:t xml:space="preserve">‘Grand’ and ‘petty’ forms of apartheid labour segregation, and their links to European colonialism and discourse, was the subject of Karel Roskam’s seminal PhD research. </w:t>
      </w:r>
    </w:p>
    <w:p w:rsidR="00BA0F0B" w:rsidRPr="00907189" w:rsidRDefault="00BA0F0B" w:rsidP="00BA0F0B">
      <w:pPr>
        <w:spacing w:line="360" w:lineRule="auto"/>
        <w:jc w:val="center"/>
        <w:rPr>
          <w:rFonts w:ascii="Garamond" w:hAnsi="Garamond"/>
          <w:i/>
          <w:sz w:val="24"/>
          <w:szCs w:val="24"/>
        </w:rPr>
      </w:pPr>
      <w:r w:rsidRPr="00907189">
        <w:rPr>
          <w:rFonts w:ascii="Garamond" w:hAnsi="Garamond"/>
          <w:noProof/>
          <w:lang w:eastAsia="en-GB"/>
        </w:rPr>
        <w:lastRenderedPageBreak/>
        <w:drawing>
          <wp:inline distT="0" distB="0" distL="0" distR="0">
            <wp:extent cx="2177885" cy="3325056"/>
            <wp:effectExtent l="19050" t="0" r="0" b="0"/>
            <wp:docPr id="56" name="Picture 7"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ver Image"/>
                    <pic:cNvPicPr>
                      <a:picLocks noChangeAspect="1" noChangeArrowheads="1"/>
                    </pic:cNvPicPr>
                  </pic:nvPicPr>
                  <pic:blipFill>
                    <a:blip r:embed="rId34" cstate="print"/>
                    <a:srcRect/>
                    <a:stretch>
                      <a:fillRect/>
                    </a:stretch>
                  </pic:blipFill>
                  <pic:spPr bwMode="auto">
                    <a:xfrm>
                      <a:off x="0" y="0"/>
                      <a:ext cx="2177923" cy="3325115"/>
                    </a:xfrm>
                    <a:prstGeom prst="rect">
                      <a:avLst/>
                    </a:prstGeom>
                    <a:noFill/>
                    <a:ln w="9525">
                      <a:noFill/>
                      <a:miter lim="800000"/>
                      <a:headEnd/>
                      <a:tailEnd/>
                    </a:ln>
                  </pic:spPr>
                </pic:pic>
              </a:graphicData>
            </a:graphic>
          </wp:inline>
        </w:drawing>
      </w:r>
      <w:r w:rsidRPr="00907189">
        <w:rPr>
          <w:rFonts w:ascii="Garamond" w:hAnsi="Garamond"/>
          <w:i/>
          <w:noProof/>
          <w:sz w:val="24"/>
          <w:szCs w:val="24"/>
          <w:lang w:eastAsia="en-GB"/>
        </w:rPr>
        <w:drawing>
          <wp:inline distT="0" distB="0" distL="0" distR="0">
            <wp:extent cx="2102618" cy="3313216"/>
            <wp:effectExtent l="19050" t="0" r="0" b="0"/>
            <wp:docPr id="57" name="Picture 10" descr="C:\Users\hugh crosfield\Pictures\apartheid and discrimin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gh crosfield\Pictures\apartheid and discrimination 2.jpg"/>
                    <pic:cNvPicPr>
                      <a:picLocks noChangeAspect="1" noChangeArrowheads="1"/>
                    </pic:cNvPicPr>
                  </pic:nvPicPr>
                  <pic:blipFill>
                    <a:blip r:embed="rId35" cstate="print"/>
                    <a:srcRect/>
                    <a:stretch>
                      <a:fillRect/>
                    </a:stretch>
                  </pic:blipFill>
                  <pic:spPr bwMode="auto">
                    <a:xfrm>
                      <a:off x="0" y="0"/>
                      <a:ext cx="2106936" cy="3320020"/>
                    </a:xfrm>
                    <a:prstGeom prst="rect">
                      <a:avLst/>
                    </a:prstGeom>
                    <a:noFill/>
                    <a:ln w="9525">
                      <a:noFill/>
                      <a:miter lim="800000"/>
                      <a:headEnd/>
                      <a:tailEnd/>
                    </a:ln>
                  </pic:spPr>
                </pic:pic>
              </a:graphicData>
            </a:graphic>
          </wp:inline>
        </w:drawing>
      </w:r>
    </w:p>
    <w:p w:rsidR="00A70185" w:rsidRPr="00691864" w:rsidRDefault="00691864" w:rsidP="00691864">
      <w:pPr>
        <w:pStyle w:val="Caption"/>
        <w:ind w:left="567"/>
        <w:rPr>
          <w:rFonts w:ascii="Perpetua" w:hAnsi="Perpetua"/>
          <w:b w:val="0"/>
          <w:color w:val="auto"/>
          <w:sz w:val="20"/>
        </w:rPr>
      </w:pPr>
      <w:bookmarkStart w:id="371" w:name="_Toc244508219"/>
      <w:bookmarkStart w:id="372" w:name="_Toc244577281"/>
      <w:bookmarkStart w:id="373" w:name="_Toc263495750"/>
      <w:bookmarkStart w:id="374" w:name="_Toc263509016"/>
      <w:bookmarkStart w:id="375" w:name="_Toc263510803"/>
      <w:r w:rsidRPr="00691864">
        <w:rPr>
          <w:rFonts w:ascii="Perpetua" w:hAnsi="Perpetua"/>
          <w:b w:val="0"/>
          <w:color w:val="auto"/>
          <w:sz w:val="20"/>
        </w:rPr>
        <w:t xml:space="preserve">Figure </w:t>
      </w:r>
      <w:r w:rsidR="00DF2DF8" w:rsidRPr="00691864">
        <w:rPr>
          <w:rFonts w:ascii="Perpetua" w:hAnsi="Perpetua"/>
          <w:b w:val="0"/>
          <w:color w:val="auto"/>
          <w:sz w:val="20"/>
        </w:rPr>
        <w:fldChar w:fldCharType="begin"/>
      </w:r>
      <w:r w:rsidRPr="00691864">
        <w:rPr>
          <w:rFonts w:ascii="Perpetua" w:hAnsi="Perpetua"/>
          <w:b w:val="0"/>
          <w:color w:val="auto"/>
          <w:sz w:val="20"/>
        </w:rPr>
        <w:instrText xml:space="preserve"> SEQ Figure \* ARABIC </w:instrText>
      </w:r>
      <w:r w:rsidR="00DF2DF8" w:rsidRPr="00691864">
        <w:rPr>
          <w:rFonts w:ascii="Perpetua" w:hAnsi="Perpetua"/>
          <w:b w:val="0"/>
          <w:color w:val="auto"/>
          <w:sz w:val="20"/>
        </w:rPr>
        <w:fldChar w:fldCharType="separate"/>
      </w:r>
      <w:r w:rsidR="002B3E92">
        <w:rPr>
          <w:rFonts w:ascii="Perpetua" w:hAnsi="Perpetua"/>
          <w:b w:val="0"/>
          <w:noProof/>
          <w:color w:val="auto"/>
          <w:sz w:val="20"/>
        </w:rPr>
        <w:t>19</w:t>
      </w:r>
      <w:r w:rsidR="00DF2DF8" w:rsidRPr="00691864">
        <w:rPr>
          <w:rFonts w:ascii="Perpetua" w:hAnsi="Perpetua"/>
          <w:b w:val="0"/>
          <w:color w:val="auto"/>
          <w:sz w:val="20"/>
        </w:rPr>
        <w:fldChar w:fldCharType="end"/>
      </w:r>
      <w:r w:rsidRPr="00691864">
        <w:rPr>
          <w:rFonts w:ascii="Perpetua" w:hAnsi="Perpetua"/>
          <w:b w:val="0"/>
          <w:color w:val="auto"/>
          <w:sz w:val="20"/>
        </w:rPr>
        <w:t>: Right: Photograph of BOA co-founder Karel Roskam (1964). Left: photograph of Roskam's thesis Apartheid and Discrimination</w:t>
      </w:r>
      <w:r w:rsidR="00BA0F0B" w:rsidRPr="00691864">
        <w:rPr>
          <w:rFonts w:ascii="Perpetua" w:hAnsi="Perpetua"/>
          <w:b w:val="0"/>
          <w:color w:val="auto"/>
          <w:sz w:val="20"/>
        </w:rPr>
        <w:t>.</w:t>
      </w:r>
      <w:r w:rsidR="00BA0F0B" w:rsidRPr="00691864">
        <w:rPr>
          <w:rStyle w:val="FootnoteReference"/>
          <w:rFonts w:ascii="Perpetua" w:hAnsi="Perpetua"/>
          <w:b w:val="0"/>
          <w:color w:val="auto"/>
          <w:sz w:val="20"/>
        </w:rPr>
        <w:footnoteReference w:id="77"/>
      </w:r>
      <w:bookmarkEnd w:id="371"/>
      <w:bookmarkEnd w:id="372"/>
      <w:bookmarkEnd w:id="373"/>
      <w:bookmarkEnd w:id="374"/>
      <w:bookmarkEnd w:id="375"/>
    </w:p>
    <w:p w:rsidR="00BA0F0B" w:rsidRPr="00A70185" w:rsidRDefault="00BA0F0B" w:rsidP="00A70185"/>
    <w:p w:rsidR="0047048E" w:rsidRDefault="00BA0F0B" w:rsidP="0047048E">
      <w:pPr>
        <w:spacing w:after="0" w:line="360" w:lineRule="auto"/>
        <w:jc w:val="both"/>
        <w:rPr>
          <w:rFonts w:ascii="Garamond" w:hAnsi="Garamond"/>
          <w:sz w:val="24"/>
          <w:szCs w:val="24"/>
        </w:rPr>
      </w:pPr>
      <w:r w:rsidRPr="00907189">
        <w:rPr>
          <w:rFonts w:ascii="Garamond" w:hAnsi="Garamond"/>
          <w:sz w:val="24"/>
          <w:szCs w:val="24"/>
        </w:rPr>
        <w:t>Written as</w:t>
      </w:r>
      <w:r w:rsidR="009A2190">
        <w:rPr>
          <w:rFonts w:ascii="Garamond" w:hAnsi="Garamond"/>
          <w:sz w:val="24"/>
          <w:szCs w:val="24"/>
        </w:rPr>
        <w:t xml:space="preserve"> a doctoral thesis for the</w:t>
      </w:r>
      <w:r w:rsidR="00D27824">
        <w:rPr>
          <w:rFonts w:ascii="Garamond" w:hAnsi="Garamond"/>
          <w:sz w:val="24"/>
          <w:szCs w:val="24"/>
        </w:rPr>
        <w:t xml:space="preserve"> Free</w:t>
      </w:r>
      <w:r w:rsidR="009A2190">
        <w:rPr>
          <w:rFonts w:ascii="Garamond" w:hAnsi="Garamond"/>
          <w:sz w:val="24"/>
          <w:szCs w:val="24"/>
        </w:rPr>
        <w:t xml:space="preserve"> </w:t>
      </w:r>
      <w:r w:rsidRPr="00907189">
        <w:rPr>
          <w:rFonts w:ascii="Garamond" w:hAnsi="Garamond"/>
          <w:sz w:val="24"/>
          <w:szCs w:val="24"/>
        </w:rPr>
        <w:t>University of Amsterdam in 1960, and then popu</w:t>
      </w:r>
      <w:r>
        <w:rPr>
          <w:rFonts w:ascii="Garamond" w:hAnsi="Garamond"/>
          <w:sz w:val="24"/>
          <w:szCs w:val="24"/>
        </w:rPr>
        <w:t>lariz</w:t>
      </w:r>
      <w:r w:rsidRPr="00907189">
        <w:rPr>
          <w:rFonts w:ascii="Garamond" w:hAnsi="Garamond"/>
          <w:sz w:val="24"/>
          <w:szCs w:val="24"/>
        </w:rPr>
        <w:t xml:space="preserve">ed as a book, Karel Roskam’s </w:t>
      </w:r>
      <w:r w:rsidRPr="00907189">
        <w:rPr>
          <w:rFonts w:ascii="Garamond" w:hAnsi="Garamond"/>
          <w:i/>
          <w:sz w:val="24"/>
          <w:szCs w:val="24"/>
        </w:rPr>
        <w:t>Apartheid and Discrimination</w:t>
      </w:r>
      <w:r w:rsidRPr="00907189">
        <w:rPr>
          <w:rFonts w:ascii="Garamond" w:hAnsi="Garamond"/>
          <w:sz w:val="24"/>
          <w:szCs w:val="24"/>
        </w:rPr>
        <w:t xml:space="preserve"> became a major point of reference for the BOA. Roskam quotes from a speech made in 1887 by Cecil Rhodes, who in British historiography is often hailed as the advocator of ‘cape liberalism’ with its inauspicious promise of ‘equal rights for all civilised men rega</w:t>
      </w:r>
      <w:r w:rsidR="00D27824">
        <w:rPr>
          <w:rFonts w:ascii="Garamond" w:hAnsi="Garamond"/>
          <w:sz w:val="24"/>
          <w:szCs w:val="24"/>
        </w:rPr>
        <w:t>rdless of race’. Here, Roskam he</w:t>
      </w:r>
      <w:r w:rsidRPr="00907189">
        <w:rPr>
          <w:rFonts w:ascii="Garamond" w:hAnsi="Garamond"/>
          <w:sz w:val="24"/>
          <w:szCs w:val="24"/>
        </w:rPr>
        <w:t>ld Rhodes culpable for outlining the framework for segregation, separate developm</w:t>
      </w:r>
      <w:r w:rsidR="005B48FD">
        <w:rPr>
          <w:rFonts w:ascii="Garamond" w:hAnsi="Garamond"/>
          <w:sz w:val="24"/>
          <w:szCs w:val="24"/>
        </w:rPr>
        <w:t xml:space="preserve">ent and racist discrimination – </w:t>
      </w:r>
      <w:r w:rsidRPr="00907189">
        <w:rPr>
          <w:rFonts w:ascii="Garamond" w:hAnsi="Garamond"/>
          <w:sz w:val="24"/>
          <w:szCs w:val="24"/>
        </w:rPr>
        <w:t>“natives are to be treated like children” (1960: 107). For Roskam, Boer Calvinist doctrine</w:t>
      </w:r>
      <w:r w:rsidRPr="00907189">
        <w:rPr>
          <w:rStyle w:val="FootnoteReference"/>
          <w:rFonts w:ascii="Garamond" w:hAnsi="Garamond"/>
          <w:sz w:val="24"/>
          <w:szCs w:val="24"/>
        </w:rPr>
        <w:footnoteReference w:id="78"/>
      </w:r>
      <w:r w:rsidRPr="00907189">
        <w:rPr>
          <w:rFonts w:ascii="Garamond" w:hAnsi="Garamond"/>
          <w:sz w:val="24"/>
          <w:szCs w:val="24"/>
        </w:rPr>
        <w:t xml:space="preserve"> and differing strands of British colonialism are equally culpable for the land and labour abuses of the apartheid state committed in 1960.</w:t>
      </w:r>
      <w:r w:rsidRPr="00907189">
        <w:rPr>
          <w:rStyle w:val="FootnoteReference"/>
          <w:rFonts w:ascii="Garamond" w:hAnsi="Garamond"/>
          <w:sz w:val="24"/>
          <w:szCs w:val="24"/>
        </w:rPr>
        <w:footnoteReference w:id="79"/>
      </w:r>
      <w:r w:rsidRPr="00907189">
        <w:rPr>
          <w:rFonts w:ascii="Garamond" w:hAnsi="Garamond"/>
          <w:sz w:val="24"/>
          <w:szCs w:val="24"/>
        </w:rPr>
        <w:t xml:space="preserve"> Official apartheid was a spatial and temporally specific application of the </w:t>
      </w:r>
      <w:r w:rsidRPr="00907189">
        <w:rPr>
          <w:rFonts w:ascii="Garamond" w:hAnsi="Garamond"/>
          <w:sz w:val="24"/>
          <w:szCs w:val="24"/>
        </w:rPr>
        <w:lastRenderedPageBreak/>
        <w:t>historical European tradition of ‘denying the existence’ of subjugated groups of people. Du Plessis stipulates:</w:t>
      </w:r>
    </w:p>
    <w:p w:rsidR="00BA0F0B" w:rsidRPr="00907189" w:rsidRDefault="00BA0F0B" w:rsidP="0047048E">
      <w:pPr>
        <w:spacing w:after="0" w:line="360" w:lineRule="auto"/>
        <w:jc w:val="both"/>
        <w:rPr>
          <w:rFonts w:ascii="Garamond" w:hAnsi="Garamond"/>
          <w:sz w:val="24"/>
          <w:szCs w:val="24"/>
        </w:rPr>
      </w:pPr>
    </w:p>
    <w:p w:rsidR="00BA0F0B" w:rsidRPr="00907189" w:rsidRDefault="00BA0F0B" w:rsidP="0047048E">
      <w:pPr>
        <w:autoSpaceDE w:val="0"/>
        <w:autoSpaceDN w:val="0"/>
        <w:adjustRightInd w:val="0"/>
        <w:spacing w:after="0" w:line="360" w:lineRule="auto"/>
        <w:ind w:left="284" w:right="284"/>
        <w:jc w:val="both"/>
        <w:rPr>
          <w:rFonts w:ascii="Garamond" w:hAnsi="Garamond"/>
        </w:rPr>
      </w:pPr>
      <w:r w:rsidRPr="00907189">
        <w:rPr>
          <w:rFonts w:ascii="Garamond" w:hAnsi="Garamond"/>
        </w:rPr>
        <w:t>Apartheid is the total denial by one person or group of people of the existence of another person or group of people. And therefore, it does not allow the group that is denied existence the possibility to live as fellow human beings. To live where they want to, to be buried where they want to, and to live as free human beings. The beginning of discrimination is the moment a distinction is made between people. It is a very subtle, and that is often not looked upon as racism</w:t>
      </w:r>
      <w:r>
        <w:rPr>
          <w:rFonts w:ascii="Garamond" w:hAnsi="Garamond"/>
        </w:rPr>
        <w:t>.</w:t>
      </w:r>
      <w:r w:rsidRPr="00907189">
        <w:rPr>
          <w:rFonts w:ascii="Garamond" w:hAnsi="Garamond"/>
        </w:rPr>
        <w:t xml:space="preserve">  (</w:t>
      </w:r>
      <w:r w:rsidR="00A371B8">
        <w:rPr>
          <w:rFonts w:ascii="Garamond" w:hAnsi="Garamond"/>
        </w:rPr>
        <w:t>I</w:t>
      </w:r>
      <w:r w:rsidRPr="00907189">
        <w:rPr>
          <w:rFonts w:ascii="Garamond" w:hAnsi="Garamond"/>
        </w:rPr>
        <w:t xml:space="preserve">nterview </w:t>
      </w:r>
      <w:r>
        <w:rPr>
          <w:rFonts w:ascii="Garamond" w:hAnsi="Garamond"/>
        </w:rPr>
        <w:t>du Plessis, 2011)</w:t>
      </w:r>
    </w:p>
    <w:p w:rsidR="00BA0F0B" w:rsidRPr="00907189" w:rsidRDefault="00BA0F0B" w:rsidP="0047048E">
      <w:pPr>
        <w:autoSpaceDE w:val="0"/>
        <w:autoSpaceDN w:val="0"/>
        <w:adjustRightInd w:val="0"/>
        <w:spacing w:after="0" w:line="360" w:lineRule="auto"/>
        <w:jc w:val="both"/>
        <w:rPr>
          <w:rFonts w:ascii="Garamond" w:hAnsi="Garamond"/>
        </w:rPr>
      </w:pPr>
    </w:p>
    <w:p w:rsidR="00A820B9" w:rsidRDefault="00BA0F0B" w:rsidP="0047048E">
      <w:pPr>
        <w:spacing w:after="0" w:line="360" w:lineRule="auto"/>
        <w:jc w:val="both"/>
        <w:rPr>
          <w:rFonts w:ascii="Garamond" w:hAnsi="Garamond"/>
          <w:sz w:val="24"/>
          <w:szCs w:val="24"/>
        </w:rPr>
      </w:pPr>
      <w:r w:rsidRPr="00907189">
        <w:rPr>
          <w:rFonts w:ascii="Garamond" w:hAnsi="Garamond"/>
          <w:sz w:val="24"/>
          <w:szCs w:val="24"/>
        </w:rPr>
        <w:t>Apartheid is made relative to Holland through a European historiography o</w:t>
      </w:r>
      <w:r>
        <w:rPr>
          <w:rFonts w:ascii="Garamond" w:hAnsi="Garamond"/>
          <w:sz w:val="24"/>
          <w:szCs w:val="24"/>
        </w:rPr>
        <w:t>f South African coloniz</w:t>
      </w:r>
      <w:r w:rsidRPr="00907189">
        <w:rPr>
          <w:rFonts w:ascii="Garamond" w:hAnsi="Garamond"/>
          <w:sz w:val="24"/>
          <w:szCs w:val="24"/>
        </w:rPr>
        <w:t xml:space="preserve">ation, in the application of forms of racist discrimination which are globally ubiquitous, and crucially, through its capitalist intention of making profit from land - an   expression of Dutch and European entrepreneurial spirit which conquered, and continues to subjugate, nature, people and the environment in the search for profit: </w:t>
      </w:r>
    </w:p>
    <w:p w:rsidR="00BA0F0B" w:rsidRPr="00907189" w:rsidRDefault="00BA0F0B" w:rsidP="0047048E">
      <w:pPr>
        <w:spacing w:after="0" w:line="360" w:lineRule="auto"/>
        <w:jc w:val="both"/>
        <w:rPr>
          <w:rFonts w:ascii="Garamond" w:hAnsi="Garamond"/>
          <w:sz w:val="24"/>
          <w:szCs w:val="24"/>
        </w:rPr>
      </w:pPr>
      <w:r w:rsidRPr="00907189">
        <w:rPr>
          <w:rFonts w:ascii="Garamond" w:hAnsi="Garamond"/>
          <w:sz w:val="24"/>
          <w:szCs w:val="24"/>
        </w:rPr>
        <w:t xml:space="preserve"> </w:t>
      </w:r>
    </w:p>
    <w:p w:rsidR="00BA0F0B" w:rsidRPr="00907189" w:rsidRDefault="00BA0F0B" w:rsidP="0047048E">
      <w:pPr>
        <w:spacing w:after="0" w:line="360" w:lineRule="auto"/>
        <w:ind w:left="284" w:right="284"/>
        <w:jc w:val="both"/>
        <w:rPr>
          <w:rFonts w:ascii="Garamond" w:hAnsi="Garamond"/>
        </w:rPr>
      </w:pPr>
      <w:r w:rsidRPr="00907189">
        <w:rPr>
          <w:rFonts w:ascii="Garamond" w:hAnsi="Garamond"/>
        </w:rPr>
        <w:t>H</w:t>
      </w:r>
      <w:r w:rsidR="00A820B9">
        <w:rPr>
          <w:rFonts w:ascii="Garamond" w:hAnsi="Garamond"/>
        </w:rPr>
        <w:t>UGH</w:t>
      </w:r>
      <w:r w:rsidRPr="00907189">
        <w:rPr>
          <w:rFonts w:ascii="Garamond" w:hAnsi="Garamond"/>
          <w:sz w:val="24"/>
          <w:szCs w:val="24"/>
        </w:rPr>
        <w:t xml:space="preserve">: </w:t>
      </w:r>
      <w:r w:rsidRPr="00907189">
        <w:rPr>
          <w:rFonts w:ascii="Garamond" w:hAnsi="Garamond"/>
        </w:rPr>
        <w:t xml:space="preserve">What is the fight now? </w:t>
      </w:r>
      <w:r w:rsidR="00A820B9">
        <w:rPr>
          <w:rFonts w:ascii="Garamond" w:hAnsi="Garamond"/>
        </w:rPr>
        <w:t>ESAU</w:t>
      </w:r>
      <w:r w:rsidRPr="00907189">
        <w:rPr>
          <w:rFonts w:ascii="Garamond" w:hAnsi="Garamond"/>
        </w:rPr>
        <w:t>: The great urgent need now is the environment, and to see that a fight against racism is not flattened by the urgent need to do something about the environment. But these two things are connected too, because we have reached a stage where the extinction of the human race, and everything else is not unimaginable. The culture of Europeans has always been to conquer nature and not to live in harmony, to destroy everything. And that applies to racism, original people are wiped out and exterminated. This idea that we have a message, and everyone should receive that message. And those that don’t are killed.</w:t>
      </w:r>
      <w:r w:rsidR="00A371B8">
        <w:rPr>
          <w:rFonts w:ascii="Garamond" w:hAnsi="Garamond"/>
        </w:rPr>
        <w:t xml:space="preserve"> (Interview du Plessis 2011)</w:t>
      </w:r>
    </w:p>
    <w:p w:rsidR="00A820B9" w:rsidRDefault="00A820B9" w:rsidP="0047048E">
      <w:pPr>
        <w:autoSpaceDE w:val="0"/>
        <w:autoSpaceDN w:val="0"/>
        <w:adjustRightInd w:val="0"/>
        <w:spacing w:after="0" w:line="360" w:lineRule="auto"/>
        <w:jc w:val="both"/>
        <w:rPr>
          <w:rFonts w:ascii="Garamond" w:hAnsi="Garamond"/>
          <w:sz w:val="24"/>
          <w:szCs w:val="24"/>
        </w:rPr>
      </w:pPr>
    </w:p>
    <w:p w:rsidR="0047048E" w:rsidRDefault="00BA0F0B" w:rsidP="005B48FD">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 xml:space="preserve">For the BOA, the plantation of citrus fruit in South Africa for European consumption and mass export was an expression of the environmental, structural and embodied violence of European capitalism. </w:t>
      </w:r>
      <w:r w:rsidRPr="00907189">
        <w:rPr>
          <w:rFonts w:ascii="Garamond" w:eastAsia="Times New Roman" w:hAnsi="Garamond"/>
          <w:sz w:val="24"/>
          <w:szCs w:val="24"/>
          <w:lang w:eastAsia="en-GB"/>
        </w:rPr>
        <w:t xml:space="preserve">Divided into nine chapters, the BOA’s inaugural Dutch publication, </w:t>
      </w:r>
      <w:r w:rsidRPr="00907189">
        <w:rPr>
          <w:rFonts w:ascii="Garamond" w:eastAsia="Times New Roman" w:hAnsi="Garamond"/>
          <w:i/>
          <w:sz w:val="24"/>
          <w:szCs w:val="24"/>
          <w:lang w:eastAsia="en-GB"/>
        </w:rPr>
        <w:t>Bouwsten Voor Apartheid</w:t>
      </w:r>
      <w:r w:rsidRPr="00907189">
        <w:rPr>
          <w:rFonts w:ascii="Garamond" w:eastAsia="Times New Roman" w:hAnsi="Garamond"/>
          <w:sz w:val="24"/>
          <w:szCs w:val="24"/>
          <w:lang w:eastAsia="en-GB"/>
        </w:rPr>
        <w:t xml:space="preserve"> (1972) situates oranges at the centre of the historical relationship between land and labour in South Africa, and longer European histories of imperialism and colonial rule. The BOA's commodity biography of the orange followed the organization into press conferences for the best part of a decade. Europeans first tasted sweet oranges from the cargo of Arab traders in around 1400 (sour, or green </w:t>
      </w:r>
      <w:r w:rsidRPr="00907189">
        <w:rPr>
          <w:rFonts w:ascii="Garamond" w:eastAsia="Times New Roman" w:hAnsi="Garamond"/>
          <w:sz w:val="24"/>
          <w:szCs w:val="24"/>
          <w:lang w:eastAsia="en-GB"/>
        </w:rPr>
        <w:lastRenderedPageBreak/>
        <w:t xml:space="preserve">oranges had already been cultivated in Italy). Imported from St Helena on the </w:t>
      </w:r>
      <w:r w:rsidRPr="00907189">
        <w:rPr>
          <w:rFonts w:ascii="Garamond" w:eastAsia="Times New Roman" w:hAnsi="Garamond"/>
          <w:i/>
          <w:sz w:val="24"/>
          <w:szCs w:val="24"/>
          <w:lang w:eastAsia="en-GB"/>
        </w:rPr>
        <w:t>Tulip</w:t>
      </w:r>
      <w:r w:rsidRPr="00907189">
        <w:rPr>
          <w:rFonts w:ascii="Garamond" w:eastAsia="Times New Roman" w:hAnsi="Garamond"/>
          <w:sz w:val="24"/>
          <w:szCs w:val="24"/>
          <w:lang w:eastAsia="en-GB"/>
        </w:rPr>
        <w:t>, oranges du Plessis writes, are categorically a white crop. Initially p</w:t>
      </w:r>
      <w:r w:rsidR="00D27824">
        <w:rPr>
          <w:rFonts w:ascii="Garamond" w:eastAsia="Times New Roman" w:hAnsi="Garamond"/>
          <w:sz w:val="24"/>
          <w:szCs w:val="24"/>
          <w:lang w:eastAsia="en-GB"/>
        </w:rPr>
        <w:t>lanted in gardens of Jan van Rie</w:t>
      </w:r>
      <w:r w:rsidRPr="00907189">
        <w:rPr>
          <w:rFonts w:ascii="Garamond" w:eastAsia="Times New Roman" w:hAnsi="Garamond"/>
          <w:sz w:val="24"/>
          <w:szCs w:val="24"/>
          <w:lang w:eastAsia="en-GB"/>
        </w:rPr>
        <w:t xml:space="preserve">beeck, they were intended for consumption by the Dutch elite and sailors rounding the Cape of Good Hope, and later as an export crop produced on plantations and farms. </w:t>
      </w:r>
      <w:r w:rsidRPr="00907189">
        <w:rPr>
          <w:rFonts w:ascii="Garamond" w:eastAsia="Times New Roman" w:hAnsi="Garamond"/>
          <w:i/>
          <w:sz w:val="24"/>
          <w:szCs w:val="24"/>
          <w:lang w:eastAsia="en-GB"/>
        </w:rPr>
        <w:t>Bouwsten Voor Apartheid</w:t>
      </w:r>
      <w:r w:rsidRPr="00907189">
        <w:rPr>
          <w:rFonts w:ascii="Garamond" w:eastAsia="Times New Roman" w:hAnsi="Garamond"/>
          <w:sz w:val="24"/>
          <w:szCs w:val="24"/>
          <w:lang w:eastAsia="en-GB"/>
        </w:rPr>
        <w:t xml:space="preserve"> proposes that the expansion of orange tree cultivation occurred in tandem with the exploitation of the Khoisan people, many of whom were killed or enslaved. Of the twelve million orange trees growing in South Africa in 1971, </w:t>
      </w:r>
      <w:r w:rsidRPr="00907189">
        <w:rPr>
          <w:rFonts w:ascii="Garamond" w:eastAsia="Times New Roman" w:hAnsi="Garamond"/>
          <w:i/>
          <w:sz w:val="24"/>
          <w:szCs w:val="24"/>
          <w:lang w:eastAsia="en-GB"/>
        </w:rPr>
        <w:t xml:space="preserve">Bouwsten Voor Apartheid </w:t>
      </w:r>
      <w:r w:rsidRPr="00907189">
        <w:rPr>
          <w:rFonts w:ascii="Garamond" w:eastAsia="Times New Roman" w:hAnsi="Garamond"/>
          <w:sz w:val="24"/>
          <w:szCs w:val="24"/>
          <w:lang w:eastAsia="en-GB"/>
        </w:rPr>
        <w:t xml:space="preserve">posits that 65% of oranges were exported, 20% processed, and 15% consumed locally. The black domestic market for oranges, Outspan noted in 1970, remained untapped (Cartwright, 1977; Mather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Rowcroft, 2004); oranges in 1970 were still overwhelmingly a fruit produced by coerced seasonal and convict labourers for consumption in white European markets.</w:t>
      </w:r>
    </w:p>
    <w:p w:rsidR="0047048E" w:rsidRDefault="0047048E" w:rsidP="005B48FD">
      <w:pPr>
        <w:autoSpaceDE w:val="0"/>
        <w:autoSpaceDN w:val="0"/>
        <w:adjustRightInd w:val="0"/>
        <w:spacing w:after="0" w:line="360" w:lineRule="auto"/>
        <w:jc w:val="both"/>
        <w:rPr>
          <w:rFonts w:ascii="Garamond" w:hAnsi="Garamond"/>
          <w:sz w:val="24"/>
          <w:szCs w:val="24"/>
        </w:rPr>
      </w:pPr>
    </w:p>
    <w:p w:rsidR="0047048E" w:rsidRPr="0047048E" w:rsidRDefault="00BA0F0B" w:rsidP="0047048E">
      <w:pPr>
        <w:autoSpaceDE w:val="0"/>
        <w:autoSpaceDN w:val="0"/>
        <w:adjustRightInd w:val="0"/>
        <w:spacing w:after="0" w:line="360" w:lineRule="auto"/>
        <w:jc w:val="both"/>
        <w:rPr>
          <w:rFonts w:ascii="Garamond" w:hAnsi="Garamond"/>
          <w:b/>
          <w:szCs w:val="24"/>
        </w:rPr>
      </w:pPr>
      <w:r w:rsidRPr="0047048E">
        <w:rPr>
          <w:rFonts w:ascii="Garamond" w:hAnsi="Garamond"/>
          <w:b/>
          <w:i/>
          <w:szCs w:val="24"/>
        </w:rPr>
        <w:t xml:space="preserve">Utilizing somatic markers of drought </w:t>
      </w:r>
      <w:r w:rsidR="00F152DB">
        <w:rPr>
          <w:rFonts w:ascii="Garamond" w:hAnsi="Garamond"/>
          <w:b/>
          <w:i/>
          <w:szCs w:val="24"/>
        </w:rPr>
        <w:t>and</w:t>
      </w:r>
      <w:r w:rsidRPr="0047048E">
        <w:rPr>
          <w:rFonts w:ascii="Garamond" w:hAnsi="Garamond"/>
          <w:b/>
          <w:i/>
          <w:szCs w:val="24"/>
        </w:rPr>
        <w:t xml:space="preserve"> famine as shorthand for structural racism</w:t>
      </w:r>
    </w:p>
    <w:p w:rsidR="0047048E" w:rsidRDefault="0047048E" w:rsidP="0047048E">
      <w:pPr>
        <w:autoSpaceDE w:val="0"/>
        <w:autoSpaceDN w:val="0"/>
        <w:adjustRightInd w:val="0"/>
        <w:spacing w:after="0" w:line="360" w:lineRule="auto"/>
        <w:jc w:val="both"/>
        <w:rPr>
          <w:rFonts w:ascii="Garamond" w:hAnsi="Garamond"/>
          <w:sz w:val="24"/>
          <w:szCs w:val="24"/>
        </w:rPr>
      </w:pPr>
    </w:p>
    <w:p w:rsidR="005B48FD" w:rsidRDefault="00BA0F0B" w:rsidP="0047048E">
      <w:pPr>
        <w:autoSpaceDE w:val="0"/>
        <w:autoSpaceDN w:val="0"/>
        <w:adjustRightInd w:val="0"/>
        <w:spacing w:after="0" w:line="360" w:lineRule="auto"/>
        <w:jc w:val="both"/>
        <w:rPr>
          <w:rFonts w:ascii="Garamond" w:hAnsi="Garamond"/>
          <w:sz w:val="24"/>
          <w:szCs w:val="24"/>
        </w:rPr>
      </w:pPr>
      <w:r w:rsidRPr="00907189">
        <w:rPr>
          <w:rFonts w:ascii="Garamond" w:hAnsi="Garamond"/>
          <w:sz w:val="24"/>
          <w:szCs w:val="24"/>
        </w:rPr>
        <w:t>Encouraging Dutch consumers to feel ‘through’ oranges was important to the BOA's activism. This process began in the textual and visual representation of the visceral effects of South African drought and famine in the late 1960s. After famine and drought in the resettlement areas caused widespread malnutrition and thousands of deaths, the Dutch press released a series of articles drawing from missionary reports of the suffering. A cross reading of these articles reveals a succession of terms which would later become staple somatic markers</w:t>
      </w:r>
      <w:r w:rsidRPr="00907189">
        <w:rPr>
          <w:rStyle w:val="FootnoteReference"/>
          <w:rFonts w:ascii="Garamond" w:hAnsi="Garamond"/>
          <w:sz w:val="24"/>
          <w:szCs w:val="24"/>
        </w:rPr>
        <w:footnoteReference w:id="80"/>
      </w:r>
      <w:r w:rsidRPr="00907189">
        <w:rPr>
          <w:rFonts w:ascii="Garamond" w:hAnsi="Garamond"/>
          <w:sz w:val="24"/>
          <w:szCs w:val="24"/>
        </w:rPr>
        <w:t xml:space="preserve"> for the BOA campaign; hongersnood (starvation), </w:t>
      </w:r>
      <w:r w:rsidRPr="00907189">
        <w:rPr>
          <w:rStyle w:val="hps"/>
          <w:rFonts w:ascii="Garamond" w:hAnsi="Garamond"/>
          <w:sz w:val="24"/>
          <w:szCs w:val="24"/>
          <w:lang w:val="nl-NL"/>
        </w:rPr>
        <w:t>ondervoeding (malnutrition)</w:t>
      </w:r>
      <w:r w:rsidRPr="00907189">
        <w:rPr>
          <w:rStyle w:val="shorttext"/>
          <w:rFonts w:ascii="Garamond" w:hAnsi="Garamond"/>
          <w:sz w:val="24"/>
          <w:szCs w:val="24"/>
          <w:lang w:val="nl-NL"/>
        </w:rPr>
        <w:t xml:space="preserve">, </w:t>
      </w:r>
      <w:r w:rsidRPr="00907189">
        <w:rPr>
          <w:rStyle w:val="hps"/>
          <w:rFonts w:ascii="Garamond" w:hAnsi="Garamond"/>
          <w:sz w:val="24"/>
          <w:szCs w:val="24"/>
          <w:lang w:val="nl-NL"/>
        </w:rPr>
        <w:t>bloed (blood),</w:t>
      </w:r>
      <w:r w:rsidRPr="00907189">
        <w:rPr>
          <w:rStyle w:val="shorttext"/>
          <w:rFonts w:ascii="Garamond" w:hAnsi="Garamond"/>
          <w:sz w:val="24"/>
          <w:szCs w:val="24"/>
          <w:lang w:val="nl-NL"/>
        </w:rPr>
        <w:t xml:space="preserve"> </w:t>
      </w:r>
      <w:r w:rsidRPr="00907189">
        <w:rPr>
          <w:rStyle w:val="hps"/>
          <w:rFonts w:ascii="Garamond" w:hAnsi="Garamond"/>
          <w:sz w:val="24"/>
          <w:szCs w:val="24"/>
          <w:lang w:val="nl-NL"/>
        </w:rPr>
        <w:t>dorst (thirst), vlees (flesh)</w:t>
      </w:r>
      <w:r w:rsidRPr="00907189">
        <w:rPr>
          <w:rFonts w:ascii="Garamond" w:hAnsi="Garamond"/>
          <w:sz w:val="24"/>
          <w:szCs w:val="24"/>
        </w:rPr>
        <w:t xml:space="preserve"> and droogknijpen (squeeze dry). Drought in the resettlement areas appeared to bring British colonial practice during the Boer wars to the foreground of media analyses. A highlighted paragraph from the South African daily </w:t>
      </w:r>
      <w:r w:rsidRPr="00907189">
        <w:rPr>
          <w:rFonts w:ascii="Garamond" w:hAnsi="Garamond"/>
          <w:i/>
          <w:sz w:val="24"/>
          <w:szCs w:val="24"/>
        </w:rPr>
        <w:t>Die Burger</w:t>
      </w:r>
      <w:r w:rsidRPr="00907189">
        <w:rPr>
          <w:rFonts w:ascii="Garamond" w:hAnsi="Garamond"/>
          <w:sz w:val="24"/>
          <w:szCs w:val="24"/>
        </w:rPr>
        <w:t xml:space="preserve"> is informative. Here, du Plessis circles the suggestive text</w:t>
      </w:r>
      <w:r w:rsidR="00A70185">
        <w:rPr>
          <w:rFonts w:ascii="Garamond" w:hAnsi="Garamond"/>
          <w:sz w:val="24"/>
          <w:szCs w:val="24"/>
        </w:rPr>
        <w:t xml:space="preserve"> (see Figure 20</w:t>
      </w:r>
      <w:r>
        <w:rPr>
          <w:rFonts w:ascii="Garamond" w:hAnsi="Garamond"/>
          <w:sz w:val="24"/>
          <w:szCs w:val="24"/>
        </w:rPr>
        <w:t>)</w:t>
      </w:r>
      <w:r w:rsidRPr="00907189">
        <w:rPr>
          <w:rFonts w:ascii="Garamond" w:hAnsi="Garamond"/>
          <w:sz w:val="24"/>
          <w:szCs w:val="24"/>
        </w:rPr>
        <w:t xml:space="preserve">. The article compares the resettlement areas for the economically unproductive – children, the elderly, and the handicapped – to the British concentration camps imprisoning Boers at the start of the century. Among the </w:t>
      </w:r>
      <w:r>
        <w:rPr>
          <w:rFonts w:ascii="Garamond" w:hAnsi="Garamond"/>
          <w:sz w:val="24"/>
          <w:szCs w:val="24"/>
        </w:rPr>
        <w:t xml:space="preserve">translated </w:t>
      </w:r>
      <w:r w:rsidRPr="00907189">
        <w:rPr>
          <w:rFonts w:ascii="Garamond" w:hAnsi="Garamond"/>
          <w:sz w:val="24"/>
          <w:szCs w:val="24"/>
        </w:rPr>
        <w:t xml:space="preserve">Afrikaaner sobriquets for these places are ‘Stinking Water’, and ‘Morsgat’ (literally ‘wastinghole’, or ‘wasting-ass’).  </w:t>
      </w:r>
    </w:p>
    <w:p w:rsidR="005B48FD" w:rsidRDefault="005B48FD" w:rsidP="005B48FD">
      <w:pPr>
        <w:spacing w:after="0" w:line="360" w:lineRule="auto"/>
        <w:jc w:val="both"/>
        <w:rPr>
          <w:rFonts w:ascii="Garamond" w:hAnsi="Garamond"/>
          <w:sz w:val="24"/>
          <w:szCs w:val="24"/>
        </w:rPr>
      </w:pPr>
    </w:p>
    <w:p w:rsidR="005B48FD" w:rsidRDefault="00BA0F0B" w:rsidP="005B48FD">
      <w:pPr>
        <w:spacing w:after="0" w:line="360" w:lineRule="auto"/>
        <w:jc w:val="both"/>
        <w:rPr>
          <w:rFonts w:ascii="Garamond" w:hAnsi="Garamond"/>
          <w:sz w:val="24"/>
          <w:szCs w:val="24"/>
        </w:rPr>
      </w:pPr>
      <w:r w:rsidRPr="00907189">
        <w:rPr>
          <w:rFonts w:ascii="Garamond" w:hAnsi="Garamond"/>
          <w:sz w:val="24"/>
          <w:szCs w:val="24"/>
        </w:rPr>
        <w:lastRenderedPageBreak/>
        <w:t xml:space="preserve">At the same time </w:t>
      </w:r>
      <w:r w:rsidRPr="00907189">
        <w:rPr>
          <w:rFonts w:ascii="Garamond" w:hAnsi="Garamond"/>
          <w:i/>
          <w:sz w:val="24"/>
          <w:szCs w:val="24"/>
        </w:rPr>
        <w:t>The Guardian</w:t>
      </w:r>
      <w:r w:rsidRPr="00907189">
        <w:rPr>
          <w:rFonts w:ascii="Garamond" w:hAnsi="Garamond"/>
          <w:sz w:val="24"/>
          <w:szCs w:val="24"/>
        </w:rPr>
        <w:t xml:space="preserve"> in the UK published a review of father Cosmas Desmond’s book </w:t>
      </w:r>
      <w:r w:rsidRPr="00907189">
        <w:rPr>
          <w:rFonts w:ascii="Garamond" w:hAnsi="Garamond"/>
          <w:i/>
          <w:sz w:val="24"/>
          <w:szCs w:val="24"/>
        </w:rPr>
        <w:t>The Discarded People</w:t>
      </w:r>
      <w:r>
        <w:rPr>
          <w:rFonts w:ascii="Garamond" w:hAnsi="Garamond"/>
          <w:sz w:val="24"/>
          <w:szCs w:val="24"/>
        </w:rPr>
        <w:t xml:space="preserve"> in which he criticiz</w:t>
      </w:r>
      <w:r w:rsidRPr="00907189">
        <w:rPr>
          <w:rFonts w:ascii="Garamond" w:hAnsi="Garamond"/>
          <w:sz w:val="24"/>
          <w:szCs w:val="24"/>
        </w:rPr>
        <w:t>es the apartheid government for its creation of the ‘Bantus</w:t>
      </w:r>
      <w:r w:rsidR="00F07857">
        <w:rPr>
          <w:rFonts w:ascii="Garamond" w:hAnsi="Garamond"/>
          <w:sz w:val="24"/>
          <w:szCs w:val="24"/>
        </w:rPr>
        <w:t>tans’. Imprinted on du Plessis’</w:t>
      </w:r>
      <w:r w:rsidRPr="00907189">
        <w:rPr>
          <w:rFonts w:ascii="Garamond" w:hAnsi="Garamond"/>
          <w:sz w:val="24"/>
          <w:szCs w:val="24"/>
        </w:rPr>
        <w:t xml:space="preserve"> copy of the article, there are two parallel lines of blue biro</w:t>
      </w:r>
      <w:r>
        <w:rPr>
          <w:rFonts w:ascii="Garamond" w:hAnsi="Garamond"/>
          <w:sz w:val="24"/>
          <w:szCs w:val="24"/>
        </w:rPr>
        <w:t xml:space="preserve"> vertically framing a paragraph:</w:t>
      </w:r>
      <w:r w:rsidRPr="00371A10">
        <w:rPr>
          <w:rStyle w:val="FootnoteReference"/>
          <w:rFonts w:ascii="Garamond" w:hAnsi="Garamond"/>
          <w:sz w:val="24"/>
          <w:szCs w:val="24"/>
        </w:rPr>
        <w:t xml:space="preserve"> </w:t>
      </w:r>
      <w:r w:rsidRPr="00907189">
        <w:rPr>
          <w:rStyle w:val="FootnoteReference"/>
          <w:rFonts w:ascii="Garamond" w:hAnsi="Garamond"/>
          <w:sz w:val="24"/>
          <w:szCs w:val="24"/>
        </w:rPr>
        <w:footnoteReference w:id="81"/>
      </w:r>
      <w:r w:rsidRPr="00907189">
        <w:rPr>
          <w:rFonts w:ascii="Garamond" w:hAnsi="Garamond"/>
          <w:sz w:val="24"/>
          <w:szCs w:val="24"/>
        </w:rPr>
        <w:t xml:space="preserve"> </w:t>
      </w:r>
    </w:p>
    <w:p w:rsidR="00BA0F0B" w:rsidRDefault="00BA0F0B" w:rsidP="005B48FD">
      <w:pPr>
        <w:spacing w:after="0" w:line="360" w:lineRule="auto"/>
        <w:jc w:val="both"/>
        <w:rPr>
          <w:rFonts w:ascii="Garamond" w:hAnsi="Garamond"/>
          <w:sz w:val="24"/>
          <w:szCs w:val="24"/>
        </w:rPr>
      </w:pPr>
    </w:p>
    <w:p w:rsidR="00BA0F0B" w:rsidRDefault="00BA0F0B" w:rsidP="00BA0F0B">
      <w:pPr>
        <w:spacing w:line="360" w:lineRule="auto"/>
        <w:jc w:val="center"/>
        <w:rPr>
          <w:rFonts w:ascii="Garamond" w:hAnsi="Garamond"/>
          <w:sz w:val="24"/>
          <w:szCs w:val="24"/>
        </w:rPr>
      </w:pPr>
      <w:r w:rsidRPr="001E06C1">
        <w:rPr>
          <w:rFonts w:ascii="Garamond" w:hAnsi="Garamond"/>
          <w:noProof/>
          <w:sz w:val="24"/>
          <w:szCs w:val="24"/>
          <w:lang w:eastAsia="en-GB"/>
        </w:rPr>
        <w:drawing>
          <wp:inline distT="0" distB="0" distL="0" distR="0">
            <wp:extent cx="2784127" cy="1757425"/>
            <wp:effectExtent l="76200" t="25400" r="111473" b="71375"/>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2786639" cy="1759011"/>
                    </a:xfrm>
                    <a:prstGeom prst="rect">
                      <a:avLst/>
                    </a:prstGeom>
                    <a:ln w="3175" cap="sq" cmpd="sng" algn="ctr">
                      <a:solidFill>
                        <a:srgbClr val="000000">
                          <a:alpha val="68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sidRPr="001E06C1">
        <w:rPr>
          <w:rFonts w:ascii="Garamond" w:hAnsi="Garamond"/>
          <w:noProof/>
          <w:sz w:val="24"/>
          <w:szCs w:val="24"/>
          <w:lang w:eastAsia="en-GB"/>
        </w:rPr>
        <w:drawing>
          <wp:inline distT="0" distB="0" distL="0" distR="0">
            <wp:extent cx="1464733" cy="1762825"/>
            <wp:effectExtent l="76200" t="25400" r="110067" b="65975"/>
            <wp:docPr id="59" name="Picture 7" descr="Description: C:\Users\Hugh\Desktop\2011-01-09 Esau Archive BOA\PLAKBOEK Nr 1\stinkwa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Hugh\Desktop\2011-01-09 Esau Archive BOA\PLAKBOEK Nr 1\stinkwater.tif"/>
                    <pic:cNvPicPr>
                      <a:picLocks noChangeAspect="1" noChangeArrowheads="1"/>
                    </pic:cNvPicPr>
                  </pic:nvPicPr>
                  <pic:blipFill>
                    <a:blip r:embed="rId37" cstate="print"/>
                    <a:srcRect/>
                    <a:stretch>
                      <a:fillRect/>
                    </a:stretch>
                  </pic:blipFill>
                  <pic:spPr bwMode="auto">
                    <a:xfrm>
                      <a:off x="0" y="0"/>
                      <a:ext cx="1471378" cy="1770823"/>
                    </a:xfrm>
                    <a:prstGeom prst="rect">
                      <a:avLst/>
                    </a:prstGeom>
                    <a:ln w="6350" cap="sq" cmpd="sng" algn="ctr">
                      <a:solidFill>
                        <a:srgbClr val="000000">
                          <a:alpha val="60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1A482E" w:rsidRDefault="00691864" w:rsidP="001A482E">
      <w:pPr>
        <w:pStyle w:val="Caption"/>
        <w:ind w:left="567"/>
        <w:rPr>
          <w:rFonts w:ascii="Perpetua" w:hAnsi="Perpetua"/>
          <w:b w:val="0"/>
          <w:color w:val="auto"/>
          <w:sz w:val="20"/>
        </w:rPr>
      </w:pPr>
      <w:bookmarkStart w:id="376" w:name="_Toc263509017"/>
      <w:bookmarkStart w:id="377" w:name="_Toc263510804"/>
      <w:bookmarkStart w:id="378" w:name="_Toc244508220"/>
      <w:bookmarkStart w:id="379" w:name="_Toc244577282"/>
      <w:bookmarkStart w:id="380" w:name="_Toc263495751"/>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20</w:t>
      </w:r>
      <w:r w:rsidR="00DF2DF8" w:rsidRPr="00A96BB2">
        <w:rPr>
          <w:rFonts w:ascii="Perpetua" w:hAnsi="Perpetua"/>
          <w:b w:val="0"/>
          <w:color w:val="auto"/>
          <w:sz w:val="20"/>
        </w:rPr>
        <w:fldChar w:fldCharType="end"/>
      </w:r>
      <w:r w:rsidRPr="00A96BB2">
        <w:rPr>
          <w:rFonts w:ascii="Perpetua" w:hAnsi="Perpetua"/>
          <w:b w:val="0"/>
          <w:color w:val="auto"/>
          <w:sz w:val="20"/>
        </w:rPr>
        <w:t>: Photograph of embellishments made by du Plessis on newspaper reports of conditions in the 'Bantustans'.</w:t>
      </w:r>
      <w:bookmarkEnd w:id="376"/>
      <w:bookmarkEnd w:id="377"/>
      <w:r w:rsidRPr="00A96BB2">
        <w:rPr>
          <w:rFonts w:ascii="Perpetua" w:hAnsi="Perpetua"/>
          <w:b w:val="0"/>
          <w:color w:val="auto"/>
          <w:sz w:val="20"/>
        </w:rPr>
        <w:t xml:space="preserve"> </w:t>
      </w:r>
      <w:bookmarkEnd w:id="378"/>
      <w:bookmarkEnd w:id="379"/>
    </w:p>
    <w:p w:rsidR="00691864" w:rsidRPr="001A482E" w:rsidRDefault="00691864" w:rsidP="001A482E">
      <w:pPr>
        <w:ind w:left="567" w:right="362"/>
        <w:rPr>
          <w:rFonts w:ascii="Perpetua" w:hAnsi="Perpetua"/>
          <w:sz w:val="20"/>
        </w:rPr>
      </w:pPr>
      <w:r w:rsidRPr="001A482E">
        <w:rPr>
          <w:rFonts w:ascii="Perpetua" w:hAnsi="Perpetua"/>
          <w:sz w:val="20"/>
        </w:rPr>
        <w:t>This illustrates the process of highlighting somatic markers. The left highlights a paragraph describing 'flesh and blood' and kwashiorkor made to The Guardian August 5, 1970, and right circling a report in Die Burger, June 28 1970, with key references to resettlement areas as 'Morsgat' and 'Stinking Water'.</w:t>
      </w:r>
      <w:bookmarkEnd w:id="380"/>
    </w:p>
    <w:p w:rsidR="00BA0F0B" w:rsidRPr="00A70185" w:rsidRDefault="00BA0F0B" w:rsidP="00A70185">
      <w:pPr>
        <w:keepNext/>
        <w:spacing w:after="0" w:line="360" w:lineRule="auto"/>
        <w:ind w:left="567" w:right="646"/>
        <w:jc w:val="both"/>
        <w:rPr>
          <w:rFonts w:ascii="Perpetua" w:hAnsi="Perpetua"/>
          <w:sz w:val="20"/>
        </w:rPr>
      </w:pPr>
    </w:p>
    <w:p w:rsidR="00BA0F0B" w:rsidRPr="00907189" w:rsidRDefault="00BA0F0B" w:rsidP="00BA0F0B">
      <w:pPr>
        <w:spacing w:line="360" w:lineRule="auto"/>
        <w:jc w:val="both"/>
        <w:rPr>
          <w:rFonts w:ascii="Garamond" w:hAnsi="Garamond"/>
          <w:sz w:val="24"/>
          <w:szCs w:val="24"/>
        </w:rPr>
      </w:pPr>
      <w:r w:rsidRPr="00907189">
        <w:rPr>
          <w:rFonts w:ascii="Garamond" w:hAnsi="Garamond"/>
          <w:sz w:val="24"/>
          <w:szCs w:val="24"/>
        </w:rPr>
        <w:t>The simple embellishment was made by du Plessis in the summer of 1970. The marked section reads:</w:t>
      </w:r>
    </w:p>
    <w:p w:rsidR="00BA0F0B" w:rsidRPr="00A70185" w:rsidRDefault="00BA0F0B" w:rsidP="00BA0F0B">
      <w:pPr>
        <w:spacing w:line="360" w:lineRule="auto"/>
        <w:ind w:left="284" w:right="284"/>
        <w:jc w:val="both"/>
        <w:rPr>
          <w:rFonts w:ascii="Garamond" w:hAnsi="Garamond"/>
          <w:i/>
        </w:rPr>
      </w:pPr>
      <w:r w:rsidRPr="00A70185">
        <w:rPr>
          <w:rFonts w:ascii="Garamond" w:hAnsi="Garamond"/>
        </w:rPr>
        <w:t xml:space="preserve">Desmond gives these places flesh and blood. No, flesh and blood is not the right word. For it is a story of malnutrition, disease and starvation. Kwashiorkor is a word which first hit most people in Europe when reading about war-torn Biafra. It is there in South Africa, too, in the richest country on the continent, in peacetime.  (Jonathan Steele, </w:t>
      </w:r>
      <w:r w:rsidRPr="00A70185">
        <w:rPr>
          <w:rFonts w:ascii="Garamond" w:hAnsi="Garamond"/>
          <w:i/>
        </w:rPr>
        <w:t xml:space="preserve">The Guardian Weekly, </w:t>
      </w:r>
      <w:r w:rsidRPr="00A70185">
        <w:rPr>
          <w:rFonts w:ascii="Garamond" w:hAnsi="Garamond"/>
        </w:rPr>
        <w:t>June 27, 1970)</w:t>
      </w:r>
    </w:p>
    <w:p w:rsidR="005D7559" w:rsidRDefault="00BA0F0B" w:rsidP="005B48FD">
      <w:pPr>
        <w:spacing w:after="0" w:line="360" w:lineRule="auto"/>
        <w:jc w:val="both"/>
        <w:rPr>
          <w:rFonts w:ascii="Garamond" w:hAnsi="Garamond"/>
          <w:sz w:val="24"/>
          <w:szCs w:val="24"/>
        </w:rPr>
      </w:pPr>
      <w:r w:rsidRPr="00907189">
        <w:rPr>
          <w:rFonts w:ascii="Garamond" w:hAnsi="Garamond"/>
          <w:sz w:val="24"/>
          <w:szCs w:val="24"/>
        </w:rPr>
        <w:t>Kwashiorkor is a condition describing the horrific violence done to a malnourished child’s body, most commonly experienced during sustained periods of drought a</w:t>
      </w:r>
      <w:r>
        <w:rPr>
          <w:rFonts w:ascii="Garamond" w:hAnsi="Garamond"/>
          <w:sz w:val="24"/>
          <w:szCs w:val="24"/>
        </w:rPr>
        <w:t>nd starvation. It is characteriz</w:t>
      </w:r>
      <w:r w:rsidRPr="00907189">
        <w:rPr>
          <w:rFonts w:ascii="Garamond" w:hAnsi="Garamond"/>
          <w:sz w:val="24"/>
          <w:szCs w:val="24"/>
        </w:rPr>
        <w:t>ed by an in</w:t>
      </w:r>
      <w:r>
        <w:rPr>
          <w:rFonts w:ascii="Garamond" w:hAnsi="Garamond"/>
          <w:sz w:val="24"/>
          <w:szCs w:val="24"/>
        </w:rPr>
        <w:t>ability of the body to metaboliz</w:t>
      </w:r>
      <w:r w:rsidRPr="00907189">
        <w:rPr>
          <w:rFonts w:ascii="Garamond" w:hAnsi="Garamond"/>
          <w:sz w:val="24"/>
          <w:szCs w:val="24"/>
        </w:rPr>
        <w:t xml:space="preserve">e energy and protein, and results in anorexia, swelling of feet and the belly, stunted growth and eventually death. </w:t>
      </w:r>
      <w:r>
        <w:rPr>
          <w:rFonts w:ascii="Garamond" w:hAnsi="Garamond"/>
          <w:sz w:val="24"/>
          <w:szCs w:val="24"/>
        </w:rPr>
        <w:t>Du Plessis’</w:t>
      </w:r>
      <w:r w:rsidRPr="00907189">
        <w:rPr>
          <w:rFonts w:ascii="Garamond" w:hAnsi="Garamond"/>
          <w:sz w:val="24"/>
          <w:szCs w:val="24"/>
        </w:rPr>
        <w:t xml:space="preserve"> biro followed words concerned with the viscerality and corporeal effects of structural racism in the resettlement areas. These embellishments </w:t>
      </w:r>
      <w:r w:rsidRPr="00907189">
        <w:rPr>
          <w:rFonts w:ascii="Garamond" w:hAnsi="Garamond"/>
          <w:sz w:val="24"/>
          <w:szCs w:val="24"/>
        </w:rPr>
        <w:lastRenderedPageBreak/>
        <w:t>signal the beginning of the BOA's process of linking embodied violence to water content and eating.</w:t>
      </w:r>
    </w:p>
    <w:p w:rsidR="005D7559" w:rsidRDefault="005D7559" w:rsidP="005B48FD">
      <w:pPr>
        <w:spacing w:after="0" w:line="360" w:lineRule="auto"/>
        <w:jc w:val="both"/>
        <w:rPr>
          <w:rFonts w:ascii="Garamond" w:hAnsi="Garamond"/>
          <w:sz w:val="24"/>
          <w:szCs w:val="24"/>
        </w:rPr>
      </w:pPr>
    </w:p>
    <w:p w:rsidR="005D7559" w:rsidRDefault="00BA0F0B" w:rsidP="005D7559">
      <w:pPr>
        <w:spacing w:after="0" w:line="360" w:lineRule="auto"/>
        <w:jc w:val="both"/>
        <w:rPr>
          <w:rFonts w:ascii="Garamond" w:hAnsi="Garamond"/>
          <w:sz w:val="24"/>
          <w:szCs w:val="24"/>
        </w:rPr>
      </w:pPr>
      <w:r w:rsidRPr="00907189">
        <w:rPr>
          <w:rFonts w:ascii="Garamond" w:hAnsi="Garamond"/>
          <w:sz w:val="24"/>
          <w:szCs w:val="24"/>
        </w:rPr>
        <w:t>The drought in South Africa was a humanitarian catastrophe. Structural racism, accounts of embodied suffering and collective European responsibility were linked in cha</w:t>
      </w:r>
      <w:r w:rsidR="00F07857">
        <w:rPr>
          <w:rFonts w:ascii="Garamond" w:hAnsi="Garamond"/>
          <w:sz w:val="24"/>
          <w:szCs w:val="24"/>
        </w:rPr>
        <w:t>ins of causality in du Plessis’</w:t>
      </w:r>
      <w:r w:rsidRPr="00907189">
        <w:rPr>
          <w:rFonts w:ascii="Garamond" w:hAnsi="Garamond"/>
          <w:sz w:val="24"/>
          <w:szCs w:val="24"/>
        </w:rPr>
        <w:t xml:space="preserve"> letters to newspapers in France, Germany, and Britain during the summer of 1970. On the same day that Steele’s article on the ‘Bantustans’ was published in the </w:t>
      </w:r>
      <w:r w:rsidRPr="00907189">
        <w:rPr>
          <w:rFonts w:ascii="Garamond" w:hAnsi="Garamond"/>
          <w:i/>
          <w:sz w:val="24"/>
          <w:szCs w:val="24"/>
        </w:rPr>
        <w:t>Guardian Weekly</w:t>
      </w:r>
      <w:r w:rsidRPr="00907189">
        <w:rPr>
          <w:rFonts w:ascii="Garamond" w:hAnsi="Garamond"/>
          <w:sz w:val="24"/>
          <w:szCs w:val="24"/>
        </w:rPr>
        <w:t xml:space="preserve">, du Plessis had an impassioned letter published in the </w:t>
      </w:r>
      <w:r w:rsidRPr="00907189">
        <w:rPr>
          <w:rFonts w:ascii="Garamond" w:hAnsi="Garamond"/>
          <w:i/>
          <w:sz w:val="24"/>
          <w:szCs w:val="24"/>
        </w:rPr>
        <w:t>Guardian</w:t>
      </w:r>
      <w:r w:rsidRPr="00907189">
        <w:rPr>
          <w:rFonts w:ascii="Garamond" w:hAnsi="Garamond"/>
          <w:sz w:val="24"/>
          <w:szCs w:val="24"/>
        </w:rPr>
        <w:t xml:space="preserve"> national daily. The letter demanded an international enquiry to events in the resettlement ar</w:t>
      </w:r>
      <w:r>
        <w:rPr>
          <w:rFonts w:ascii="Garamond" w:hAnsi="Garamond"/>
          <w:sz w:val="24"/>
          <w:szCs w:val="24"/>
        </w:rPr>
        <w:t>eas, pointed to the individualiz</w:t>
      </w:r>
      <w:r w:rsidRPr="00907189">
        <w:rPr>
          <w:rFonts w:ascii="Garamond" w:hAnsi="Garamond"/>
          <w:sz w:val="24"/>
          <w:szCs w:val="24"/>
        </w:rPr>
        <w:t xml:space="preserve">ed suffering of women, children and the disabled, and suggested that the apartheid system required “fundamental </w:t>
      </w:r>
      <w:r w:rsidR="005D7559">
        <w:rPr>
          <w:rFonts w:ascii="Garamond" w:hAnsi="Garamond"/>
          <w:sz w:val="24"/>
          <w:szCs w:val="24"/>
        </w:rPr>
        <w:t>structural changes” (1970: 12).</w:t>
      </w:r>
    </w:p>
    <w:p w:rsidR="005D7559" w:rsidRDefault="005D7559" w:rsidP="005D7559">
      <w:pPr>
        <w:spacing w:after="0" w:line="360" w:lineRule="auto"/>
        <w:jc w:val="both"/>
        <w:rPr>
          <w:rFonts w:ascii="Garamond" w:hAnsi="Garamond"/>
          <w:sz w:val="24"/>
          <w:szCs w:val="24"/>
        </w:rPr>
      </w:pPr>
    </w:p>
    <w:p w:rsidR="005D7559" w:rsidRDefault="00BA0F0B" w:rsidP="005D7559">
      <w:pPr>
        <w:spacing w:after="0" w:line="360" w:lineRule="auto"/>
        <w:jc w:val="both"/>
        <w:rPr>
          <w:rFonts w:ascii="Garamond" w:hAnsi="Garamond"/>
          <w:sz w:val="24"/>
          <w:szCs w:val="24"/>
        </w:rPr>
      </w:pPr>
      <w:r w:rsidRPr="00907189">
        <w:rPr>
          <w:rFonts w:ascii="Garamond" w:hAnsi="Garamond"/>
          <w:sz w:val="24"/>
          <w:szCs w:val="24"/>
        </w:rPr>
        <w:t>Reporting on the famine and drought of 1970, and earlier witness reports of violence done to workers on agricultural farms (First, 1947; Ainslie, 1972; Stanbridge, 1970) exposed the European public to violent somatic markers (blood, flesh, malnourished bodies), to signifiers of contagion (‘stinkwater’, disease), places of ‘bare life’ (concentration camps, resettlement areas), and bodies described in relation to their relative water conten</w:t>
      </w:r>
      <w:r>
        <w:rPr>
          <w:rFonts w:ascii="Garamond" w:hAnsi="Garamond"/>
          <w:sz w:val="24"/>
          <w:szCs w:val="24"/>
        </w:rPr>
        <w:t>t (dry, brittle). These mediatiz</w:t>
      </w:r>
      <w:r w:rsidRPr="00907189">
        <w:rPr>
          <w:rFonts w:ascii="Garamond" w:hAnsi="Garamond"/>
          <w:sz w:val="24"/>
          <w:szCs w:val="24"/>
        </w:rPr>
        <w:t>ed geographies of horrific embodied suffering spoke of white indifference, environmental racism and extreme food inequality. The reports lent motivation to agitate and boycott, they created “a hunger in the Dutch public for action” (interview du Plessis, 2011). But they also put into black ink the raw bits and pieces of a violent embodied boycotter topos. The two requirements to mobilize this topos were a potent material vehicle, and a blueprint for how suffering could emote activism and political solidarity.</w:t>
      </w:r>
    </w:p>
    <w:p w:rsidR="005D7559" w:rsidRDefault="005D7559" w:rsidP="005D7559">
      <w:pPr>
        <w:spacing w:after="0" w:line="360" w:lineRule="auto"/>
        <w:jc w:val="both"/>
        <w:rPr>
          <w:rFonts w:ascii="Garamond" w:hAnsi="Garamond"/>
          <w:sz w:val="24"/>
          <w:szCs w:val="24"/>
        </w:rPr>
      </w:pPr>
    </w:p>
    <w:p w:rsidR="005D7559" w:rsidRPr="0047048E" w:rsidRDefault="00BA0F0B" w:rsidP="005D7559">
      <w:pPr>
        <w:spacing w:after="0" w:line="360" w:lineRule="auto"/>
        <w:jc w:val="both"/>
        <w:rPr>
          <w:rFonts w:ascii="Garamond" w:hAnsi="Garamond"/>
          <w:b/>
          <w:szCs w:val="24"/>
        </w:rPr>
      </w:pPr>
      <w:r w:rsidRPr="0047048E">
        <w:rPr>
          <w:rFonts w:ascii="Garamond" w:eastAsia="Times New Roman" w:hAnsi="Garamond"/>
          <w:b/>
          <w:i/>
          <w:szCs w:val="24"/>
          <w:lang w:eastAsia="en-GB"/>
        </w:rPr>
        <w:t>Causation between apartheid and citrus labour abuses</w:t>
      </w:r>
    </w:p>
    <w:p w:rsidR="005D7559" w:rsidRDefault="005D7559" w:rsidP="005D7559">
      <w:pPr>
        <w:spacing w:after="0" w:line="360" w:lineRule="auto"/>
        <w:jc w:val="both"/>
        <w:rPr>
          <w:rFonts w:ascii="Garamond" w:hAnsi="Garamond"/>
          <w:sz w:val="24"/>
          <w:szCs w:val="24"/>
        </w:rPr>
      </w:pPr>
    </w:p>
    <w:p w:rsidR="005D7559" w:rsidRDefault="00BA0F0B" w:rsidP="005D7559">
      <w:pPr>
        <w:spacing w:after="0" w:line="360" w:lineRule="auto"/>
        <w:jc w:val="both"/>
        <w:rPr>
          <w:rFonts w:ascii="Garamond" w:hAnsi="Garamond"/>
          <w:sz w:val="24"/>
          <w:szCs w:val="24"/>
        </w:rPr>
      </w:pPr>
      <w:r w:rsidRPr="00907189">
        <w:rPr>
          <w:rFonts w:ascii="Garamond" w:hAnsi="Garamond"/>
          <w:sz w:val="24"/>
          <w:szCs w:val="24"/>
        </w:rPr>
        <w:t xml:space="preserve">So that citrus would stand up as a commodity that embodied apartheid oppression, it was necessary for the BOA to rebuff claims that abuse of labour on citrus farms could be isolated to a few exceptional instances. In </w:t>
      </w:r>
      <w:r w:rsidRPr="00907189">
        <w:rPr>
          <w:rFonts w:ascii="Garamond" w:hAnsi="Garamond"/>
          <w:i/>
          <w:sz w:val="24"/>
          <w:szCs w:val="24"/>
        </w:rPr>
        <w:t xml:space="preserve">Outspan: Building Bricks for Apartheid </w:t>
      </w:r>
      <w:r>
        <w:rPr>
          <w:rFonts w:ascii="Garamond" w:hAnsi="Garamond"/>
          <w:sz w:val="24"/>
          <w:szCs w:val="24"/>
        </w:rPr>
        <w:t xml:space="preserve">(1972) </w:t>
      </w:r>
      <w:r w:rsidRPr="00907189">
        <w:rPr>
          <w:rFonts w:ascii="Garamond" w:hAnsi="Garamond"/>
          <w:sz w:val="24"/>
          <w:szCs w:val="24"/>
        </w:rPr>
        <w:t>the BOA made the specific connection between the land and labour abuses of apartheid and the abuse of farm</w:t>
      </w:r>
      <w:r w:rsidR="00F07857">
        <w:rPr>
          <w:rFonts w:ascii="Garamond" w:hAnsi="Garamond"/>
          <w:sz w:val="24"/>
          <w:szCs w:val="24"/>
        </w:rPr>
        <w:t>-</w:t>
      </w:r>
      <w:r w:rsidRPr="00907189">
        <w:rPr>
          <w:rFonts w:ascii="Garamond" w:hAnsi="Garamond"/>
          <w:sz w:val="24"/>
          <w:szCs w:val="24"/>
        </w:rPr>
        <w:t xml:space="preserve">workers producing citrus for export to Europe; critical purchase for </w:t>
      </w:r>
      <w:r w:rsidRPr="00907189">
        <w:rPr>
          <w:rFonts w:ascii="Garamond" w:hAnsi="Garamond"/>
          <w:sz w:val="24"/>
          <w:szCs w:val="24"/>
        </w:rPr>
        <w:lastRenderedPageBreak/>
        <w:t>this link came from investigative publications on farm labour by First (1947),</w:t>
      </w:r>
      <w:r w:rsidRPr="00907189">
        <w:rPr>
          <w:rStyle w:val="FootnoteReference"/>
          <w:rFonts w:ascii="Garamond" w:hAnsi="Garamond"/>
          <w:sz w:val="24"/>
          <w:szCs w:val="24"/>
        </w:rPr>
        <w:footnoteReference w:id="82"/>
      </w:r>
      <w:r w:rsidRPr="00907189">
        <w:rPr>
          <w:rFonts w:ascii="Garamond" w:hAnsi="Garamond"/>
          <w:sz w:val="24"/>
          <w:szCs w:val="24"/>
        </w:rPr>
        <w:t xml:space="preserve"> Ainslie (1972),</w:t>
      </w:r>
      <w:r w:rsidRPr="00907189">
        <w:rPr>
          <w:rStyle w:val="FootnoteReference"/>
          <w:rFonts w:ascii="Garamond" w:hAnsi="Garamond"/>
          <w:sz w:val="24"/>
          <w:szCs w:val="24"/>
        </w:rPr>
        <w:footnoteReference w:id="83"/>
      </w:r>
      <w:r w:rsidRPr="00907189">
        <w:rPr>
          <w:rFonts w:ascii="Garamond" w:hAnsi="Garamond"/>
          <w:sz w:val="24"/>
          <w:szCs w:val="24"/>
        </w:rPr>
        <w:t xml:space="preserve"> and Stanbridge (1973).</w:t>
      </w:r>
      <w:r w:rsidRPr="00907189">
        <w:rPr>
          <w:rStyle w:val="FootnoteReference"/>
          <w:rFonts w:ascii="Garamond" w:hAnsi="Garamond"/>
          <w:sz w:val="24"/>
          <w:szCs w:val="24"/>
        </w:rPr>
        <w:footnoteReference w:id="84"/>
      </w:r>
      <w:r w:rsidRPr="00907189">
        <w:rPr>
          <w:rFonts w:ascii="Garamond" w:hAnsi="Garamond"/>
          <w:sz w:val="24"/>
          <w:szCs w:val="24"/>
        </w:rPr>
        <w:t xml:space="preserve"> The BOA reprinted and distributed copies of the three articles published by the multiracial weekly, the South African </w:t>
      </w:r>
      <w:r w:rsidRPr="00907189">
        <w:rPr>
          <w:rFonts w:ascii="Garamond" w:hAnsi="Garamond"/>
          <w:i/>
          <w:sz w:val="24"/>
          <w:szCs w:val="24"/>
        </w:rPr>
        <w:t xml:space="preserve">Guardian </w:t>
      </w:r>
      <w:r w:rsidRPr="00907189">
        <w:rPr>
          <w:rFonts w:ascii="Garamond" w:hAnsi="Garamond"/>
          <w:sz w:val="24"/>
          <w:szCs w:val="24"/>
        </w:rPr>
        <w:t xml:space="preserve">(banned by the apartheid regime in 1963), IDAF, and </w:t>
      </w:r>
      <w:r w:rsidRPr="00907189">
        <w:rPr>
          <w:rFonts w:ascii="Garamond" w:hAnsi="Garamond"/>
          <w:i/>
          <w:sz w:val="24"/>
          <w:szCs w:val="24"/>
        </w:rPr>
        <w:t>The Sunday Tribune</w:t>
      </w:r>
      <w:r w:rsidRPr="00907189">
        <w:rPr>
          <w:rFonts w:ascii="Garamond" w:hAnsi="Garamond"/>
          <w:sz w:val="24"/>
          <w:szCs w:val="24"/>
        </w:rPr>
        <w:t xml:space="preserve"> respectively. These publications provided witness accounts of farm abuses on individuals, they denounced widespread forms of agricultural slavery, and highlighted the use of convict labour on citrus farms. This ‘underground’ journalism made explicit the causation between the laws and segregationist policies of the apartheid system and the individual suffering, torture and labour abuses on specific farms.</w:t>
      </w:r>
    </w:p>
    <w:p w:rsidR="005D7559" w:rsidRDefault="005D7559" w:rsidP="005D7559">
      <w:pPr>
        <w:spacing w:after="0" w:line="360" w:lineRule="auto"/>
        <w:jc w:val="both"/>
        <w:rPr>
          <w:rFonts w:ascii="Garamond" w:hAnsi="Garamond"/>
          <w:sz w:val="24"/>
          <w:szCs w:val="24"/>
        </w:rPr>
      </w:pPr>
    </w:p>
    <w:p w:rsidR="005D7559" w:rsidRPr="0047048E" w:rsidRDefault="00BA0F0B" w:rsidP="005D7559">
      <w:pPr>
        <w:spacing w:after="0" w:line="360" w:lineRule="auto"/>
        <w:jc w:val="both"/>
        <w:rPr>
          <w:rFonts w:ascii="Garamond" w:hAnsi="Garamond"/>
          <w:b/>
          <w:szCs w:val="24"/>
        </w:rPr>
      </w:pPr>
      <w:r w:rsidRPr="0047048E">
        <w:rPr>
          <w:rFonts w:ascii="Garamond" w:hAnsi="Garamond"/>
          <w:b/>
          <w:i/>
          <w:szCs w:val="24"/>
        </w:rPr>
        <w:t>Global whiteness and complicity with apartheid</w:t>
      </w:r>
    </w:p>
    <w:p w:rsidR="005D7559" w:rsidRDefault="005D7559" w:rsidP="005D7559">
      <w:pPr>
        <w:spacing w:after="0" w:line="360" w:lineRule="auto"/>
        <w:jc w:val="both"/>
        <w:rPr>
          <w:rFonts w:ascii="Garamond" w:hAnsi="Garamond"/>
          <w:sz w:val="24"/>
          <w:szCs w:val="24"/>
        </w:rPr>
      </w:pPr>
    </w:p>
    <w:p w:rsidR="005D7559" w:rsidRDefault="00BA0F0B" w:rsidP="00F21F6B">
      <w:pPr>
        <w:spacing w:after="0" w:line="360" w:lineRule="auto"/>
        <w:jc w:val="both"/>
        <w:rPr>
          <w:rFonts w:ascii="Garamond" w:hAnsi="Garamond"/>
          <w:sz w:val="24"/>
          <w:szCs w:val="24"/>
        </w:rPr>
      </w:pPr>
      <w:r w:rsidRPr="00907189">
        <w:rPr>
          <w:rFonts w:ascii="Garamond" w:hAnsi="Garamond"/>
          <w:sz w:val="24"/>
          <w:szCs w:val="24"/>
        </w:rPr>
        <w:t xml:space="preserve">In the conclusion of </w:t>
      </w:r>
      <w:r w:rsidRPr="00907189">
        <w:rPr>
          <w:rFonts w:ascii="Garamond" w:hAnsi="Garamond"/>
          <w:i/>
          <w:sz w:val="24"/>
          <w:szCs w:val="24"/>
        </w:rPr>
        <w:t>Apartheid and Discrimination</w:t>
      </w:r>
      <w:r w:rsidRPr="00907189">
        <w:rPr>
          <w:rFonts w:ascii="Garamond" w:hAnsi="Garamond"/>
          <w:sz w:val="24"/>
          <w:szCs w:val="24"/>
        </w:rPr>
        <w:t>,</w:t>
      </w:r>
      <w:r w:rsidRPr="00907189">
        <w:rPr>
          <w:rFonts w:ascii="Garamond" w:hAnsi="Garamond"/>
          <w:i/>
          <w:sz w:val="24"/>
          <w:szCs w:val="24"/>
        </w:rPr>
        <w:t xml:space="preserve"> </w:t>
      </w:r>
      <w:r w:rsidRPr="00907189">
        <w:rPr>
          <w:rFonts w:ascii="Garamond" w:hAnsi="Garamond"/>
          <w:sz w:val="24"/>
          <w:szCs w:val="24"/>
        </w:rPr>
        <w:t>Roskam (1960) makes three distinctive claims on apartheid; he posits that apartheid failed to get support from non- whites,</w:t>
      </w:r>
      <w:r w:rsidRPr="00907189">
        <w:rPr>
          <w:rStyle w:val="FootnoteReference"/>
          <w:rFonts w:ascii="Garamond" w:hAnsi="Garamond"/>
          <w:sz w:val="24"/>
          <w:szCs w:val="24"/>
        </w:rPr>
        <w:footnoteReference w:id="85"/>
      </w:r>
      <w:r w:rsidRPr="00907189">
        <w:rPr>
          <w:rFonts w:ascii="Garamond" w:hAnsi="Garamond"/>
          <w:sz w:val="24"/>
          <w:szCs w:val="24"/>
        </w:rPr>
        <w:t xml:space="preserve"> that it lacked scientific and moral justification, and that the South African government were testing the resolve of Western states and</w:t>
      </w:r>
      <w:r>
        <w:rPr>
          <w:rFonts w:ascii="Garamond" w:hAnsi="Garamond"/>
          <w:sz w:val="24"/>
          <w:szCs w:val="24"/>
        </w:rPr>
        <w:t xml:space="preserve"> political movements to recogniz</w:t>
      </w:r>
      <w:r w:rsidRPr="00907189">
        <w:rPr>
          <w:rFonts w:ascii="Garamond" w:hAnsi="Garamond"/>
          <w:sz w:val="24"/>
          <w:szCs w:val="24"/>
        </w:rPr>
        <w:t xml:space="preserve">e racism, and to put an end to </w:t>
      </w:r>
      <w:r w:rsidRPr="00907189">
        <w:rPr>
          <w:rFonts w:ascii="Garamond" w:hAnsi="Garamond"/>
          <w:i/>
          <w:sz w:val="24"/>
          <w:szCs w:val="24"/>
        </w:rPr>
        <w:t>all</w:t>
      </w:r>
      <w:r w:rsidRPr="00907189">
        <w:rPr>
          <w:rFonts w:ascii="Garamond" w:hAnsi="Garamond"/>
          <w:sz w:val="24"/>
          <w:szCs w:val="24"/>
        </w:rPr>
        <w:t xml:space="preserve"> racial discrimination:</w:t>
      </w:r>
    </w:p>
    <w:p w:rsidR="00BA0F0B" w:rsidRPr="00907189" w:rsidRDefault="00BA0F0B" w:rsidP="00F21F6B">
      <w:pPr>
        <w:spacing w:after="0" w:line="360" w:lineRule="auto"/>
        <w:jc w:val="both"/>
        <w:rPr>
          <w:rFonts w:ascii="Garamond" w:hAnsi="Garamond"/>
          <w:sz w:val="24"/>
          <w:szCs w:val="24"/>
        </w:rPr>
      </w:pPr>
    </w:p>
    <w:p w:rsidR="00F21F6B" w:rsidRDefault="00BA0F0B" w:rsidP="00F21F6B">
      <w:pPr>
        <w:spacing w:after="0" w:line="360" w:lineRule="auto"/>
        <w:ind w:left="284" w:right="284"/>
        <w:jc w:val="both"/>
        <w:rPr>
          <w:rFonts w:ascii="Garamond" w:hAnsi="Garamond"/>
        </w:rPr>
      </w:pPr>
      <w:r w:rsidRPr="00907189">
        <w:rPr>
          <w:rFonts w:ascii="Garamond" w:hAnsi="Garamond"/>
        </w:rPr>
        <w:t>Thus the Union of South Africa has become a testing ground for the willingness of the whites of this world to make an end of racial discrimination which has led to so many excesses in the han</w:t>
      </w:r>
      <w:r>
        <w:rPr>
          <w:rFonts w:ascii="Garamond" w:hAnsi="Garamond"/>
        </w:rPr>
        <w:t>ds of white groups. (1960: 154)</w:t>
      </w:r>
    </w:p>
    <w:p w:rsidR="00BA0F0B" w:rsidRPr="00907189" w:rsidRDefault="00BA0F0B" w:rsidP="00F21F6B">
      <w:pPr>
        <w:spacing w:after="0" w:line="360" w:lineRule="auto"/>
        <w:ind w:left="284" w:right="284"/>
        <w:jc w:val="both"/>
        <w:rPr>
          <w:rFonts w:ascii="Garamond" w:hAnsi="Garamond"/>
        </w:rPr>
      </w:pPr>
    </w:p>
    <w:p w:rsidR="005D7559" w:rsidRDefault="00BA0F0B" w:rsidP="005D7559">
      <w:pPr>
        <w:tabs>
          <w:tab w:val="left" w:pos="576"/>
        </w:tabs>
        <w:spacing w:after="0" w:line="360" w:lineRule="auto"/>
        <w:jc w:val="both"/>
        <w:rPr>
          <w:rFonts w:ascii="Garamond" w:hAnsi="Garamond"/>
          <w:sz w:val="24"/>
          <w:szCs w:val="24"/>
        </w:rPr>
      </w:pPr>
      <w:r w:rsidRPr="00907189">
        <w:rPr>
          <w:rFonts w:ascii="Garamond" w:hAnsi="Garamond"/>
          <w:sz w:val="24"/>
          <w:szCs w:val="24"/>
        </w:rPr>
        <w:t xml:space="preserve">When the Outspan boycott was launched in 1972, Holland was committed to a policy of dialogue with the apartheid regime (Grundy, 1974). Economic and cultural shunning and </w:t>
      </w:r>
      <w:r w:rsidRPr="00907189">
        <w:rPr>
          <w:rFonts w:ascii="Garamond" w:hAnsi="Garamond"/>
          <w:sz w:val="24"/>
          <w:szCs w:val="24"/>
        </w:rPr>
        <w:lastRenderedPageBreak/>
        <w:t>isolationist politics were dismissed by the Dutch government because of the ‘blood –ties’ between the two countries (blood-ties that the BOA parodied in their bloodied imagery).</w:t>
      </w:r>
      <w:r>
        <w:rPr>
          <w:rFonts w:ascii="Times New Roman" w:hAnsi="Times New Roman"/>
          <w:sz w:val="24"/>
          <w:szCs w:val="24"/>
        </w:rPr>
        <w:t xml:space="preserve"> </w:t>
      </w:r>
      <w:r w:rsidRPr="00907189">
        <w:rPr>
          <w:rFonts w:ascii="Garamond" w:hAnsi="Garamond"/>
          <w:sz w:val="24"/>
          <w:szCs w:val="24"/>
        </w:rPr>
        <w:t>South Africa was treated by Dutch diplomats and politicians as the prodigal son-in-making, in need of reigning in and forgiveness. It had become fashiona</w:t>
      </w:r>
      <w:r>
        <w:rPr>
          <w:rFonts w:ascii="Garamond" w:hAnsi="Garamond"/>
          <w:sz w:val="24"/>
          <w:szCs w:val="24"/>
        </w:rPr>
        <w:t>ble to criticiz</w:t>
      </w:r>
      <w:r w:rsidRPr="00907189">
        <w:rPr>
          <w:rFonts w:ascii="Garamond" w:hAnsi="Garamond"/>
          <w:sz w:val="24"/>
          <w:szCs w:val="24"/>
        </w:rPr>
        <w:t xml:space="preserve">e apartheid in intellectual circles and yet to counsel patience for Dutch geopolitical dialogue to work (ibid., 1974). </w:t>
      </w:r>
      <w:r w:rsidRPr="00907189">
        <w:rPr>
          <w:rFonts w:ascii="Garamond" w:eastAsia="Times New Roman" w:hAnsi="Garamond"/>
          <w:sz w:val="24"/>
          <w:szCs w:val="24"/>
          <w:lang w:eastAsia="en-GB"/>
        </w:rPr>
        <w:t>The</w:t>
      </w:r>
      <w:r w:rsidRPr="00907189">
        <w:rPr>
          <w:rFonts w:ascii="Garamond" w:hAnsi="Garamond"/>
          <w:sz w:val="24"/>
          <w:szCs w:val="24"/>
        </w:rPr>
        <w:t xml:space="preserve"> BOA dismissed this process as fruitless. The paternal Dutch state, the organization argued, was part of the problem. European nations were complicit in the production of </w:t>
      </w:r>
      <w:r w:rsidR="00F07857">
        <w:rPr>
          <w:rFonts w:ascii="Garamond" w:hAnsi="Garamond"/>
          <w:sz w:val="24"/>
          <w:szCs w:val="24"/>
        </w:rPr>
        <w:t>white supremacy. In du Plessis’</w:t>
      </w:r>
      <w:r w:rsidRPr="00907189">
        <w:rPr>
          <w:rFonts w:ascii="Garamond" w:hAnsi="Garamond"/>
          <w:sz w:val="24"/>
          <w:szCs w:val="24"/>
        </w:rPr>
        <w:t xml:space="preserve"> 2009 report of the BOA he quotes from the anti-apartheid Methodist minister, Cedric Mayson. As a young adult du Plessis attended Mayson’s congregation in the Eastern Cape town, Ma</w:t>
      </w:r>
      <w:r>
        <w:rPr>
          <w:rFonts w:ascii="Garamond" w:hAnsi="Garamond"/>
          <w:sz w:val="24"/>
          <w:szCs w:val="24"/>
        </w:rPr>
        <w:t>clear; the two activists have remained friends since.</w:t>
      </w:r>
      <w:r w:rsidRPr="00907189">
        <w:rPr>
          <w:rFonts w:ascii="Garamond" w:hAnsi="Garamond"/>
          <w:sz w:val="24"/>
          <w:szCs w:val="24"/>
        </w:rPr>
        <w:t xml:space="preserve"> In </w:t>
      </w:r>
      <w:r w:rsidRPr="00907189">
        <w:rPr>
          <w:rFonts w:ascii="Garamond" w:hAnsi="Garamond"/>
          <w:i/>
          <w:sz w:val="24"/>
          <w:szCs w:val="24"/>
        </w:rPr>
        <w:t xml:space="preserve">A Certain Sound </w:t>
      </w:r>
      <w:r w:rsidRPr="00907189">
        <w:rPr>
          <w:rFonts w:ascii="Garamond" w:hAnsi="Garamond"/>
          <w:sz w:val="24"/>
          <w:szCs w:val="24"/>
        </w:rPr>
        <w:t xml:space="preserve">Mayson places apartheid </w:t>
      </w:r>
      <w:r>
        <w:rPr>
          <w:rFonts w:ascii="Garamond" w:hAnsi="Garamond"/>
          <w:sz w:val="24"/>
          <w:szCs w:val="24"/>
        </w:rPr>
        <w:t>at the heart of European civiliz</w:t>
      </w:r>
      <w:r w:rsidRPr="00907189">
        <w:rPr>
          <w:rFonts w:ascii="Garamond" w:hAnsi="Garamond"/>
          <w:sz w:val="24"/>
          <w:szCs w:val="24"/>
        </w:rPr>
        <w:t>ation:</w:t>
      </w:r>
    </w:p>
    <w:p w:rsidR="00BA0F0B" w:rsidRPr="00907189" w:rsidRDefault="00BA0F0B" w:rsidP="005D7559">
      <w:pPr>
        <w:tabs>
          <w:tab w:val="left" w:pos="576"/>
        </w:tabs>
        <w:spacing w:after="0" w:line="360" w:lineRule="auto"/>
        <w:jc w:val="both"/>
        <w:rPr>
          <w:rFonts w:ascii="Garamond" w:eastAsia="Times New Roman" w:hAnsi="Garamond"/>
          <w:sz w:val="24"/>
          <w:szCs w:val="24"/>
          <w:lang w:eastAsia="en-GB"/>
        </w:rPr>
      </w:pPr>
    </w:p>
    <w:p w:rsidR="005D7559" w:rsidRDefault="00BA0F0B" w:rsidP="005D7559">
      <w:pPr>
        <w:spacing w:after="0" w:line="360" w:lineRule="auto"/>
        <w:ind w:left="284" w:right="284"/>
        <w:jc w:val="both"/>
        <w:rPr>
          <w:rFonts w:ascii="Garamond" w:hAnsi="Garamond"/>
        </w:rPr>
      </w:pPr>
      <w:r w:rsidRPr="00907189">
        <w:rPr>
          <w:rFonts w:ascii="Garamond" w:hAnsi="Garamond"/>
        </w:rPr>
        <w:t>Apartheid is not a different type of civilization from the West but is the hard refined cutting edge of it. Apartheid is not a blot on Western civilization but the heart of it. Apartheid is the eye-piece through which you can see the whole, a microcosm, a revelation of what Western civilization is really about! (</w:t>
      </w:r>
      <w:r w:rsidRPr="00907189">
        <w:rPr>
          <w:rFonts w:ascii="Garamond" w:hAnsi="Garamond"/>
          <w:iCs/>
        </w:rPr>
        <w:t>Mayson,</w:t>
      </w:r>
      <w:r w:rsidRPr="00907189">
        <w:rPr>
          <w:rFonts w:ascii="Garamond" w:hAnsi="Garamond"/>
        </w:rPr>
        <w:t xml:space="preserve"> 1984: 137)</w:t>
      </w:r>
    </w:p>
    <w:p w:rsidR="00BA0F0B" w:rsidRPr="00907189" w:rsidRDefault="00BA0F0B" w:rsidP="005D7559">
      <w:pPr>
        <w:spacing w:after="0" w:line="360" w:lineRule="auto"/>
        <w:ind w:left="284" w:right="284"/>
        <w:jc w:val="both"/>
        <w:rPr>
          <w:rFonts w:ascii="Garamond" w:hAnsi="Garamond"/>
          <w:i/>
          <w:sz w:val="24"/>
          <w:szCs w:val="24"/>
        </w:rPr>
      </w:pPr>
    </w:p>
    <w:p w:rsidR="005D7559" w:rsidRDefault="00BA0F0B" w:rsidP="005D7559">
      <w:pPr>
        <w:spacing w:after="0" w:line="360" w:lineRule="auto"/>
        <w:jc w:val="both"/>
        <w:rPr>
          <w:rFonts w:ascii="Garamond" w:hAnsi="Garamond"/>
          <w:sz w:val="24"/>
          <w:szCs w:val="24"/>
        </w:rPr>
      </w:pPr>
      <w:r w:rsidRPr="00907189">
        <w:rPr>
          <w:rFonts w:ascii="Garamond" w:hAnsi="Garamond"/>
          <w:sz w:val="24"/>
          <w:szCs w:val="24"/>
        </w:rPr>
        <w:t>During the 1980s Mayson became a close associate and spokesperson for the BOA. Mayson and Roskam before him, positioned apartheid as a derivative of European racism that required acknowledgement from white people. The anti-apartheid task at hand was to engage white people, to provide them with a stake in antiracism, and to “bring them inside the antiracist project” (Bonnett, 2000: 141).</w:t>
      </w:r>
    </w:p>
    <w:p w:rsidR="005D7559" w:rsidRDefault="005D7559" w:rsidP="005D7559">
      <w:pPr>
        <w:spacing w:after="0" w:line="360" w:lineRule="auto"/>
        <w:jc w:val="both"/>
        <w:rPr>
          <w:rFonts w:ascii="Garamond" w:hAnsi="Garamond"/>
          <w:sz w:val="24"/>
          <w:szCs w:val="24"/>
        </w:rPr>
      </w:pPr>
    </w:p>
    <w:p w:rsidR="005D7559" w:rsidRPr="0047048E" w:rsidRDefault="00BA0F0B" w:rsidP="005D7559">
      <w:pPr>
        <w:spacing w:after="0" w:line="360" w:lineRule="auto"/>
        <w:jc w:val="both"/>
        <w:rPr>
          <w:rFonts w:ascii="Garamond" w:hAnsi="Garamond"/>
          <w:b/>
          <w:i/>
          <w:szCs w:val="24"/>
        </w:rPr>
      </w:pPr>
      <w:r w:rsidRPr="0047048E">
        <w:rPr>
          <w:rFonts w:ascii="Garamond" w:hAnsi="Garamond"/>
          <w:b/>
          <w:i/>
          <w:szCs w:val="24"/>
        </w:rPr>
        <w:t>Non-violent direct action and solidarity</w:t>
      </w:r>
    </w:p>
    <w:p w:rsidR="00BA0F0B" w:rsidRPr="005D7559" w:rsidRDefault="00BA0F0B" w:rsidP="005D7559">
      <w:pPr>
        <w:spacing w:after="0" w:line="360" w:lineRule="auto"/>
        <w:jc w:val="both"/>
        <w:rPr>
          <w:rFonts w:ascii="Garamond" w:hAnsi="Garamond"/>
          <w:sz w:val="24"/>
          <w:szCs w:val="24"/>
        </w:rPr>
      </w:pPr>
    </w:p>
    <w:p w:rsidR="00BA0F0B" w:rsidRPr="00907189" w:rsidRDefault="00BA0F0B" w:rsidP="005D7559">
      <w:pPr>
        <w:spacing w:after="0" w:line="360" w:lineRule="auto"/>
        <w:ind w:left="284" w:right="284"/>
        <w:jc w:val="both"/>
        <w:rPr>
          <w:rFonts w:ascii="Garamond" w:hAnsi="Garamond"/>
        </w:rPr>
      </w:pPr>
      <w:r w:rsidRPr="00907189">
        <w:rPr>
          <w:rFonts w:ascii="Garamond" w:hAnsi="Garamond"/>
        </w:rPr>
        <w:t>The great reform, as you can see, can be achieved without shedding a drop of blood, without violence, without breaking the law</w:t>
      </w:r>
      <w:r>
        <w:rPr>
          <w:rFonts w:ascii="Garamond" w:hAnsi="Garamond"/>
        </w:rPr>
        <w:t>. (Redpath</w:t>
      </w:r>
      <w:r w:rsidRPr="00907189">
        <w:rPr>
          <w:rFonts w:ascii="Garamond" w:hAnsi="Garamond"/>
        </w:rPr>
        <w:t xml:space="preserve"> 1882</w:t>
      </w:r>
      <w:r>
        <w:rPr>
          <w:rFonts w:ascii="Garamond" w:hAnsi="Garamond"/>
        </w:rPr>
        <w:t>,</w:t>
      </w:r>
      <w:r w:rsidRPr="00907189">
        <w:rPr>
          <w:rFonts w:ascii="Garamond" w:hAnsi="Garamond"/>
        </w:rPr>
        <w:t xml:space="preserve"> in Smith 1990</w:t>
      </w:r>
      <w:r>
        <w:rPr>
          <w:rFonts w:ascii="Garamond" w:hAnsi="Garamond"/>
        </w:rPr>
        <w:t>: 134)</w:t>
      </w:r>
    </w:p>
    <w:p w:rsidR="005D7559" w:rsidRDefault="005D7559" w:rsidP="005D7559">
      <w:pPr>
        <w:spacing w:after="0" w:line="360" w:lineRule="auto"/>
        <w:jc w:val="both"/>
        <w:rPr>
          <w:rFonts w:ascii="Garamond" w:hAnsi="Garamond"/>
          <w:sz w:val="24"/>
          <w:szCs w:val="24"/>
        </w:rPr>
      </w:pPr>
    </w:p>
    <w:p w:rsidR="0047048E" w:rsidRDefault="00BA0F0B" w:rsidP="005D7559">
      <w:pPr>
        <w:spacing w:after="0" w:line="360" w:lineRule="auto"/>
        <w:jc w:val="both"/>
        <w:rPr>
          <w:rFonts w:ascii="Garamond" w:hAnsi="Garamond"/>
          <w:sz w:val="24"/>
          <w:szCs w:val="24"/>
        </w:rPr>
      </w:pPr>
      <w:r w:rsidRPr="00907189">
        <w:rPr>
          <w:rFonts w:ascii="Garamond" w:hAnsi="Garamond"/>
          <w:sz w:val="24"/>
          <w:szCs w:val="24"/>
        </w:rPr>
        <w:t>Du Plessis and Roskam believed that for Europeans to feel truly implicated in apartheid, a vehicle was needed to contest the t</w:t>
      </w:r>
      <w:r>
        <w:rPr>
          <w:rFonts w:ascii="Garamond" w:hAnsi="Garamond"/>
          <w:sz w:val="24"/>
          <w:szCs w:val="24"/>
        </w:rPr>
        <w:t>erritorializ</w:t>
      </w:r>
      <w:r w:rsidRPr="00907189">
        <w:rPr>
          <w:rFonts w:ascii="Garamond" w:hAnsi="Garamond"/>
          <w:sz w:val="24"/>
          <w:szCs w:val="24"/>
        </w:rPr>
        <w:t>ation of racism, and to carry the message to the Dutch grassroots in “concrete and tangible” (du Plessis, 2009) transactions, relationships and practices. South African Prime Minister, John Vorster provided a wonderful opportunity to this end with a poorly judged speech made during an agricultural show in Pretoria:</w:t>
      </w:r>
    </w:p>
    <w:p w:rsidR="00BA0F0B" w:rsidRPr="00907189" w:rsidRDefault="00BA0F0B" w:rsidP="005D7559">
      <w:pPr>
        <w:spacing w:after="0" w:line="360" w:lineRule="auto"/>
        <w:jc w:val="both"/>
        <w:rPr>
          <w:rFonts w:ascii="Garamond" w:hAnsi="Garamond"/>
          <w:sz w:val="24"/>
          <w:szCs w:val="24"/>
        </w:rPr>
      </w:pPr>
    </w:p>
    <w:p w:rsidR="005D7559" w:rsidRDefault="00BA0F0B" w:rsidP="005D7559">
      <w:pPr>
        <w:spacing w:after="0" w:line="360" w:lineRule="auto"/>
        <w:ind w:left="284" w:right="284"/>
        <w:jc w:val="both"/>
        <w:rPr>
          <w:rFonts w:ascii="Garamond" w:hAnsi="Garamond"/>
        </w:rPr>
      </w:pPr>
      <w:r w:rsidRPr="00907189">
        <w:rPr>
          <w:rFonts w:ascii="Garamond" w:hAnsi="Garamond"/>
        </w:rPr>
        <w:lastRenderedPageBreak/>
        <w:t>Each trade agreement, each product bought, each bank loan, each new investment is another</w:t>
      </w:r>
      <w:r w:rsidRPr="00907189">
        <w:rPr>
          <w:rFonts w:ascii="Garamond" w:hAnsi="Garamond"/>
          <w:i/>
        </w:rPr>
        <w:t xml:space="preserve"> </w:t>
      </w:r>
      <w:r w:rsidRPr="00907189">
        <w:rPr>
          <w:rStyle w:val="Emphasis"/>
          <w:rFonts w:ascii="Garamond" w:hAnsi="Garamond"/>
          <w:i w:val="0"/>
        </w:rPr>
        <w:t>brick</w:t>
      </w:r>
      <w:r w:rsidRPr="00907189">
        <w:rPr>
          <w:rFonts w:ascii="Garamond" w:hAnsi="Garamond"/>
          <w:i/>
        </w:rPr>
        <w:t xml:space="preserve"> in the </w:t>
      </w:r>
      <w:r w:rsidRPr="00907189">
        <w:rPr>
          <w:rStyle w:val="Emphasis"/>
          <w:rFonts w:ascii="Garamond" w:hAnsi="Garamond"/>
          <w:i w:val="0"/>
        </w:rPr>
        <w:t>wall of our continued existence.</w:t>
      </w:r>
      <w:r w:rsidRPr="00907189">
        <w:rPr>
          <w:rFonts w:ascii="Garamond" w:hAnsi="Garamond"/>
          <w:i/>
        </w:rPr>
        <w:t xml:space="preserve"> </w:t>
      </w:r>
      <w:r w:rsidRPr="00907189">
        <w:rPr>
          <w:rFonts w:ascii="Garamond" w:hAnsi="Garamond"/>
        </w:rPr>
        <w:t xml:space="preserve">(Vorster in the </w:t>
      </w:r>
      <w:r w:rsidRPr="00907189">
        <w:rPr>
          <w:rFonts w:ascii="Garamond" w:hAnsi="Garamond"/>
          <w:i/>
        </w:rPr>
        <w:t>Johannesburg Star</w:t>
      </w:r>
      <w:r w:rsidRPr="00907189">
        <w:rPr>
          <w:rFonts w:ascii="Garamond" w:hAnsi="Garamond"/>
        </w:rPr>
        <w:t xml:space="preserve"> 26.8.72)</w:t>
      </w:r>
    </w:p>
    <w:p w:rsidR="00BA0F0B" w:rsidRPr="00907189" w:rsidRDefault="00BA0F0B" w:rsidP="005D7559">
      <w:pPr>
        <w:spacing w:after="0" w:line="360" w:lineRule="auto"/>
        <w:ind w:left="284" w:right="284"/>
        <w:jc w:val="both"/>
        <w:rPr>
          <w:rFonts w:ascii="Garamond" w:hAnsi="Garamond"/>
          <w:i/>
        </w:rPr>
      </w:pPr>
    </w:p>
    <w:p w:rsidR="00B61BF5" w:rsidRDefault="00BA0F0B" w:rsidP="005D7559">
      <w:pPr>
        <w:spacing w:after="0" w:line="360" w:lineRule="auto"/>
        <w:jc w:val="both"/>
        <w:rPr>
          <w:rFonts w:ascii="Garamond" w:hAnsi="Garamond"/>
          <w:sz w:val="24"/>
          <w:szCs w:val="24"/>
        </w:rPr>
      </w:pPr>
      <w:r w:rsidRPr="00907189">
        <w:rPr>
          <w:rFonts w:ascii="Garamond" w:hAnsi="Garamond"/>
          <w:sz w:val="24"/>
          <w:szCs w:val="24"/>
        </w:rPr>
        <w:t xml:space="preserve">The title of the BOA’s 1972 handbook, </w:t>
      </w:r>
      <w:r w:rsidRPr="00907189">
        <w:rPr>
          <w:rFonts w:ascii="Garamond" w:hAnsi="Garamond"/>
          <w:i/>
          <w:sz w:val="24"/>
          <w:szCs w:val="24"/>
        </w:rPr>
        <w:t>Outspan: Bouwstenen voor Apartheid</w:t>
      </w:r>
      <w:r w:rsidRPr="00907189">
        <w:rPr>
          <w:rFonts w:ascii="Garamond" w:hAnsi="Garamond"/>
          <w:sz w:val="24"/>
          <w:szCs w:val="24"/>
        </w:rPr>
        <w:t xml:space="preserve"> (</w:t>
      </w:r>
      <w:r>
        <w:rPr>
          <w:rFonts w:ascii="Garamond" w:hAnsi="Garamond"/>
          <w:i/>
          <w:sz w:val="24"/>
          <w:szCs w:val="24"/>
        </w:rPr>
        <w:t>Outspan:</w:t>
      </w:r>
      <w:r w:rsidRPr="00907189">
        <w:rPr>
          <w:rFonts w:ascii="Garamond" w:hAnsi="Garamond"/>
          <w:i/>
          <w:sz w:val="24"/>
          <w:szCs w:val="24"/>
        </w:rPr>
        <w:t xml:space="preserve"> Building Blocks for Apartheid</w:t>
      </w:r>
      <w:r w:rsidRPr="00907189">
        <w:rPr>
          <w:rFonts w:ascii="Garamond" w:hAnsi="Garamond"/>
          <w:sz w:val="24"/>
          <w:szCs w:val="24"/>
        </w:rPr>
        <w:t xml:space="preserve">), humorously </w:t>
      </w:r>
      <w:r w:rsidRPr="00907189">
        <w:rPr>
          <w:rFonts w:ascii="Garamond" w:hAnsi="Garamond"/>
          <w:iCs/>
          <w:sz w:val="24"/>
          <w:szCs w:val="24"/>
        </w:rPr>
        <w:t>détourned</w:t>
      </w:r>
      <w:r w:rsidRPr="00907189">
        <w:rPr>
          <w:rFonts w:ascii="Garamond" w:hAnsi="Garamond"/>
          <w:sz w:val="24"/>
          <w:szCs w:val="24"/>
        </w:rPr>
        <w:t xml:space="preserve"> Vorster's persuasive message. The title also implies that Outspan was one of many ‘building blocks’ (European capital, white migration, normative racisms) that could be boycotted, subverted or re-imagined from outside South Africa.  In the BOA's case, activist politics over the transnational materializations of apartheid presupposed a commitment to non-violence, and solidarity with actions which were already taking place in South Africa:</w:t>
      </w:r>
    </w:p>
    <w:p w:rsidR="00BA0F0B" w:rsidRPr="00907189" w:rsidRDefault="00BA0F0B" w:rsidP="005D7559">
      <w:pPr>
        <w:spacing w:after="0" w:line="360" w:lineRule="auto"/>
        <w:jc w:val="both"/>
        <w:rPr>
          <w:rFonts w:ascii="Garamond" w:hAnsi="Garamond"/>
          <w:sz w:val="24"/>
          <w:szCs w:val="24"/>
        </w:rPr>
      </w:pPr>
    </w:p>
    <w:p w:rsidR="00B61BF5" w:rsidRDefault="00BA0F0B" w:rsidP="00B61BF5">
      <w:pPr>
        <w:spacing w:after="0" w:line="360" w:lineRule="auto"/>
        <w:ind w:left="284" w:right="284"/>
        <w:jc w:val="both"/>
        <w:rPr>
          <w:rFonts w:ascii="Garamond" w:hAnsi="Garamond"/>
        </w:rPr>
      </w:pPr>
      <w:r w:rsidRPr="00907189">
        <w:rPr>
          <w:rFonts w:ascii="Garamond" w:hAnsi="Garamond"/>
        </w:rPr>
        <w:t xml:space="preserve">I did it [non-violence], because that was traditional to the resistance long before 1948, you know. Mahatma Ghandi, went to South Africa as a lawyer, and he practiced non-violence and was thrown in jail for it because he was sitting in a carriage meant for white people. And the ANC under Luthuli actually got the Nobel peace prize in 1960 and called for a global boycott of the apartheid regime. We always operated in Europe in line with what was happening in South Africa. We drew our strength from their boycotts, their strikes and from their pickets. We got moral support from their actions which were more serious, they bore the brunt of apartheid. We took solidarity seriously; we had a SACTU person in all our meetings from 1973, we had Trevor Phillips for the BOA Congress. In the urban campaigns we had a SACTU Secretary General or President with us </w:t>
      </w:r>
      <w:r>
        <w:rPr>
          <w:rFonts w:ascii="Garamond" w:hAnsi="Garamond"/>
        </w:rPr>
        <w:t>at different times.</w:t>
      </w:r>
      <w:r w:rsidRPr="00907189">
        <w:rPr>
          <w:rFonts w:ascii="Garamond" w:hAnsi="Garamond"/>
        </w:rPr>
        <w:t xml:space="preserve"> (interview du Plessis, 2011)</w:t>
      </w:r>
    </w:p>
    <w:p w:rsidR="00BA0F0B" w:rsidRPr="00B61BF5" w:rsidRDefault="00BA0F0B" w:rsidP="00B61BF5">
      <w:pPr>
        <w:spacing w:after="0" w:line="360" w:lineRule="auto"/>
        <w:ind w:left="284" w:right="284"/>
        <w:jc w:val="both"/>
        <w:rPr>
          <w:rFonts w:ascii="Garamond" w:hAnsi="Garamond"/>
        </w:rPr>
      </w:pPr>
    </w:p>
    <w:p w:rsidR="00B61BF5" w:rsidRDefault="00D27824" w:rsidP="00B61BF5">
      <w:pPr>
        <w:spacing w:after="0" w:line="360" w:lineRule="auto"/>
        <w:jc w:val="both"/>
        <w:rPr>
          <w:rFonts w:ascii="Garamond" w:hAnsi="Garamond"/>
          <w:sz w:val="24"/>
          <w:szCs w:val="24"/>
        </w:rPr>
      </w:pPr>
      <w:r>
        <w:rPr>
          <w:rFonts w:ascii="Garamond" w:hAnsi="Garamond"/>
          <w:sz w:val="24"/>
          <w:szCs w:val="24"/>
        </w:rPr>
        <w:t>Håkan Thörn describes</w:t>
      </w:r>
      <w:r w:rsidR="00BA0F0B" w:rsidRPr="00907189">
        <w:rPr>
          <w:rFonts w:ascii="Garamond" w:hAnsi="Garamond"/>
          <w:sz w:val="24"/>
          <w:szCs w:val="24"/>
        </w:rPr>
        <w:t xml:space="preserve"> anti-apartheid solidarity as “the unconditional support to a group of people who struggle for their rights in a distant place” (Thörn, 2009: 207). What happens when those distant places are brought near? BOA Solidarity was constructed through relationships with South Africans in South Africa, with exiled transnational anti-apartheid and anti-colonialist activists, and with proximate institutions and organizations over antiracism. The basis of the multiple solidarities was the belief that reform was required in South Africa and Holland:</w:t>
      </w:r>
    </w:p>
    <w:p w:rsidR="00BA0F0B" w:rsidRPr="00907189" w:rsidRDefault="00BA0F0B" w:rsidP="00B61BF5">
      <w:pPr>
        <w:spacing w:after="0" w:line="360" w:lineRule="auto"/>
        <w:jc w:val="both"/>
        <w:rPr>
          <w:rFonts w:ascii="Garamond" w:hAnsi="Garamond"/>
          <w:sz w:val="24"/>
          <w:szCs w:val="24"/>
        </w:rPr>
      </w:pPr>
    </w:p>
    <w:p w:rsidR="0047048E" w:rsidRDefault="00BA0F0B" w:rsidP="00B61BF5">
      <w:pPr>
        <w:spacing w:after="0" w:line="360" w:lineRule="auto"/>
        <w:ind w:left="284" w:right="284"/>
        <w:jc w:val="both"/>
        <w:rPr>
          <w:rFonts w:ascii="Garamond" w:hAnsi="Garamond"/>
        </w:rPr>
      </w:pPr>
      <w:r w:rsidRPr="0018583B">
        <w:rPr>
          <w:rFonts w:ascii="Garamond" w:hAnsi="Garamond"/>
        </w:rPr>
        <w:t>The important theme in all our work has been to make a connection between the South African question and the Dutch situation...the oppressive cultures in South Africa are largely similar to those in The Netherlands. Of course the situation in South Africa is much more blunt and extreme...whereas the situation in this country is much more subtle and sophisticated. (du Plessis, 1988:2)</w:t>
      </w:r>
    </w:p>
    <w:p w:rsidR="00BA0F0B" w:rsidRPr="0018583B" w:rsidRDefault="00BA0F0B" w:rsidP="00B61BF5">
      <w:pPr>
        <w:spacing w:after="0" w:line="360" w:lineRule="auto"/>
        <w:ind w:left="284" w:right="284"/>
        <w:jc w:val="both"/>
        <w:rPr>
          <w:rFonts w:ascii="Garamond" w:hAnsi="Garamond"/>
        </w:rPr>
      </w:pPr>
    </w:p>
    <w:p w:rsidR="00BA0F0B" w:rsidRPr="00A304E4" w:rsidRDefault="00BA0F0B" w:rsidP="00B61BF5">
      <w:pPr>
        <w:spacing w:after="0" w:line="360" w:lineRule="auto"/>
        <w:jc w:val="both"/>
        <w:rPr>
          <w:rFonts w:ascii="Garamond" w:hAnsi="Garamond"/>
          <w:sz w:val="24"/>
          <w:szCs w:val="24"/>
        </w:rPr>
      </w:pPr>
      <w:r w:rsidRPr="00907189">
        <w:rPr>
          <w:rFonts w:ascii="Garamond" w:hAnsi="Garamond"/>
          <w:sz w:val="24"/>
          <w:szCs w:val="24"/>
        </w:rPr>
        <w:t xml:space="preserve"> The BOA encouraged solidarity against racis</w:t>
      </w:r>
      <w:r w:rsidR="00863240">
        <w:rPr>
          <w:rFonts w:ascii="Garamond" w:hAnsi="Garamond"/>
          <w:sz w:val="24"/>
          <w:szCs w:val="24"/>
        </w:rPr>
        <w:t>m in proximate places. Chapter S</w:t>
      </w:r>
      <w:r w:rsidRPr="00907189">
        <w:rPr>
          <w:rFonts w:ascii="Garamond" w:hAnsi="Garamond"/>
          <w:sz w:val="24"/>
          <w:szCs w:val="24"/>
        </w:rPr>
        <w:t xml:space="preserve">even forwards a detailed discussion of the 'home front', solidarity and antiracism. </w:t>
      </w:r>
    </w:p>
    <w:p w:rsidR="00A304E4" w:rsidRDefault="00A304E4" w:rsidP="00A304E4">
      <w:pPr>
        <w:pStyle w:val="Caption"/>
      </w:pPr>
    </w:p>
    <w:p w:rsidR="00A304E4" w:rsidRDefault="00A304E4" w:rsidP="00A304E4">
      <w:pPr>
        <w:pStyle w:val="Caption"/>
        <w:jc w:val="center"/>
      </w:pPr>
      <w:r w:rsidRPr="00A304E4">
        <w:rPr>
          <w:noProof/>
          <w:lang w:eastAsia="en-GB"/>
        </w:rPr>
        <w:drawing>
          <wp:inline distT="0" distB="0" distL="0" distR="0">
            <wp:extent cx="4318000" cy="3151335"/>
            <wp:effectExtent l="19050" t="0" r="6350" b="0"/>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4313405" cy="3147981"/>
                    </a:xfrm>
                    <a:prstGeom prst="rect">
                      <a:avLst/>
                    </a:prstGeom>
                    <a:noFill/>
                    <a:ln w="9525">
                      <a:noFill/>
                      <a:miter lim="800000"/>
                      <a:headEnd/>
                      <a:tailEnd/>
                    </a:ln>
                  </pic:spPr>
                </pic:pic>
              </a:graphicData>
            </a:graphic>
          </wp:inline>
        </w:drawing>
      </w:r>
    </w:p>
    <w:p w:rsidR="001A482E" w:rsidRDefault="00A96BB2" w:rsidP="001A482E">
      <w:pPr>
        <w:pStyle w:val="Caption"/>
        <w:ind w:left="709" w:right="645"/>
        <w:rPr>
          <w:rFonts w:ascii="Perpetua" w:hAnsi="Perpetua"/>
          <w:b w:val="0"/>
          <w:color w:val="auto"/>
          <w:sz w:val="20"/>
        </w:rPr>
      </w:pPr>
      <w:bookmarkStart w:id="381" w:name="_Toc263509018"/>
      <w:bookmarkStart w:id="382" w:name="_Toc263510805"/>
      <w:bookmarkStart w:id="383" w:name="_Toc244508221"/>
      <w:bookmarkStart w:id="384" w:name="_Toc244577283"/>
      <w:bookmarkStart w:id="385" w:name="_Toc263495752"/>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21</w:t>
      </w:r>
      <w:r w:rsidR="00DF2DF8" w:rsidRPr="00A96BB2">
        <w:rPr>
          <w:rFonts w:ascii="Perpetua" w:hAnsi="Perpetua"/>
          <w:b w:val="0"/>
          <w:color w:val="auto"/>
          <w:sz w:val="20"/>
        </w:rPr>
        <w:fldChar w:fldCharType="end"/>
      </w:r>
      <w:r w:rsidRPr="00A96BB2">
        <w:rPr>
          <w:rFonts w:ascii="Perpetua" w:hAnsi="Perpetua"/>
          <w:b w:val="0"/>
          <w:color w:val="auto"/>
          <w:sz w:val="20"/>
        </w:rPr>
        <w:t>: Photograph of anti-apartheid march in Amsterdam, 1964.</w:t>
      </w:r>
      <w:bookmarkEnd w:id="381"/>
      <w:bookmarkEnd w:id="382"/>
    </w:p>
    <w:p w:rsidR="00BA0F0B" w:rsidRPr="001A482E" w:rsidRDefault="00A96BB2" w:rsidP="001A482E">
      <w:pPr>
        <w:ind w:left="709"/>
        <w:rPr>
          <w:rFonts w:ascii="Perpetua" w:hAnsi="Perpetua"/>
          <w:sz w:val="20"/>
        </w:rPr>
      </w:pPr>
      <w:r w:rsidRPr="001A482E">
        <w:rPr>
          <w:rFonts w:ascii="Perpetua" w:hAnsi="Perpetua"/>
          <w:sz w:val="20"/>
        </w:rPr>
        <w:t>The march was</w:t>
      </w:r>
      <w:r w:rsidR="00A304E4" w:rsidRPr="001A482E">
        <w:rPr>
          <w:rFonts w:ascii="Perpetua" w:hAnsi="Perpetua"/>
          <w:sz w:val="20"/>
        </w:rPr>
        <w:t xml:space="preserve"> organized by the Protestactie Comité Zuid-Afrika. The placard on the left shows a popular AAM image of the Sharpeville massacre (1960) - see chapter six for further discussion. The placard on the right reads "Against Apartheid: do not buy Outspan Oranges". (E. v., &amp; Nederlands Instituut voor Zuidelijk Afrika, Amsterdam). Courtesy of the IISH, Amsterdam.</w:t>
      </w:r>
      <w:bookmarkEnd w:id="383"/>
      <w:bookmarkEnd w:id="384"/>
      <w:bookmarkEnd w:id="385"/>
    </w:p>
    <w:p w:rsidR="00BA0F0B" w:rsidRDefault="00BA0F0B" w:rsidP="00BA0F0B">
      <w:pPr>
        <w:spacing w:line="360" w:lineRule="auto"/>
        <w:jc w:val="both"/>
        <w:rPr>
          <w:rFonts w:ascii="Garamond" w:hAnsi="Garamond"/>
          <w:b/>
          <w:sz w:val="24"/>
          <w:szCs w:val="24"/>
        </w:rPr>
      </w:pPr>
    </w:p>
    <w:p w:rsidR="00B61BF5" w:rsidRDefault="00BA0F0B" w:rsidP="00D57889">
      <w:pPr>
        <w:pStyle w:val="Heading2"/>
      </w:pPr>
      <w:bookmarkStart w:id="386" w:name="_Toc244469601"/>
      <w:bookmarkStart w:id="387" w:name="_Toc244508057"/>
      <w:bookmarkStart w:id="388" w:name="_Toc244535751"/>
      <w:bookmarkStart w:id="389" w:name="_Toc244578383"/>
      <w:bookmarkStart w:id="390" w:name="_Toc244578767"/>
      <w:bookmarkStart w:id="391" w:name="_Toc263452018"/>
      <w:bookmarkStart w:id="392" w:name="_Toc263510936"/>
      <w:r w:rsidRPr="00907189">
        <w:t>Unmaking appetites for Outspan citrus</w:t>
      </w:r>
      <w:bookmarkEnd w:id="386"/>
      <w:bookmarkEnd w:id="387"/>
      <w:bookmarkEnd w:id="388"/>
      <w:bookmarkEnd w:id="389"/>
      <w:bookmarkEnd w:id="390"/>
      <w:bookmarkEnd w:id="391"/>
      <w:bookmarkEnd w:id="392"/>
    </w:p>
    <w:p w:rsidR="00BA0F0B" w:rsidRPr="00907189" w:rsidRDefault="00BA0F0B" w:rsidP="00B61BF5">
      <w:pPr>
        <w:spacing w:after="0" w:line="360" w:lineRule="auto"/>
        <w:jc w:val="both"/>
        <w:rPr>
          <w:rFonts w:ascii="Garamond" w:hAnsi="Garamond"/>
          <w:sz w:val="24"/>
          <w:szCs w:val="24"/>
        </w:rPr>
      </w:pPr>
    </w:p>
    <w:p w:rsidR="00B61BF5" w:rsidRDefault="00BA0F0B" w:rsidP="00B61BF5">
      <w:pPr>
        <w:spacing w:after="0" w:line="360" w:lineRule="auto"/>
        <w:jc w:val="both"/>
        <w:rPr>
          <w:rFonts w:ascii="Garamond" w:eastAsia="Times New Roman" w:hAnsi="Garamond"/>
          <w:sz w:val="24"/>
          <w:szCs w:val="24"/>
          <w:lang w:eastAsia="en-GB"/>
        </w:rPr>
      </w:pPr>
      <w:r w:rsidRPr="00907189">
        <w:rPr>
          <w:rFonts w:ascii="Garamond" w:hAnsi="Garamond"/>
          <w:sz w:val="24"/>
          <w:szCs w:val="24"/>
        </w:rPr>
        <w:t xml:space="preserve">Outspan, the South African citrus distribution company, presented the BOA with a golden opportunity to “satisfy a public hunger” in Holland for anti-apartheid action. The launch of the Outspan boycott followed intermittent attempts in the 1960s by the </w:t>
      </w:r>
      <w:r w:rsidRPr="00907189">
        <w:rPr>
          <w:rFonts w:ascii="Garamond" w:hAnsi="Garamond"/>
          <w:iCs/>
          <w:sz w:val="24"/>
          <w:szCs w:val="24"/>
        </w:rPr>
        <w:t>Protestactie Comité Zuid-Afrika to dissuade consumers from purchasing Outspan</w:t>
      </w:r>
      <w:r w:rsidRPr="00907189">
        <w:rPr>
          <w:rFonts w:ascii="Garamond" w:hAnsi="Garamond"/>
          <w:sz w:val="24"/>
          <w:szCs w:val="24"/>
        </w:rPr>
        <w:t>. These efforts were small-scale</w:t>
      </w:r>
      <w:r w:rsidR="00A304E4">
        <w:rPr>
          <w:rFonts w:ascii="Garamond" w:hAnsi="Garamond"/>
          <w:sz w:val="24"/>
          <w:szCs w:val="24"/>
        </w:rPr>
        <w:t xml:space="preserve"> </w:t>
      </w:r>
      <w:r w:rsidRPr="00907189">
        <w:rPr>
          <w:rFonts w:ascii="Garamond" w:hAnsi="Garamond"/>
          <w:sz w:val="24"/>
          <w:szCs w:val="24"/>
        </w:rPr>
        <w:t xml:space="preserve">and had little impact on either the sales of Outspan or the anti-apartheid movement more widely. The Outspan boycott unified the BOA’s ideological positions of non-violent action, land dispossession and labour abuse as the de-facto cause of apartheid, European complicity, and political and religious consumer pluralities. </w:t>
      </w:r>
      <w:r w:rsidRPr="00907189">
        <w:rPr>
          <w:rFonts w:ascii="Garamond" w:eastAsia="Times New Roman" w:hAnsi="Garamond"/>
          <w:sz w:val="24"/>
          <w:szCs w:val="24"/>
          <w:lang w:eastAsia="en-GB"/>
        </w:rPr>
        <w:t>In this section I argue that the BOA intervened in the ways Europeans consumed place and race through the citrus boycott. To achieve this the BOA: i) carefully applied their ideology of complicity, connectivity and action to oranges and to the Outspan company</w:t>
      </w:r>
      <w:r>
        <w:rPr>
          <w:rFonts w:ascii="Garamond" w:eastAsia="Times New Roman" w:hAnsi="Garamond"/>
          <w:sz w:val="24"/>
          <w:szCs w:val="24"/>
          <w:lang w:eastAsia="en-GB"/>
        </w:rPr>
        <w:t>;</w:t>
      </w:r>
      <w:r w:rsidRPr="00907189">
        <w:rPr>
          <w:rFonts w:ascii="Garamond" w:eastAsia="Times New Roman" w:hAnsi="Garamond"/>
          <w:sz w:val="24"/>
          <w:szCs w:val="24"/>
          <w:lang w:eastAsia="en-GB"/>
        </w:rPr>
        <w:t xml:space="preserve"> </w:t>
      </w:r>
      <w:r w:rsidRPr="00907189">
        <w:rPr>
          <w:rFonts w:ascii="Garamond" w:eastAsia="Times New Roman" w:hAnsi="Garamond"/>
          <w:sz w:val="24"/>
          <w:szCs w:val="24"/>
          <w:lang w:eastAsia="en-GB"/>
        </w:rPr>
        <w:lastRenderedPageBreak/>
        <w:t>ii) performed interventions on consumer,</w:t>
      </w:r>
      <w:r>
        <w:rPr>
          <w:rFonts w:ascii="Garamond" w:eastAsia="Times New Roman" w:hAnsi="Garamond"/>
          <w:sz w:val="24"/>
          <w:szCs w:val="24"/>
          <w:lang w:eastAsia="en-GB"/>
        </w:rPr>
        <w:t xml:space="preserve"> citrus and producer identities;</w:t>
      </w:r>
      <w:r w:rsidRPr="00907189">
        <w:rPr>
          <w:rFonts w:ascii="Garamond" w:eastAsia="Times New Roman" w:hAnsi="Garamond"/>
          <w:sz w:val="24"/>
          <w:szCs w:val="24"/>
          <w:lang w:eastAsia="en-GB"/>
        </w:rPr>
        <w:t xml:space="preserve"> iii) spoiled consumer appetites for ci</w:t>
      </w:r>
      <w:r>
        <w:rPr>
          <w:rFonts w:ascii="Garamond" w:eastAsia="Times New Roman" w:hAnsi="Garamond"/>
          <w:sz w:val="24"/>
          <w:szCs w:val="24"/>
          <w:lang w:eastAsia="en-GB"/>
        </w:rPr>
        <w:t>trus and ‘unmade food’;</w:t>
      </w:r>
      <w:r w:rsidRPr="00907189">
        <w:rPr>
          <w:rFonts w:ascii="Garamond" w:eastAsia="Times New Roman" w:hAnsi="Garamond"/>
          <w:sz w:val="24"/>
          <w:szCs w:val="24"/>
          <w:lang w:eastAsia="en-GB"/>
        </w:rPr>
        <w:t xml:space="preserve"> iv) expanded processes which de-fooded Outspan oranges across interrelated scales of the home, the local, the regional, the national, and the global (see Bell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Valentine, 1997).</w:t>
      </w:r>
    </w:p>
    <w:p w:rsidR="00B61BF5" w:rsidRDefault="00B61BF5" w:rsidP="00B61BF5">
      <w:pPr>
        <w:spacing w:after="0" w:line="360" w:lineRule="auto"/>
        <w:jc w:val="both"/>
        <w:rPr>
          <w:rFonts w:ascii="Garamond" w:eastAsia="Times New Roman" w:hAnsi="Garamond"/>
          <w:sz w:val="24"/>
          <w:szCs w:val="24"/>
          <w:lang w:eastAsia="en-GB"/>
        </w:rPr>
      </w:pPr>
    </w:p>
    <w:p w:rsidR="00A304E4" w:rsidRDefault="00A304E4" w:rsidP="00B61BF5">
      <w:pPr>
        <w:spacing w:after="0" w:line="360" w:lineRule="auto"/>
        <w:jc w:val="both"/>
        <w:rPr>
          <w:rFonts w:ascii="Garamond" w:eastAsia="Times New Roman" w:hAnsi="Garamond"/>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3540"/>
        <w:gridCol w:w="4976"/>
      </w:tblGrid>
      <w:tr w:rsidR="00A304E4">
        <w:tc>
          <w:tcPr>
            <w:tcW w:w="4258" w:type="dxa"/>
          </w:tcPr>
          <w:p w:rsidR="001A482E" w:rsidRDefault="00A96BB2" w:rsidP="00A96BB2">
            <w:pPr>
              <w:pStyle w:val="Caption"/>
              <w:rPr>
                <w:rFonts w:ascii="Perpetua" w:hAnsi="Perpetua"/>
                <w:b w:val="0"/>
                <w:iCs/>
                <w:color w:val="auto"/>
                <w:sz w:val="20"/>
              </w:rPr>
            </w:pPr>
            <w:bookmarkStart w:id="393" w:name="_Toc263509019"/>
            <w:bookmarkStart w:id="394" w:name="_Toc263510806"/>
            <w:bookmarkStart w:id="395" w:name="_Toc244508222"/>
            <w:bookmarkStart w:id="396" w:name="_Toc244577284"/>
            <w:bookmarkStart w:id="397" w:name="_Toc263495753"/>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22</w:t>
            </w:r>
            <w:r w:rsidR="00DF2DF8" w:rsidRPr="00A96BB2">
              <w:rPr>
                <w:rFonts w:ascii="Perpetua" w:hAnsi="Perpetua"/>
                <w:b w:val="0"/>
                <w:color w:val="auto"/>
                <w:sz w:val="20"/>
              </w:rPr>
              <w:fldChar w:fldCharType="end"/>
            </w:r>
            <w:r w:rsidRPr="00A96BB2">
              <w:rPr>
                <w:rFonts w:ascii="Perpetua" w:hAnsi="Perpetua"/>
                <w:b w:val="0"/>
                <w:color w:val="auto"/>
                <w:sz w:val="20"/>
              </w:rPr>
              <w:t xml:space="preserve">: </w:t>
            </w:r>
            <w:r w:rsidR="00B61BF5" w:rsidRPr="00A96BB2">
              <w:rPr>
                <w:rFonts w:ascii="Perpetua" w:hAnsi="Perpetua"/>
                <w:b w:val="0"/>
                <w:iCs/>
                <w:color w:val="auto"/>
                <w:sz w:val="20"/>
              </w:rPr>
              <w:t>Protestactie Comité Zuid-Afrika against Outspan oranges and other South African products in Amsterdam.</w:t>
            </w:r>
            <w:bookmarkEnd w:id="393"/>
            <w:bookmarkEnd w:id="394"/>
            <w:r w:rsidR="00B61BF5" w:rsidRPr="00A96BB2">
              <w:rPr>
                <w:rFonts w:ascii="Perpetua" w:hAnsi="Perpetua"/>
                <w:b w:val="0"/>
                <w:iCs/>
                <w:color w:val="auto"/>
                <w:sz w:val="20"/>
              </w:rPr>
              <w:t xml:space="preserve"> </w:t>
            </w:r>
          </w:p>
          <w:p w:rsidR="00A304E4" w:rsidRPr="001A482E" w:rsidRDefault="001A482E" w:rsidP="001A482E">
            <w:pPr>
              <w:rPr>
                <w:rFonts w:ascii="Perpetua" w:hAnsi="Perpetua"/>
                <w:sz w:val="20"/>
              </w:rPr>
            </w:pPr>
            <w:r w:rsidRPr="001A482E">
              <w:rPr>
                <w:rFonts w:ascii="Perpetua" w:hAnsi="Perpetua"/>
                <w:sz w:val="20"/>
              </w:rPr>
              <w:t>Image c</w:t>
            </w:r>
            <w:r w:rsidR="00B61BF5" w:rsidRPr="001A482E">
              <w:rPr>
                <w:rFonts w:ascii="Perpetua" w:hAnsi="Perpetua"/>
                <w:sz w:val="20"/>
              </w:rPr>
              <w:t>ourtesy of IISH.</w:t>
            </w:r>
            <w:bookmarkEnd w:id="395"/>
            <w:bookmarkEnd w:id="396"/>
            <w:bookmarkEnd w:id="397"/>
          </w:p>
        </w:tc>
        <w:tc>
          <w:tcPr>
            <w:tcW w:w="4258" w:type="dxa"/>
          </w:tcPr>
          <w:p w:rsidR="00A304E4" w:rsidRPr="00B61BF5" w:rsidRDefault="00B61BF5" w:rsidP="00A96BB2">
            <w:pPr>
              <w:pStyle w:val="Caption"/>
              <w:keepNext/>
              <w:rPr>
                <w:rFonts w:ascii="Perpetua" w:hAnsi="Perpetua"/>
                <w:b w:val="0"/>
                <w:iCs/>
                <w:color w:val="auto"/>
                <w:sz w:val="20"/>
              </w:rPr>
            </w:pPr>
            <w:r w:rsidRPr="00B61BF5">
              <w:rPr>
                <w:rFonts w:ascii="Perpetua" w:hAnsi="Perpetua"/>
                <w:b w:val="0"/>
                <w:iCs/>
                <w:noProof/>
                <w:color w:val="auto"/>
                <w:sz w:val="20"/>
                <w:lang w:eastAsia="en-GB"/>
              </w:rPr>
              <w:drawing>
                <wp:inline distT="0" distB="0" distL="0" distR="0">
                  <wp:extent cx="2988733" cy="3378201"/>
                  <wp:effectExtent l="25400" t="0" r="8467" b="0"/>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2997207" cy="3387779"/>
                          </a:xfrm>
                          <a:prstGeom prst="rect">
                            <a:avLst/>
                          </a:prstGeom>
                          <a:noFill/>
                          <a:ln w="9525">
                            <a:noFill/>
                            <a:miter lim="800000"/>
                            <a:headEnd/>
                            <a:tailEnd/>
                          </a:ln>
                        </pic:spPr>
                      </pic:pic>
                    </a:graphicData>
                  </a:graphic>
                </wp:inline>
              </w:drawing>
            </w:r>
          </w:p>
        </w:tc>
      </w:tr>
    </w:tbl>
    <w:p w:rsidR="001A482E" w:rsidRDefault="001A482E" w:rsidP="00B61BF5">
      <w:pPr>
        <w:spacing w:after="0" w:line="360" w:lineRule="auto"/>
        <w:jc w:val="both"/>
        <w:rPr>
          <w:rFonts w:ascii="Garamond" w:hAnsi="Garamond"/>
          <w:b/>
          <w:i/>
          <w:szCs w:val="24"/>
        </w:rPr>
      </w:pPr>
    </w:p>
    <w:p w:rsidR="004A7172" w:rsidRDefault="004A7172" w:rsidP="00B61BF5">
      <w:pPr>
        <w:spacing w:after="0" w:line="360" w:lineRule="auto"/>
        <w:jc w:val="both"/>
        <w:rPr>
          <w:rFonts w:ascii="Garamond" w:hAnsi="Garamond"/>
          <w:b/>
          <w:i/>
          <w:szCs w:val="24"/>
        </w:rPr>
      </w:pPr>
    </w:p>
    <w:p w:rsidR="00B61BF5" w:rsidRPr="0047048E" w:rsidRDefault="00BA0F0B" w:rsidP="00B61BF5">
      <w:pPr>
        <w:spacing w:after="0" w:line="360" w:lineRule="auto"/>
        <w:jc w:val="both"/>
        <w:rPr>
          <w:rFonts w:ascii="Garamond" w:hAnsi="Garamond"/>
          <w:b/>
          <w:i/>
          <w:szCs w:val="24"/>
        </w:rPr>
      </w:pPr>
      <w:r w:rsidRPr="0047048E">
        <w:rPr>
          <w:rFonts w:ascii="Garamond" w:hAnsi="Garamond"/>
          <w:b/>
          <w:i/>
          <w:szCs w:val="24"/>
        </w:rPr>
        <w:t>The importance of oranges</w:t>
      </w:r>
    </w:p>
    <w:p w:rsidR="00BA0F0B" w:rsidRPr="00907189" w:rsidRDefault="00BA0F0B" w:rsidP="00B61BF5">
      <w:pPr>
        <w:spacing w:after="0" w:line="360" w:lineRule="auto"/>
        <w:jc w:val="both"/>
        <w:rPr>
          <w:rFonts w:ascii="Garamond" w:hAnsi="Garamond"/>
          <w:i/>
          <w:sz w:val="24"/>
          <w:szCs w:val="24"/>
        </w:rPr>
      </w:pPr>
    </w:p>
    <w:p w:rsidR="00B61BF5" w:rsidRDefault="00BA0F0B" w:rsidP="00B61BF5">
      <w:pPr>
        <w:spacing w:after="0" w:line="360" w:lineRule="auto"/>
        <w:ind w:left="284" w:right="284"/>
        <w:jc w:val="both"/>
        <w:rPr>
          <w:rFonts w:ascii="Garamond" w:hAnsi="Garamond"/>
        </w:rPr>
      </w:pPr>
      <w:r w:rsidRPr="00907189">
        <w:rPr>
          <w:rFonts w:ascii="Garamond" w:hAnsi="Garamond"/>
        </w:rPr>
        <w:t>To eat an orange is to travel in imagination to countries where the climate is heavenly, the sun kind, water abundant and pure, the breeze caressing, the soil light, the nights cool and restful, and man skilful, patient, careful and well organized</w:t>
      </w:r>
      <w:r>
        <w:rPr>
          <w:rFonts w:ascii="Garamond" w:hAnsi="Garamond"/>
        </w:rPr>
        <w:t>.</w:t>
      </w:r>
      <w:r w:rsidRPr="00907189">
        <w:rPr>
          <w:rFonts w:ascii="Garamond" w:hAnsi="Garamond"/>
        </w:rPr>
        <w:t xml:space="preserve"> </w:t>
      </w:r>
      <w:r>
        <w:rPr>
          <w:rFonts w:ascii="Garamond" w:hAnsi="Garamond"/>
        </w:rPr>
        <w:t>(Toussaint-Samat, 1994:666)</w:t>
      </w:r>
    </w:p>
    <w:p w:rsidR="00BA0F0B" w:rsidRPr="00907189" w:rsidRDefault="00BA0F0B" w:rsidP="00B61BF5">
      <w:pPr>
        <w:spacing w:after="0" w:line="360" w:lineRule="auto"/>
        <w:ind w:left="284" w:right="284"/>
        <w:jc w:val="both"/>
        <w:rPr>
          <w:rFonts w:ascii="Garamond" w:hAnsi="Garamond"/>
        </w:rPr>
      </w:pPr>
    </w:p>
    <w:p w:rsidR="00B61BF5" w:rsidRDefault="00BA0F0B" w:rsidP="00B61BF5">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 xml:space="preserve">The boycott of Outspan was divided into two phases; the first was an educational campaign during the orange off season winter months of 1972-73, the second was a complete boycott of Outspan conducted in the summer of 1973 (interview du Plessis, 2011). The educational part of the campaign made emotive and symbolic connections between citrus and consumption practice. As a vector for connectivity, remembrance and visibility (Jackson et al., 2009), the orange was well positioned. Although the BOA boycotted all Outspan citrus, it was the orange that took the headlines. Oranges were particularly ubiquitous in the Dutch market, and accounted for over eighty percent of </w:t>
      </w:r>
      <w:r w:rsidRPr="00907189">
        <w:rPr>
          <w:rFonts w:ascii="Garamond" w:eastAsia="Times New Roman" w:hAnsi="Garamond"/>
          <w:sz w:val="24"/>
          <w:szCs w:val="24"/>
          <w:lang w:eastAsia="en-GB"/>
        </w:rPr>
        <w:lastRenderedPageBreak/>
        <w:t>Outspan exports to Holland (BOA, 1973). The Outspan company also used real oranges, simulacra oranges, and the vibrant properties of the colour orange</w:t>
      </w:r>
      <w:r w:rsidRPr="00907189">
        <w:rPr>
          <w:rStyle w:val="FootnoteReference"/>
          <w:rFonts w:ascii="Garamond" w:eastAsia="Times New Roman" w:hAnsi="Garamond"/>
          <w:sz w:val="24"/>
          <w:szCs w:val="24"/>
          <w:lang w:eastAsia="en-GB"/>
        </w:rPr>
        <w:footnoteReference w:id="86"/>
      </w:r>
      <w:r w:rsidRPr="00907189">
        <w:rPr>
          <w:rFonts w:ascii="Garamond" w:eastAsia="Times New Roman" w:hAnsi="Garamond"/>
          <w:sz w:val="24"/>
          <w:szCs w:val="24"/>
          <w:lang w:eastAsia="en-GB"/>
        </w:rPr>
        <w:t xml:space="preserve"> to front its remarkable European marketing campaign that sold oranges as health, vitality and beauty during the 1960s and </w:t>
      </w:r>
      <w:r>
        <w:rPr>
          <w:rFonts w:ascii="Garamond" w:eastAsia="Times New Roman" w:hAnsi="Garamond"/>
          <w:sz w:val="24"/>
          <w:szCs w:val="24"/>
          <w:lang w:eastAsia="en-GB"/>
        </w:rPr>
        <w:t>19</w:t>
      </w:r>
      <w:r w:rsidRPr="00907189">
        <w:rPr>
          <w:rFonts w:ascii="Garamond" w:eastAsia="Times New Roman" w:hAnsi="Garamond"/>
          <w:sz w:val="24"/>
          <w:szCs w:val="24"/>
          <w:lang w:eastAsia="en-GB"/>
        </w:rPr>
        <w:t xml:space="preserve">70s (du Plessis, 1972; Mather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Rowcroft, 2006). </w:t>
      </w:r>
    </w:p>
    <w:p w:rsidR="00BA0F0B" w:rsidRPr="00907189" w:rsidRDefault="00BA0F0B" w:rsidP="00B61BF5">
      <w:pPr>
        <w:spacing w:after="0" w:line="360" w:lineRule="auto"/>
        <w:jc w:val="both"/>
        <w:rPr>
          <w:rFonts w:ascii="Garamond" w:eastAsia="Times New Roman" w:hAnsi="Garamond"/>
          <w:sz w:val="24"/>
          <w:szCs w:val="24"/>
          <w:lang w:eastAsia="en-GB"/>
        </w:rPr>
      </w:pPr>
    </w:p>
    <w:p w:rsidR="004A7172" w:rsidRDefault="00BA0F0B" w:rsidP="00FF40B9">
      <w:pPr>
        <w:spacing w:line="360" w:lineRule="auto"/>
        <w:jc w:val="both"/>
        <w:rPr>
          <w:rFonts w:ascii="Garamond" w:hAnsi="Garamond"/>
          <w:sz w:val="24"/>
          <w:szCs w:val="24"/>
        </w:rPr>
      </w:pPr>
      <w:r w:rsidRPr="00907189">
        <w:rPr>
          <w:rFonts w:ascii="Garamond" w:hAnsi="Garamond"/>
          <w:sz w:val="24"/>
          <w:szCs w:val="24"/>
        </w:rPr>
        <w:t xml:space="preserve">Oranges were a big impact food for the BOA in its fight against apartheid and racism. First, they were consumed by people of all classes and religious affiliation in Holland. Dutch society consisted of many interdependent social worlds where class structure was cut vertically by several </w:t>
      </w:r>
      <w:r w:rsidRPr="00907189">
        <w:rPr>
          <w:rFonts w:ascii="Garamond" w:hAnsi="Garamond"/>
          <w:i/>
          <w:sz w:val="24"/>
          <w:szCs w:val="24"/>
        </w:rPr>
        <w:t>zuilen</w:t>
      </w:r>
      <w:r w:rsidRPr="00907189">
        <w:rPr>
          <w:rFonts w:ascii="Garamond" w:hAnsi="Garamond"/>
          <w:sz w:val="24"/>
          <w:szCs w:val="24"/>
        </w:rPr>
        <w:t xml:space="preserve"> – columns of self-sustaining religious units (Grundy,1972; Moberg,1961). Second, they had “tangible and concrete properties” (Du Plessis, 2009) with material and symbolic affects that people from “lowest threshold upwards” (Ibid., 1972) could experience. Oranges are peeled, segmented, squeezed and grated, all forms of preparation that the BOA linked though metaphor to the subjugation of the apartheid labourer</w:t>
      </w:r>
      <w:r w:rsidRPr="00907189">
        <w:rPr>
          <w:rFonts w:ascii="Garamond" w:eastAsia="Times New Roman" w:hAnsi="Garamond"/>
          <w:sz w:val="24"/>
          <w:szCs w:val="24"/>
          <w:lang w:eastAsia="en-GB"/>
        </w:rPr>
        <w:t>. Their socio-material properties were used to parody the ‘blood-ties’ between Holland and apartheid South Africa.</w:t>
      </w:r>
      <w:r w:rsidRPr="00907189">
        <w:rPr>
          <w:rFonts w:ascii="Garamond" w:hAnsi="Garamond"/>
          <w:sz w:val="24"/>
          <w:szCs w:val="24"/>
        </w:rPr>
        <w:t xml:space="preserve"> Third, orange and the colour orange cut a swath across Dutch and South African society, as the national colour of The Netherlands and the house of its royal family, and the name of the nineteenth century Boer Republic (Orange Free State). The orange tre</w:t>
      </w:r>
      <w:r>
        <w:rPr>
          <w:rFonts w:ascii="Garamond" w:hAnsi="Garamond"/>
          <w:sz w:val="24"/>
          <w:szCs w:val="24"/>
        </w:rPr>
        <w:t>e became the symbol of a unioniz</w:t>
      </w:r>
      <w:r w:rsidRPr="00907189">
        <w:rPr>
          <w:rFonts w:ascii="Garamond" w:hAnsi="Garamond"/>
          <w:sz w:val="24"/>
          <w:szCs w:val="24"/>
        </w:rPr>
        <w:t xml:space="preserve">ed South Africa between Boer and British as is illustrated by the paired sixpence stamp which remained in issue for twenty years. </w:t>
      </w:r>
    </w:p>
    <w:p w:rsidR="00D57889" w:rsidRPr="00FF40B9" w:rsidRDefault="00D57889" w:rsidP="00FF40B9">
      <w:pPr>
        <w:spacing w:line="360" w:lineRule="auto"/>
        <w:jc w:val="both"/>
        <w:rPr>
          <w:rFonts w:ascii="Garamond" w:hAnsi="Garamond"/>
          <w:sz w:val="24"/>
          <w:szCs w:val="24"/>
        </w:rPr>
      </w:pPr>
    </w:p>
    <w:p w:rsidR="00D57889" w:rsidRDefault="00D57889" w:rsidP="00A304E4">
      <w:pPr>
        <w:spacing w:line="360" w:lineRule="auto"/>
        <w:jc w:val="center"/>
        <w:rPr>
          <w:rFonts w:ascii="Perpetua" w:hAnsi="Perpetua"/>
          <w:sz w:val="20"/>
        </w:rPr>
      </w:pPr>
    </w:p>
    <w:p w:rsidR="00D57889" w:rsidRDefault="00D57889" w:rsidP="00A304E4">
      <w:pPr>
        <w:spacing w:line="360" w:lineRule="auto"/>
        <w:jc w:val="center"/>
        <w:rPr>
          <w:rFonts w:ascii="Garamond" w:hAnsi="Garamond"/>
          <w:sz w:val="24"/>
          <w:szCs w:val="24"/>
        </w:rPr>
      </w:pPr>
      <w:r w:rsidRPr="00A70185">
        <w:rPr>
          <w:rFonts w:ascii="Garamond" w:eastAsia="Times New Roman" w:hAnsi="Garamond"/>
          <w:noProof/>
          <w:sz w:val="24"/>
          <w:szCs w:val="24"/>
          <w:lang w:eastAsia="en-GB"/>
        </w:rPr>
        <w:drawing>
          <wp:inline distT="0" distB="0" distL="0" distR="0">
            <wp:extent cx="2638681" cy="1587500"/>
            <wp:effectExtent l="25400" t="0" r="2919" b="0"/>
            <wp:docPr id="13" name="Picture 14" descr="Description: C:\Users\Hugh\Pictures\6d orange tree 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Hugh\Pictures\6d orange tree stamp.jpg"/>
                    <pic:cNvPicPr>
                      <a:picLocks noChangeAspect="1" noChangeArrowheads="1"/>
                    </pic:cNvPicPr>
                  </pic:nvPicPr>
                  <pic:blipFill>
                    <a:blip r:embed="rId40" cstate="print"/>
                    <a:srcRect/>
                    <a:stretch>
                      <a:fillRect/>
                    </a:stretch>
                  </pic:blipFill>
                  <pic:spPr bwMode="auto">
                    <a:xfrm>
                      <a:off x="0" y="0"/>
                      <a:ext cx="2638448" cy="1587360"/>
                    </a:xfrm>
                    <a:prstGeom prst="rect">
                      <a:avLst/>
                    </a:prstGeom>
                    <a:noFill/>
                    <a:ln w="9525">
                      <a:noFill/>
                      <a:miter lim="800000"/>
                      <a:headEnd/>
                      <a:tailEnd/>
                    </a:ln>
                  </pic:spPr>
                </pic:pic>
              </a:graphicData>
            </a:graphic>
          </wp:inline>
        </w:drawing>
      </w:r>
    </w:p>
    <w:p w:rsidR="00A70185" w:rsidRPr="00A96BB2" w:rsidRDefault="00A96BB2" w:rsidP="00A96BB2">
      <w:pPr>
        <w:pStyle w:val="Caption"/>
        <w:jc w:val="center"/>
        <w:rPr>
          <w:rFonts w:ascii="Perpetua" w:hAnsi="Perpetua"/>
          <w:b w:val="0"/>
          <w:color w:val="auto"/>
          <w:sz w:val="20"/>
          <w:szCs w:val="24"/>
        </w:rPr>
      </w:pPr>
      <w:bookmarkStart w:id="398" w:name="_Toc244508223"/>
      <w:bookmarkStart w:id="399" w:name="_Toc244577285"/>
      <w:bookmarkStart w:id="400" w:name="_Toc263495754"/>
      <w:bookmarkStart w:id="401" w:name="_Toc263509020"/>
      <w:bookmarkStart w:id="402" w:name="_Toc263510807"/>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23</w:t>
      </w:r>
      <w:r w:rsidR="00DF2DF8" w:rsidRPr="00A96BB2">
        <w:rPr>
          <w:rFonts w:ascii="Perpetua" w:hAnsi="Perpetua"/>
          <w:b w:val="0"/>
          <w:color w:val="auto"/>
          <w:sz w:val="20"/>
        </w:rPr>
        <w:fldChar w:fldCharType="end"/>
      </w:r>
      <w:r w:rsidRPr="00A96BB2">
        <w:rPr>
          <w:rFonts w:ascii="Perpetua" w:hAnsi="Perpetua"/>
          <w:b w:val="0"/>
          <w:color w:val="auto"/>
          <w:sz w:val="20"/>
        </w:rPr>
        <w:t>: Photograph of 6d 'Union' pair stamps, 1927.</w:t>
      </w:r>
      <w:bookmarkEnd w:id="398"/>
      <w:bookmarkEnd w:id="399"/>
      <w:bookmarkEnd w:id="400"/>
      <w:bookmarkEnd w:id="401"/>
      <w:bookmarkEnd w:id="402"/>
    </w:p>
    <w:p w:rsidR="00B61BF5" w:rsidRDefault="00B61BF5" w:rsidP="00BA0F0B">
      <w:pPr>
        <w:autoSpaceDE w:val="0"/>
        <w:autoSpaceDN w:val="0"/>
        <w:adjustRightInd w:val="0"/>
        <w:spacing w:after="0" w:line="360" w:lineRule="auto"/>
        <w:rPr>
          <w:rFonts w:ascii="Garamond" w:eastAsia="Times New Roman" w:hAnsi="Garamond"/>
          <w:i/>
          <w:sz w:val="24"/>
          <w:szCs w:val="24"/>
          <w:lang w:eastAsia="en-GB"/>
        </w:rPr>
      </w:pPr>
    </w:p>
    <w:p w:rsidR="00BA0F0B" w:rsidRPr="0047048E" w:rsidRDefault="00BA0F0B" w:rsidP="00B61BF5">
      <w:pPr>
        <w:autoSpaceDE w:val="0"/>
        <w:autoSpaceDN w:val="0"/>
        <w:adjustRightInd w:val="0"/>
        <w:spacing w:after="0" w:line="360" w:lineRule="auto"/>
        <w:rPr>
          <w:rFonts w:ascii="Garamond" w:eastAsia="Times New Roman" w:hAnsi="Garamond"/>
          <w:b/>
          <w:i/>
          <w:szCs w:val="24"/>
          <w:lang w:eastAsia="en-GB"/>
        </w:rPr>
      </w:pPr>
      <w:r w:rsidRPr="0047048E">
        <w:rPr>
          <w:rFonts w:ascii="Garamond" w:eastAsia="Times New Roman" w:hAnsi="Garamond"/>
          <w:b/>
          <w:i/>
          <w:szCs w:val="24"/>
          <w:lang w:eastAsia="en-GB"/>
        </w:rPr>
        <w:lastRenderedPageBreak/>
        <w:t>From Outspanning to Inspanning</w:t>
      </w:r>
    </w:p>
    <w:p w:rsidR="00BA0F0B" w:rsidRPr="00B61BF5" w:rsidRDefault="00BA0F0B" w:rsidP="00B61BF5">
      <w:pPr>
        <w:spacing w:after="0" w:line="360" w:lineRule="auto"/>
        <w:jc w:val="center"/>
        <w:textAlignment w:val="baseline"/>
        <w:rPr>
          <w:rFonts w:ascii="Garamond" w:eastAsia="Times New Roman" w:hAnsi="Garamond"/>
          <w:i/>
          <w:sz w:val="24"/>
          <w:szCs w:val="24"/>
          <w:lang w:eastAsia="en-GB"/>
        </w:rPr>
      </w:pPr>
    </w:p>
    <w:p w:rsidR="00BA0F0B" w:rsidRPr="0047048E" w:rsidRDefault="00BA0F0B" w:rsidP="00B61BF5">
      <w:pPr>
        <w:spacing w:after="0" w:line="360" w:lineRule="auto"/>
        <w:ind w:left="284" w:right="284"/>
        <w:jc w:val="center"/>
        <w:textAlignment w:val="baseline"/>
        <w:rPr>
          <w:rFonts w:ascii="Garamond" w:eastAsia="Times New Roman" w:hAnsi="Garamond"/>
          <w:szCs w:val="24"/>
          <w:lang w:eastAsia="en-GB"/>
        </w:rPr>
      </w:pPr>
      <w:r w:rsidRPr="0047048E">
        <w:rPr>
          <w:rFonts w:ascii="Garamond" w:eastAsia="Times New Roman" w:hAnsi="Garamond"/>
          <w:bCs/>
          <w:szCs w:val="24"/>
          <w:lang w:eastAsia="en-GB"/>
        </w:rPr>
        <w:t>outspan</w:t>
      </w:r>
    </w:p>
    <w:p w:rsidR="00BA0F0B" w:rsidRPr="00B61BF5" w:rsidRDefault="00BA0F0B" w:rsidP="00B61BF5">
      <w:pPr>
        <w:spacing w:after="0" w:line="360" w:lineRule="auto"/>
        <w:ind w:left="284" w:right="284"/>
        <w:jc w:val="center"/>
        <w:textAlignment w:val="baseline"/>
        <w:rPr>
          <w:rFonts w:ascii="Garamond" w:eastAsia="Times New Roman" w:hAnsi="Garamond"/>
          <w:i/>
          <w:iCs/>
          <w:szCs w:val="24"/>
          <w:bdr w:val="none" w:sz="0" w:space="0" w:color="auto" w:frame="1"/>
          <w:lang w:eastAsia="en-GB"/>
        </w:rPr>
      </w:pP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i/>
          <w:iCs/>
          <w:szCs w:val="24"/>
          <w:bdr w:val="none" w:sz="0" w:space="0" w:color="auto" w:frame="1"/>
          <w:lang w:eastAsia="en-GB"/>
        </w:rPr>
        <w:t>South African</w:t>
      </w: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i/>
          <w:iCs/>
          <w:szCs w:val="24"/>
          <w:bdr w:val="none" w:sz="0" w:space="0" w:color="auto" w:frame="1"/>
          <w:lang w:eastAsia="en-GB"/>
        </w:rPr>
        <w:t>n</w:t>
      </w:r>
      <w:r w:rsidRPr="00B61BF5">
        <w:rPr>
          <w:rFonts w:ascii="Garamond" w:eastAsia="Times New Roman" w:hAnsi="Garamond"/>
          <w:szCs w:val="24"/>
          <w:lang w:eastAsia="en-GB"/>
        </w:rPr>
        <w:t>[</w:t>
      </w:r>
      <w:r w:rsidRPr="00B61BF5">
        <w:rPr>
          <w:rFonts w:ascii="Times New Roman" w:eastAsia="Times New Roman" w:hAnsi="Times New Roman"/>
          <w:szCs w:val="24"/>
          <w:lang w:eastAsia="en-GB"/>
        </w:rPr>
        <w:t>ˈ</w:t>
      </w:r>
      <w:r w:rsidRPr="00B61BF5">
        <w:rPr>
          <w:rFonts w:ascii="Garamond" w:eastAsia="Times New Roman" w:hAnsi="Garamond"/>
          <w:szCs w:val="24"/>
          <w:lang w:eastAsia="en-GB"/>
        </w:rPr>
        <w:t>a</w:t>
      </w:r>
      <w:r w:rsidRPr="00B61BF5">
        <w:rPr>
          <w:rFonts w:ascii="Times New Roman" w:eastAsia="Times New Roman" w:hAnsi="Times New Roman"/>
          <w:szCs w:val="24"/>
          <w:lang w:eastAsia="en-GB"/>
        </w:rPr>
        <w:t>ʊ</w:t>
      </w:r>
      <w:r w:rsidRPr="00B61BF5">
        <w:rPr>
          <w:rFonts w:ascii="Garamond" w:eastAsia="Times New Roman" w:hAnsi="Garamond"/>
          <w:szCs w:val="24"/>
          <w:lang w:eastAsia="en-GB"/>
        </w:rPr>
        <w:t>t</w:t>
      </w:r>
      <w:r w:rsidRPr="00B61BF5">
        <w:rPr>
          <w:rFonts w:ascii="Times New Roman" w:eastAsia="Times New Roman" w:hAnsi="Times New Roman"/>
          <w:szCs w:val="24"/>
          <w:lang w:eastAsia="en-GB"/>
        </w:rPr>
        <w:t>ˌ</w:t>
      </w:r>
      <w:r w:rsidRPr="00B61BF5">
        <w:rPr>
          <w:rFonts w:ascii="Garamond" w:eastAsia="Times New Roman" w:hAnsi="Garamond"/>
          <w:szCs w:val="24"/>
          <w:lang w:eastAsia="en-GB"/>
        </w:rPr>
        <w:t>spæn]</w:t>
      </w: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b/>
          <w:bCs/>
          <w:szCs w:val="24"/>
          <w:bdr w:val="none" w:sz="0" w:space="0" w:color="auto" w:frame="1"/>
          <w:lang w:eastAsia="en-GB"/>
        </w:rPr>
        <w:t>1.</w:t>
      </w:r>
      <w:r w:rsidRPr="00B61BF5">
        <w:rPr>
          <w:rFonts w:ascii="Garamond" w:eastAsia="Times New Roman" w:hAnsi="Garamond"/>
          <w:szCs w:val="24"/>
          <w:lang w:eastAsia="en-GB"/>
        </w:rPr>
        <w:t> an area on a farm kept available for travellers to rest and refresh animals</w:t>
      </w: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b/>
          <w:bCs/>
          <w:szCs w:val="24"/>
          <w:bdr w:val="none" w:sz="0" w:space="0" w:color="auto" w:frame="1"/>
          <w:lang w:eastAsia="en-GB"/>
        </w:rPr>
        <w:t>2.</w:t>
      </w:r>
      <w:r w:rsidRPr="00B61BF5">
        <w:rPr>
          <w:rFonts w:ascii="Garamond" w:eastAsia="Times New Roman" w:hAnsi="Garamond"/>
          <w:szCs w:val="24"/>
          <w:lang w:eastAsia="en-GB"/>
        </w:rPr>
        <w:t> the act of unharnessing or unyoking</w:t>
      </w: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i/>
          <w:iCs/>
          <w:szCs w:val="24"/>
          <w:bdr w:val="none" w:sz="0" w:space="0" w:color="auto" w:frame="1"/>
          <w:lang w:eastAsia="en-GB"/>
        </w:rPr>
        <w:t>vb</w:t>
      </w:r>
      <w:r w:rsidRPr="00B61BF5">
        <w:rPr>
          <w:rFonts w:ascii="Garamond" w:eastAsia="Times New Roman" w:hAnsi="Garamond"/>
          <w:szCs w:val="24"/>
          <w:lang w:eastAsia="en-GB"/>
        </w:rPr>
        <w:t>[</w:t>
      </w:r>
      <w:r w:rsidRPr="00B61BF5">
        <w:rPr>
          <w:rFonts w:ascii="Times New Roman" w:eastAsia="Times New Roman" w:hAnsi="Times New Roman"/>
          <w:szCs w:val="24"/>
          <w:lang w:eastAsia="en-GB"/>
        </w:rPr>
        <w:t>ˌ</w:t>
      </w:r>
      <w:r w:rsidRPr="00B61BF5">
        <w:rPr>
          <w:rFonts w:ascii="Garamond" w:eastAsia="Times New Roman" w:hAnsi="Garamond"/>
          <w:szCs w:val="24"/>
          <w:lang w:eastAsia="en-GB"/>
        </w:rPr>
        <w:t>a</w:t>
      </w:r>
      <w:r w:rsidRPr="00B61BF5">
        <w:rPr>
          <w:rFonts w:ascii="Times New Roman" w:eastAsia="Times New Roman" w:hAnsi="Times New Roman"/>
          <w:szCs w:val="24"/>
          <w:lang w:eastAsia="en-GB"/>
        </w:rPr>
        <w:t>ʊ</w:t>
      </w:r>
      <w:r w:rsidRPr="00B61BF5">
        <w:rPr>
          <w:rFonts w:ascii="Garamond" w:eastAsia="Times New Roman" w:hAnsi="Garamond"/>
          <w:szCs w:val="24"/>
          <w:lang w:eastAsia="en-GB"/>
        </w:rPr>
        <w:t>t</w:t>
      </w:r>
      <w:r w:rsidRPr="00B61BF5">
        <w:rPr>
          <w:rFonts w:ascii="Times New Roman" w:eastAsia="Times New Roman" w:hAnsi="Times New Roman"/>
          <w:szCs w:val="24"/>
          <w:lang w:eastAsia="en-GB"/>
        </w:rPr>
        <w:t>ˈ</w:t>
      </w:r>
      <w:r w:rsidRPr="00B61BF5">
        <w:rPr>
          <w:rFonts w:ascii="Garamond" w:eastAsia="Times New Roman" w:hAnsi="Garamond"/>
          <w:szCs w:val="24"/>
          <w:lang w:eastAsia="en-GB"/>
        </w:rPr>
        <w:t>spæn] -spans, -spanning, -spanned - to unharness or unyoke (animals)</w:t>
      </w:r>
    </w:p>
    <w:p w:rsidR="00BA0F0B" w:rsidRPr="00B61BF5" w:rsidRDefault="00BA0F0B" w:rsidP="00B61BF5">
      <w:pPr>
        <w:spacing w:after="0" w:line="360" w:lineRule="auto"/>
        <w:ind w:left="284" w:right="284"/>
        <w:jc w:val="center"/>
        <w:textAlignment w:val="baseline"/>
        <w:rPr>
          <w:rFonts w:ascii="Garamond" w:eastAsia="Times New Roman" w:hAnsi="Garamond"/>
          <w:b/>
          <w:bCs/>
          <w:szCs w:val="24"/>
          <w:lang w:eastAsia="en-GB"/>
        </w:rPr>
      </w:pPr>
    </w:p>
    <w:p w:rsidR="00BA0F0B" w:rsidRPr="0047048E" w:rsidRDefault="00BA0F0B" w:rsidP="00B61BF5">
      <w:pPr>
        <w:spacing w:after="0" w:line="360" w:lineRule="auto"/>
        <w:ind w:left="284" w:right="284"/>
        <w:jc w:val="center"/>
        <w:textAlignment w:val="baseline"/>
        <w:rPr>
          <w:rFonts w:ascii="Garamond" w:eastAsia="Times New Roman" w:hAnsi="Garamond"/>
          <w:bCs/>
          <w:szCs w:val="24"/>
          <w:lang w:eastAsia="en-GB"/>
        </w:rPr>
      </w:pPr>
      <w:r w:rsidRPr="0047048E">
        <w:rPr>
          <w:rFonts w:ascii="Garamond" w:eastAsia="Times New Roman" w:hAnsi="Garamond"/>
          <w:bCs/>
          <w:szCs w:val="24"/>
          <w:lang w:eastAsia="en-GB"/>
        </w:rPr>
        <w:t>inspan</w:t>
      </w: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p>
    <w:p w:rsidR="00BA0F0B" w:rsidRPr="00B61BF5" w:rsidRDefault="00BA0F0B" w:rsidP="00B61BF5">
      <w:pPr>
        <w:spacing w:after="0" w:line="360" w:lineRule="auto"/>
        <w:ind w:left="284" w:right="284"/>
        <w:jc w:val="center"/>
        <w:textAlignment w:val="baseline"/>
        <w:rPr>
          <w:rFonts w:ascii="Garamond" w:eastAsia="Times New Roman" w:hAnsi="Garamond"/>
          <w:szCs w:val="24"/>
          <w:lang w:eastAsia="en-GB"/>
        </w:rPr>
      </w:pPr>
      <w:r w:rsidRPr="00B61BF5">
        <w:rPr>
          <w:rFonts w:ascii="Garamond" w:eastAsia="Times New Roman" w:hAnsi="Garamond"/>
          <w:szCs w:val="24"/>
          <w:lang w:eastAsia="en-GB"/>
        </w:rPr>
        <w:t>[</w:t>
      </w:r>
      <w:r w:rsidRPr="00B61BF5">
        <w:rPr>
          <w:rFonts w:ascii="Times New Roman" w:eastAsia="Times New Roman" w:hAnsi="Times New Roman"/>
          <w:szCs w:val="24"/>
          <w:lang w:eastAsia="en-GB"/>
        </w:rPr>
        <w:t>ɪ</w:t>
      </w:r>
      <w:r w:rsidRPr="00B61BF5">
        <w:rPr>
          <w:rFonts w:ascii="Garamond" w:eastAsia="Times New Roman" w:hAnsi="Garamond"/>
          <w:szCs w:val="24"/>
          <w:lang w:eastAsia="en-GB"/>
        </w:rPr>
        <w:t>n</w:t>
      </w:r>
      <w:r w:rsidRPr="00B61BF5">
        <w:rPr>
          <w:rFonts w:ascii="Times New Roman" w:eastAsia="Times New Roman" w:hAnsi="Times New Roman"/>
          <w:szCs w:val="24"/>
          <w:lang w:eastAsia="en-GB"/>
        </w:rPr>
        <w:t>ˈ</w:t>
      </w:r>
      <w:r w:rsidRPr="00B61BF5">
        <w:rPr>
          <w:rFonts w:ascii="Garamond" w:eastAsia="Times New Roman" w:hAnsi="Garamond"/>
          <w:szCs w:val="24"/>
          <w:lang w:eastAsia="en-GB"/>
        </w:rPr>
        <w:t>spæn]</w:t>
      </w:r>
      <w:r w:rsidRPr="00B61BF5">
        <w:rPr>
          <w:rFonts w:ascii="Garamond" w:eastAsia="Times New Roman" w:hAnsi="Garamond"/>
          <w:i/>
          <w:iCs/>
          <w:szCs w:val="24"/>
          <w:bdr w:val="none" w:sz="0" w:space="0" w:color="auto" w:frame="1"/>
          <w:lang w:eastAsia="en-GB"/>
        </w:rPr>
        <w:t>vb</w:t>
      </w:r>
      <w:r w:rsidRPr="00B61BF5">
        <w:rPr>
          <w:rFonts w:ascii="Garamond" w:eastAsia="Times New Roman" w:hAnsi="Garamond"/>
          <w:szCs w:val="24"/>
          <w:lang w:eastAsia="en-GB"/>
        </w:rPr>
        <w:t> </w:t>
      </w:r>
      <w:r w:rsidRPr="00B61BF5">
        <w:rPr>
          <w:rFonts w:ascii="Garamond" w:eastAsia="Times New Roman" w:hAnsi="Garamond"/>
          <w:b/>
          <w:bCs/>
          <w:szCs w:val="24"/>
          <w:bdr w:val="none" w:sz="0" w:space="0" w:color="auto" w:frame="1"/>
          <w:lang w:eastAsia="en-GB"/>
        </w:rPr>
        <w:t>-</w:t>
      </w:r>
      <w:r w:rsidRPr="00B61BF5">
        <w:rPr>
          <w:rFonts w:ascii="Garamond" w:eastAsia="Times New Roman" w:hAnsi="Garamond"/>
          <w:szCs w:val="24"/>
          <w:lang w:eastAsia="en-GB"/>
        </w:rPr>
        <w:t>spans, -spanning, -spanned </w:t>
      </w:r>
      <w:r w:rsidRPr="00B61BF5">
        <w:rPr>
          <w:rFonts w:ascii="Garamond" w:eastAsia="Times New Roman" w:hAnsi="Garamond"/>
          <w:i/>
          <w:iCs/>
          <w:szCs w:val="24"/>
          <w:bdr w:val="none" w:sz="0" w:space="0" w:color="auto" w:frame="1"/>
          <w:lang w:eastAsia="en-GB"/>
        </w:rPr>
        <w:t>(tr)</w:t>
      </w:r>
      <w:r w:rsidRPr="00B61BF5">
        <w:rPr>
          <w:rFonts w:ascii="Garamond" w:eastAsia="Times New Roman" w:hAnsi="Garamond"/>
          <w:szCs w:val="24"/>
          <w:lang w:eastAsia="en-GB"/>
        </w:rPr>
        <w:t> </w:t>
      </w:r>
      <w:r w:rsidRPr="00B61BF5">
        <w:rPr>
          <w:rFonts w:ascii="Garamond" w:eastAsia="Times New Roman" w:hAnsi="Garamond"/>
          <w:i/>
          <w:iCs/>
          <w:szCs w:val="24"/>
          <w:bdr w:val="none" w:sz="0" w:space="0" w:color="auto" w:frame="1"/>
          <w:lang w:eastAsia="en-GB"/>
        </w:rPr>
        <w:t>Chiefly South African</w:t>
      </w:r>
      <w:r w:rsidRPr="00B61BF5">
        <w:rPr>
          <w:rFonts w:ascii="Garamond" w:eastAsia="Times New Roman" w:hAnsi="Garamond"/>
          <w:szCs w:val="24"/>
          <w:lang w:eastAsia="en-GB"/>
        </w:rPr>
        <w:t> to harness (animals) to (a vehicle); yoke from Afrikaans, from Middle Dutch </w:t>
      </w:r>
      <w:r w:rsidRPr="00B61BF5">
        <w:rPr>
          <w:rFonts w:ascii="Garamond" w:eastAsia="Times New Roman" w:hAnsi="Garamond"/>
          <w:i/>
          <w:iCs/>
          <w:szCs w:val="24"/>
          <w:bdr w:val="none" w:sz="0" w:space="0" w:color="auto" w:frame="1"/>
          <w:lang w:eastAsia="en-GB"/>
        </w:rPr>
        <w:t>inspannen,</w:t>
      </w:r>
      <w:r w:rsidRPr="00B61BF5">
        <w:rPr>
          <w:rFonts w:ascii="Garamond" w:eastAsia="Times New Roman" w:hAnsi="Garamond"/>
          <w:szCs w:val="24"/>
          <w:lang w:eastAsia="en-GB"/>
        </w:rPr>
        <w:t>from </w:t>
      </w:r>
      <w:r w:rsidRPr="00B61BF5">
        <w:rPr>
          <w:rFonts w:ascii="Garamond" w:eastAsia="Times New Roman" w:hAnsi="Garamond"/>
          <w:i/>
          <w:iCs/>
          <w:szCs w:val="24"/>
          <w:bdr w:val="none" w:sz="0" w:space="0" w:color="auto" w:frame="1"/>
          <w:lang w:eastAsia="en-GB"/>
        </w:rPr>
        <w:t>spannen</w:t>
      </w:r>
      <w:r w:rsidRPr="00B61BF5">
        <w:rPr>
          <w:rFonts w:ascii="Garamond" w:eastAsia="Times New Roman" w:hAnsi="Garamond"/>
          <w:szCs w:val="24"/>
          <w:lang w:eastAsia="en-GB"/>
        </w:rPr>
        <w:t> to stretch, yoke; see span</w:t>
      </w:r>
    </w:p>
    <w:p w:rsidR="00BA0F0B" w:rsidRPr="00B61BF5" w:rsidRDefault="00BA0F0B" w:rsidP="00B61BF5">
      <w:pPr>
        <w:spacing w:after="0" w:line="360" w:lineRule="auto"/>
        <w:jc w:val="center"/>
        <w:textAlignment w:val="baseline"/>
        <w:rPr>
          <w:rFonts w:ascii="Garamond" w:eastAsia="Times New Roman" w:hAnsi="Garamond"/>
          <w:szCs w:val="24"/>
          <w:lang w:eastAsia="en-GB"/>
        </w:rPr>
      </w:pPr>
      <w:r w:rsidRPr="00B61BF5">
        <w:rPr>
          <w:rFonts w:ascii="Garamond" w:eastAsia="Times New Roman" w:hAnsi="Garamond"/>
          <w:szCs w:val="24"/>
          <w:lang w:eastAsia="en-GB"/>
        </w:rPr>
        <w:t>(Collins English Dictionary, unabridged version, 2003)</w:t>
      </w:r>
      <w:r w:rsidR="00B61BF5" w:rsidRPr="00B61BF5">
        <w:rPr>
          <w:rFonts w:ascii="Garamond" w:eastAsia="Times New Roman" w:hAnsi="Garamond"/>
          <w:szCs w:val="24"/>
          <w:lang w:eastAsia="en-GB"/>
        </w:rPr>
        <w:t>.</w:t>
      </w:r>
      <w:r w:rsidRPr="00B61BF5">
        <w:rPr>
          <w:rStyle w:val="FootnoteReference"/>
          <w:rFonts w:ascii="Garamond" w:eastAsia="Times New Roman" w:hAnsi="Garamond"/>
          <w:szCs w:val="24"/>
          <w:lang w:eastAsia="en-GB"/>
        </w:rPr>
        <w:footnoteReference w:id="87"/>
      </w:r>
    </w:p>
    <w:p w:rsidR="00BA0F0B" w:rsidRPr="00B61BF5" w:rsidRDefault="00BA0F0B" w:rsidP="00B61BF5">
      <w:pPr>
        <w:spacing w:after="0" w:line="360" w:lineRule="auto"/>
        <w:textAlignment w:val="baseline"/>
        <w:rPr>
          <w:rFonts w:ascii="Garamond" w:eastAsia="Times New Roman" w:hAnsi="Garamond"/>
          <w:sz w:val="24"/>
          <w:szCs w:val="24"/>
          <w:lang w:eastAsia="en-GB"/>
        </w:rPr>
      </w:pPr>
      <w:r w:rsidRPr="00B61BF5">
        <w:rPr>
          <w:rFonts w:ascii="Garamond" w:eastAsia="Times New Roman" w:hAnsi="Garamond"/>
          <w:b/>
          <w:bCs/>
          <w:sz w:val="24"/>
          <w:szCs w:val="24"/>
          <w:lang w:eastAsia="en-GB"/>
        </w:rPr>
        <w:t> </w:t>
      </w:r>
    </w:p>
    <w:p w:rsidR="00B61BF5" w:rsidRDefault="00BA0F0B" w:rsidP="00BA0F0B">
      <w:pPr>
        <w:spacing w:after="0" w:line="360" w:lineRule="auto"/>
        <w:jc w:val="both"/>
        <w:textAlignment w:val="baseline"/>
        <w:rPr>
          <w:rFonts w:ascii="Garamond" w:eastAsia="Times New Roman" w:hAnsi="Garamond"/>
          <w:sz w:val="24"/>
          <w:szCs w:val="24"/>
          <w:lang w:eastAsia="en-GB"/>
        </w:rPr>
      </w:pPr>
      <w:r w:rsidRPr="00B61BF5">
        <w:rPr>
          <w:rFonts w:ascii="Garamond" w:eastAsia="Times New Roman" w:hAnsi="Garamond"/>
          <w:sz w:val="24"/>
          <w:szCs w:val="24"/>
          <w:lang w:eastAsia="en-GB"/>
        </w:rPr>
        <w:t>Here, I con</w:t>
      </w:r>
      <w:r w:rsidR="000B6D76">
        <w:rPr>
          <w:rFonts w:ascii="Garamond" w:eastAsia="Times New Roman" w:hAnsi="Garamond"/>
          <w:sz w:val="24"/>
          <w:szCs w:val="24"/>
          <w:lang w:eastAsia="en-GB"/>
        </w:rPr>
        <w:t>sider Boycott Outspan Action's Inspan Girls</w:t>
      </w:r>
      <w:r w:rsidRPr="00B61BF5">
        <w:rPr>
          <w:rFonts w:ascii="Garamond" w:eastAsia="Times New Roman" w:hAnsi="Garamond"/>
          <w:sz w:val="24"/>
          <w:szCs w:val="24"/>
          <w:lang w:eastAsia="en-GB"/>
        </w:rPr>
        <w:t>. In the process, I tell a story of colonial exploration, citrus capitalism and marketing</w:t>
      </w:r>
      <w:r w:rsidRPr="00907189">
        <w:rPr>
          <w:rFonts w:ascii="Garamond" w:eastAsia="Times New Roman" w:hAnsi="Garamond"/>
          <w:sz w:val="24"/>
          <w:szCs w:val="24"/>
          <w:lang w:eastAsia="en-GB"/>
        </w:rPr>
        <w:t xml:space="preserve"> that was subjected to deconstruction and parody by the BOA.</w:t>
      </w:r>
      <w:r>
        <w:rPr>
          <w:rStyle w:val="FootnoteReference"/>
          <w:rFonts w:ascii="Garamond" w:eastAsia="Times New Roman" w:hAnsi="Garamond"/>
          <w:sz w:val="24"/>
          <w:szCs w:val="24"/>
          <w:lang w:eastAsia="en-GB"/>
        </w:rPr>
        <w:footnoteReference w:id="88"/>
      </w:r>
      <w:r>
        <w:rPr>
          <w:rFonts w:ascii="Garamond" w:eastAsia="Times New Roman" w:hAnsi="Garamond"/>
          <w:sz w:val="24"/>
          <w:szCs w:val="24"/>
          <w:lang w:eastAsia="en-GB"/>
        </w:rPr>
        <w:t xml:space="preserve"> </w:t>
      </w:r>
      <w:r w:rsidRPr="00907189">
        <w:rPr>
          <w:rFonts w:ascii="Garamond" w:eastAsia="Times New Roman" w:hAnsi="Garamond"/>
          <w:sz w:val="24"/>
          <w:szCs w:val="24"/>
          <w:lang w:eastAsia="en-GB"/>
        </w:rPr>
        <w:t>Where outspanning was a specific type of white colonization, the BOA made inspanning into a performative anti-colonial intervention. Ou</w:t>
      </w:r>
      <w:r w:rsidR="00D27824">
        <w:rPr>
          <w:rFonts w:ascii="Garamond" w:eastAsia="Times New Roman" w:hAnsi="Garamond"/>
          <w:sz w:val="24"/>
          <w:szCs w:val="24"/>
          <w:lang w:eastAsia="en-GB"/>
        </w:rPr>
        <w:t>tspan campaigns of the 1970s were</w:t>
      </w:r>
      <w:r w:rsidRPr="00907189">
        <w:rPr>
          <w:rFonts w:ascii="Garamond" w:eastAsia="Times New Roman" w:hAnsi="Garamond"/>
          <w:sz w:val="24"/>
          <w:szCs w:val="24"/>
          <w:lang w:eastAsia="en-GB"/>
        </w:rPr>
        <w:t xml:space="preserve"> unveiled to stand for white colonization.</w:t>
      </w:r>
    </w:p>
    <w:p w:rsidR="00B61BF5" w:rsidRDefault="00B61BF5" w:rsidP="00BA0F0B">
      <w:pPr>
        <w:spacing w:after="0" w:line="360" w:lineRule="auto"/>
        <w:jc w:val="both"/>
        <w:textAlignment w:val="baseline"/>
        <w:rPr>
          <w:rFonts w:ascii="Garamond" w:eastAsia="Times New Roman" w:hAnsi="Garamond"/>
          <w:sz w:val="24"/>
          <w:szCs w:val="24"/>
          <w:lang w:eastAsia="en-GB"/>
        </w:rPr>
      </w:pPr>
    </w:p>
    <w:p w:rsidR="00BA0F0B" w:rsidRPr="00907189" w:rsidRDefault="00BA0F0B" w:rsidP="00BA0F0B">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 xml:space="preserve">The Outspan story starts with the mythologies created by communities of gold prospectors, journalists and explorers  at the time of Boer and British expansion inland from Cape Town. To uitspan or outspan meant to unyoke cattle on new pastures. However, the process of uitspanning / outspanning became synonymous with much more than the literal unharnessing of cattle. It recalled the romance and danger associated with the vast Bushveld night, and it described a particular form of frontier colonialism based around the rush for gold, the mobility of wagons and the food stability afforded by cattle. To these temporary white communities ‘the outspan’ was a vast unchartered space of material and emotional potentiality, a space to expand into and </w:t>
      </w:r>
      <w:r w:rsidRPr="00907189">
        <w:rPr>
          <w:rFonts w:ascii="Garamond" w:eastAsia="Times New Roman" w:hAnsi="Garamond"/>
          <w:sz w:val="24"/>
          <w:szCs w:val="24"/>
          <w:lang w:eastAsia="en-GB"/>
        </w:rPr>
        <w:lastRenderedPageBreak/>
        <w:t>across. The romance, capitalist speculation and hyper-masculinity of this frontier politics (taking place in Machonaland - meaning a land of/for men) is vibrantly evoked in James Percy Fitzpatrick's short book, </w:t>
      </w:r>
      <w:r w:rsidRPr="00907189">
        <w:rPr>
          <w:rFonts w:ascii="Garamond" w:eastAsia="Times New Roman" w:hAnsi="Garamond"/>
          <w:i/>
          <w:iCs/>
          <w:sz w:val="24"/>
          <w:szCs w:val="24"/>
          <w:lang w:eastAsia="en-GB"/>
        </w:rPr>
        <w:t>The Outspan</w:t>
      </w:r>
      <w:r w:rsidRPr="00907189">
        <w:rPr>
          <w:rFonts w:ascii="Garamond" w:eastAsia="Times New Roman" w:hAnsi="Garamond"/>
          <w:sz w:val="24"/>
          <w:szCs w:val="24"/>
          <w:lang w:eastAsia="en-GB"/>
        </w:rPr>
        <w:t>:</w:t>
      </w:r>
    </w:p>
    <w:p w:rsidR="00BA0F0B" w:rsidRPr="00907189" w:rsidRDefault="00BA0F0B" w:rsidP="00BA0F0B">
      <w:pPr>
        <w:spacing w:after="0" w:line="360" w:lineRule="auto"/>
        <w:ind w:left="284" w:right="284"/>
        <w:jc w:val="both"/>
        <w:textAlignment w:val="baseline"/>
        <w:rPr>
          <w:rFonts w:ascii="Garamond" w:eastAsia="Times New Roman" w:hAnsi="Garamond"/>
          <w:i/>
          <w:iCs/>
          <w:sz w:val="24"/>
          <w:szCs w:val="24"/>
          <w:lang w:eastAsia="en-GB"/>
        </w:rPr>
      </w:pPr>
    </w:p>
    <w:p w:rsidR="00BA0F0B" w:rsidRPr="00907189" w:rsidRDefault="00BA0F0B" w:rsidP="00BA0F0B">
      <w:pPr>
        <w:spacing w:after="0" w:line="360" w:lineRule="auto"/>
        <w:ind w:left="284" w:right="284"/>
        <w:jc w:val="both"/>
        <w:textAlignment w:val="baseline"/>
        <w:rPr>
          <w:rFonts w:ascii="Garamond" w:eastAsia="Times New Roman" w:hAnsi="Garamond"/>
          <w:lang w:eastAsia="en-GB"/>
        </w:rPr>
      </w:pPr>
      <w:r w:rsidRPr="00907189">
        <w:rPr>
          <w:rFonts w:ascii="Garamond" w:eastAsia="Times New Roman" w:hAnsi="Garamond"/>
          <w:iCs/>
          <w:lang w:eastAsia="en-GB"/>
        </w:rPr>
        <w:t>It was in '91, the year after the pioneers had cut their way through the Bush, with Selous to guide them, and occupied Machonaland. We followed their trail and lived again their anxious nights and days, when they, a small handful in a dense bush, at the mercy of the Matabele thousands, didn't know at what hour they would be pounced on and massacred. We crossed the Lundi, and somewhere beyond where one of their worst nights was passed we outspanned in peace and security, and gossiped over the ruins of ancient temples and the graves of recent pioneers. There were half dozen of us, and we lay round the fire in lazy silence, too content to speak, simply living and drinking in indescribable glories of an ideal African night</w:t>
      </w:r>
      <w:r>
        <w:rPr>
          <w:rFonts w:ascii="Garamond" w:eastAsia="Times New Roman" w:hAnsi="Garamond"/>
          <w:iCs/>
          <w:lang w:eastAsia="en-GB"/>
        </w:rPr>
        <w:t>.</w:t>
      </w:r>
      <w:r w:rsidRPr="00907189">
        <w:rPr>
          <w:rFonts w:ascii="Garamond" w:eastAsia="Times New Roman" w:hAnsi="Garamond"/>
          <w:iCs/>
          <w:lang w:eastAsia="en-GB"/>
        </w:rPr>
        <w:t xml:space="preserve"> </w:t>
      </w:r>
      <w:r>
        <w:rPr>
          <w:rFonts w:ascii="Garamond" w:eastAsia="Times New Roman" w:hAnsi="Garamond"/>
          <w:lang w:eastAsia="en-GB"/>
        </w:rPr>
        <w:t>(1897: 6)</w:t>
      </w:r>
    </w:p>
    <w:p w:rsidR="00BA0F0B" w:rsidRPr="00907189" w:rsidRDefault="00BA0F0B" w:rsidP="00BA0F0B">
      <w:pPr>
        <w:spacing w:after="0" w:line="360" w:lineRule="auto"/>
        <w:jc w:val="both"/>
        <w:textAlignment w:val="baseline"/>
        <w:rPr>
          <w:rFonts w:ascii="Garamond" w:eastAsia="Times New Roman" w:hAnsi="Garamond"/>
          <w:sz w:val="24"/>
          <w:szCs w:val="24"/>
          <w:lang w:eastAsia="en-GB"/>
        </w:rPr>
      </w:pPr>
    </w:p>
    <w:p w:rsidR="00B61BF5" w:rsidRDefault="00BA0F0B" w:rsidP="00B61BF5">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The son of two Irish immigrants, Fitzpatrick wrote several books based on his experiences as young transport rider based</w:t>
      </w:r>
      <w:r w:rsidR="00D27824">
        <w:rPr>
          <w:rFonts w:ascii="Garamond" w:eastAsia="Times New Roman" w:hAnsi="Garamond"/>
          <w:sz w:val="24"/>
          <w:szCs w:val="24"/>
          <w:lang w:eastAsia="en-GB"/>
        </w:rPr>
        <w:t xml:space="preserve"> in the lowlands of the Transva</w:t>
      </w:r>
      <w:r w:rsidRPr="00907189">
        <w:rPr>
          <w:rFonts w:ascii="Garamond" w:eastAsia="Times New Roman" w:hAnsi="Garamond"/>
          <w:sz w:val="24"/>
          <w:szCs w:val="24"/>
          <w:lang w:eastAsia="en-GB"/>
        </w:rPr>
        <w:t xml:space="preserve">al.  He was encouraged by his friend Rudyard Kipling to write a collection of children's stories based on the adventures he shared </w:t>
      </w:r>
      <w:r w:rsidR="00751122">
        <w:rPr>
          <w:rFonts w:ascii="Garamond" w:eastAsia="Times New Roman" w:hAnsi="Garamond"/>
          <w:sz w:val="24"/>
          <w:szCs w:val="24"/>
          <w:lang w:eastAsia="en-GB"/>
        </w:rPr>
        <w:t xml:space="preserve">with his pet Staffordshire Bull </w:t>
      </w:r>
      <w:r w:rsidRPr="00907189">
        <w:rPr>
          <w:rFonts w:ascii="Garamond" w:eastAsia="Times New Roman" w:hAnsi="Garamond"/>
          <w:sz w:val="24"/>
          <w:szCs w:val="24"/>
          <w:lang w:eastAsia="en-GB"/>
        </w:rPr>
        <w:t>Terrier. The resulting publication, </w:t>
      </w:r>
      <w:r w:rsidRPr="00907189">
        <w:rPr>
          <w:rFonts w:ascii="Garamond" w:eastAsia="Times New Roman" w:hAnsi="Garamond"/>
          <w:i/>
          <w:iCs/>
          <w:sz w:val="24"/>
          <w:szCs w:val="24"/>
          <w:lang w:eastAsia="en-GB"/>
        </w:rPr>
        <w:t>Jock of the Bushveld</w:t>
      </w:r>
      <w:r w:rsidRPr="00907189">
        <w:rPr>
          <w:rFonts w:ascii="Garamond" w:eastAsia="Times New Roman" w:hAnsi="Garamond"/>
          <w:sz w:val="24"/>
          <w:szCs w:val="24"/>
          <w:lang w:eastAsia="en-GB"/>
        </w:rPr>
        <w:t xml:space="preserve"> (1907), sold exceptionally well to a British public demanding exciting imperial adventures that extolled 'British' virtues of loyalty and backing the underdog (Jock was the runt of the litter). The book went through four editions in 1907 and has been reprinted over a hundred times since. Current reproductions have largely removed the racist terminology of the original imperial text. </w:t>
      </w:r>
    </w:p>
    <w:p w:rsidR="00B61BF5" w:rsidRDefault="00B61BF5" w:rsidP="00B61BF5">
      <w:pPr>
        <w:spacing w:after="0" w:line="360" w:lineRule="auto"/>
        <w:jc w:val="both"/>
        <w:textAlignment w:val="baseline"/>
        <w:rPr>
          <w:rFonts w:ascii="Garamond" w:eastAsia="Times New Roman" w:hAnsi="Garamond"/>
          <w:sz w:val="24"/>
          <w:szCs w:val="24"/>
          <w:lang w:eastAsia="en-GB"/>
        </w:rPr>
      </w:pPr>
    </w:p>
    <w:p w:rsidR="00726382" w:rsidRDefault="00BA0F0B" w:rsidP="00B61BF5">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After the final Boer war Fitzpatrick entered politics and assumed the role of chief negotiator for Anglo-Afrikaaner relations.  Putting his fame to profitable use, he became a capitalist with an obsessive desire to provide irrigation for the mass production of citrus for export. Fitzpatrick visited the Sunkist orange plantations in California and on return implemented new techniques for increasing citrus yields and productivity. Fitzpatrick created the Outspan brand in 1922 as the label for citrus grown on his farms in the Sundays River Valley.</w:t>
      </w:r>
    </w:p>
    <w:p w:rsidR="00726382" w:rsidRDefault="00726382" w:rsidP="00B61BF5">
      <w:pPr>
        <w:spacing w:after="0" w:line="360" w:lineRule="auto"/>
        <w:jc w:val="both"/>
        <w:textAlignment w:val="baseline"/>
        <w:rPr>
          <w:rFonts w:ascii="Garamond" w:eastAsia="Times New Roman" w:hAnsi="Garamond"/>
          <w:sz w:val="24"/>
          <w:szCs w:val="24"/>
          <w:lang w:eastAsia="en-GB"/>
        </w:rPr>
      </w:pPr>
    </w:p>
    <w:p w:rsidR="00726382" w:rsidRDefault="00726382" w:rsidP="00B61BF5">
      <w:pPr>
        <w:spacing w:after="0" w:line="360" w:lineRule="auto"/>
        <w:jc w:val="both"/>
        <w:textAlignment w:val="baseline"/>
        <w:rPr>
          <w:rFonts w:ascii="Garamond" w:eastAsia="Times New Roman" w:hAnsi="Garamond"/>
          <w:sz w:val="24"/>
          <w:szCs w:val="24"/>
          <w:lang w:eastAsia="en-GB"/>
        </w:rPr>
      </w:pPr>
    </w:p>
    <w:p w:rsidR="00726382" w:rsidRDefault="00726382" w:rsidP="00B61BF5">
      <w:pPr>
        <w:spacing w:after="0" w:line="360" w:lineRule="auto"/>
        <w:jc w:val="both"/>
        <w:textAlignment w:val="baseline"/>
        <w:rPr>
          <w:rFonts w:ascii="Garamond" w:eastAsia="Times New Roman" w:hAnsi="Garamond"/>
          <w:sz w:val="24"/>
          <w:szCs w:val="24"/>
          <w:lang w:eastAsia="en-GB"/>
        </w:rPr>
      </w:pPr>
    </w:p>
    <w:p w:rsidR="00726382" w:rsidRDefault="00726382" w:rsidP="00B61BF5">
      <w:pPr>
        <w:spacing w:after="0" w:line="360" w:lineRule="auto"/>
        <w:jc w:val="both"/>
        <w:textAlignment w:val="baseline"/>
        <w:rPr>
          <w:rFonts w:ascii="Garamond" w:eastAsia="Times New Roman" w:hAnsi="Garamond"/>
          <w:sz w:val="24"/>
          <w:szCs w:val="24"/>
          <w:lang w:eastAsia="en-GB"/>
        </w:rPr>
      </w:pPr>
    </w:p>
    <w:p w:rsidR="00A70185" w:rsidRDefault="00A70185" w:rsidP="00B61BF5">
      <w:pPr>
        <w:spacing w:after="0" w:line="360" w:lineRule="auto"/>
        <w:jc w:val="both"/>
        <w:textAlignment w:val="baseline"/>
        <w:rPr>
          <w:rFonts w:ascii="Garamond" w:eastAsia="Times New Roman" w:hAnsi="Garamond"/>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A70185">
        <w:tc>
          <w:tcPr>
            <w:tcW w:w="4258" w:type="dxa"/>
          </w:tcPr>
          <w:p w:rsidR="00A70185" w:rsidRPr="00A70185" w:rsidRDefault="00A70185" w:rsidP="00A70185">
            <w:pPr>
              <w:spacing w:after="202" w:line="360" w:lineRule="auto"/>
              <w:jc w:val="both"/>
              <w:textAlignment w:val="baseline"/>
              <w:rPr>
                <w:rFonts w:ascii="Garamond" w:eastAsia="Times New Roman" w:hAnsi="Garamond"/>
                <w:sz w:val="24"/>
                <w:szCs w:val="24"/>
                <w:lang w:eastAsia="en-GB"/>
              </w:rPr>
            </w:pPr>
            <w:r w:rsidRPr="00A70185">
              <w:rPr>
                <w:rFonts w:ascii="Garamond" w:eastAsia="Times New Roman" w:hAnsi="Garamond"/>
                <w:noProof/>
                <w:sz w:val="24"/>
                <w:szCs w:val="24"/>
                <w:lang w:eastAsia="en-GB"/>
              </w:rPr>
              <w:lastRenderedPageBreak/>
              <w:drawing>
                <wp:inline distT="0" distB="0" distL="0" distR="0">
                  <wp:extent cx="2061875" cy="2734733"/>
                  <wp:effectExtent l="25400" t="0" r="0" b="0"/>
                  <wp:docPr id="84" name="Picture 1" descr="http://hughcrosfield.files.wordpress.com/2012/11/photo.jpg?w=206&amp;h=274">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ughcrosfield.files.wordpress.com/2012/11/photo.jpg?w=206&amp;h=274">
                            <a:hlinkClick r:id="rId41"/>
                          </pic:cNvPr>
                          <pic:cNvPicPr>
                            <a:picLocks noChangeAspect="1" noChangeArrowheads="1"/>
                          </pic:cNvPicPr>
                        </pic:nvPicPr>
                        <pic:blipFill>
                          <a:blip r:embed="rId42" cstate="print"/>
                          <a:srcRect/>
                          <a:stretch>
                            <a:fillRect/>
                          </a:stretch>
                        </pic:blipFill>
                        <pic:spPr bwMode="auto">
                          <a:xfrm>
                            <a:off x="0" y="0"/>
                            <a:ext cx="2065211" cy="2739158"/>
                          </a:xfrm>
                          <a:prstGeom prst="rect">
                            <a:avLst/>
                          </a:prstGeom>
                          <a:noFill/>
                          <a:ln w="9525">
                            <a:noFill/>
                            <a:miter lim="800000"/>
                            <a:headEnd/>
                            <a:tailEnd/>
                          </a:ln>
                        </pic:spPr>
                      </pic:pic>
                    </a:graphicData>
                  </a:graphic>
                </wp:inline>
              </w:drawing>
            </w:r>
          </w:p>
        </w:tc>
        <w:tc>
          <w:tcPr>
            <w:tcW w:w="4258" w:type="dxa"/>
          </w:tcPr>
          <w:p w:rsidR="001A482E" w:rsidRDefault="00A96BB2" w:rsidP="00A70185">
            <w:pPr>
              <w:pStyle w:val="Caption"/>
              <w:rPr>
                <w:rFonts w:ascii="Garamond" w:eastAsia="Times New Roman" w:hAnsi="Garamond"/>
                <w:sz w:val="24"/>
                <w:szCs w:val="24"/>
                <w:lang w:eastAsia="en-GB"/>
              </w:rPr>
            </w:pPr>
            <w:bookmarkStart w:id="403" w:name="_Toc263509021"/>
            <w:bookmarkStart w:id="404" w:name="_Toc263510808"/>
            <w:bookmarkStart w:id="405" w:name="_Toc244508224"/>
            <w:bookmarkStart w:id="406" w:name="_Toc244577286"/>
            <w:bookmarkStart w:id="407" w:name="_Toc263495755"/>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24</w:t>
            </w:r>
            <w:r w:rsidR="00DF2DF8" w:rsidRPr="00A96BB2">
              <w:rPr>
                <w:rFonts w:ascii="Perpetua" w:hAnsi="Perpetua"/>
                <w:b w:val="0"/>
                <w:color w:val="auto"/>
                <w:sz w:val="20"/>
              </w:rPr>
              <w:fldChar w:fldCharType="end"/>
            </w:r>
            <w:r w:rsidRPr="00A96BB2">
              <w:rPr>
                <w:rFonts w:ascii="Perpetua" w:hAnsi="Perpetua"/>
                <w:b w:val="0"/>
                <w:color w:val="auto"/>
                <w:sz w:val="20"/>
              </w:rPr>
              <w:t>: Photograph of Fitzpatrick's Outspan Citrus label.</w:t>
            </w:r>
            <w:bookmarkEnd w:id="403"/>
            <w:bookmarkEnd w:id="404"/>
            <w:r>
              <w:rPr>
                <w:rFonts w:ascii="Garamond" w:eastAsia="Times New Roman" w:hAnsi="Garamond"/>
                <w:sz w:val="24"/>
                <w:szCs w:val="24"/>
                <w:lang w:eastAsia="en-GB"/>
              </w:rPr>
              <w:t xml:space="preserve"> </w:t>
            </w:r>
          </w:p>
          <w:p w:rsidR="00A70185" w:rsidRPr="001A482E" w:rsidRDefault="00A70185" w:rsidP="001A482E">
            <w:pPr>
              <w:rPr>
                <w:rFonts w:ascii="Perpetua" w:hAnsi="Perpetua"/>
                <w:sz w:val="20"/>
              </w:rPr>
            </w:pPr>
            <w:r w:rsidRPr="001A482E">
              <w:rPr>
                <w:rFonts w:ascii="Perpetua" w:hAnsi="Perpetua"/>
                <w:sz w:val="20"/>
              </w:rPr>
              <w:t>At this point Outspan was one of dozens of South African citrus labels that adorned oranges exported to Europe.</w:t>
            </w:r>
            <w:bookmarkEnd w:id="405"/>
            <w:bookmarkEnd w:id="406"/>
            <w:bookmarkEnd w:id="407"/>
          </w:p>
          <w:p w:rsidR="00A70185" w:rsidRDefault="00A70185" w:rsidP="00A96BB2">
            <w:pPr>
              <w:keepNext/>
              <w:spacing w:after="202" w:line="360" w:lineRule="auto"/>
              <w:jc w:val="both"/>
              <w:textAlignment w:val="baseline"/>
              <w:rPr>
                <w:rFonts w:ascii="Garamond" w:eastAsia="Times New Roman" w:hAnsi="Garamond"/>
                <w:sz w:val="24"/>
                <w:szCs w:val="24"/>
                <w:lang w:eastAsia="en-GB"/>
              </w:rPr>
            </w:pPr>
          </w:p>
        </w:tc>
      </w:tr>
    </w:tbl>
    <w:p w:rsidR="001A482E" w:rsidRDefault="001A482E" w:rsidP="00B61BF5">
      <w:pPr>
        <w:spacing w:after="0" w:line="360" w:lineRule="auto"/>
        <w:jc w:val="both"/>
        <w:textAlignment w:val="baseline"/>
        <w:rPr>
          <w:rFonts w:ascii="Garamond" w:eastAsia="Times New Roman" w:hAnsi="Garamond"/>
          <w:sz w:val="24"/>
          <w:szCs w:val="24"/>
          <w:lang w:eastAsia="en-GB"/>
        </w:rPr>
      </w:pPr>
    </w:p>
    <w:p w:rsidR="00B61BF5" w:rsidRPr="00907189" w:rsidRDefault="00BA0F0B" w:rsidP="00B61BF5">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Established as the trading name for all South African export citrus in 1937, the Outspan identity was forged by a conglomerate of growers as a means to compete on an international scale with Sunkist (Cart</w:t>
      </w:r>
      <w:r w:rsidR="00F07857">
        <w:rPr>
          <w:rFonts w:ascii="Garamond" w:eastAsia="Times New Roman" w:hAnsi="Garamond"/>
          <w:sz w:val="24"/>
          <w:szCs w:val="24"/>
          <w:lang w:eastAsia="en-GB"/>
        </w:rPr>
        <w:t>w</w:t>
      </w:r>
      <w:r w:rsidRPr="00907189">
        <w:rPr>
          <w:rFonts w:ascii="Garamond" w:eastAsia="Times New Roman" w:hAnsi="Garamond"/>
          <w:sz w:val="24"/>
          <w:szCs w:val="24"/>
          <w:lang w:eastAsia="en-GB"/>
        </w:rPr>
        <w:t xml:space="preserve">right, 1977; Mather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Rowcroft, 2004). The name Outspan was </w:t>
      </w:r>
      <w:r w:rsidR="00B61BF5" w:rsidRPr="00907189">
        <w:rPr>
          <w:rFonts w:ascii="Garamond" w:eastAsia="Times New Roman" w:hAnsi="Garamond"/>
          <w:sz w:val="24"/>
          <w:szCs w:val="24"/>
          <w:lang w:eastAsia="en-GB"/>
        </w:rPr>
        <w:t>chosen by the citrus exchange board as it was imbued with nationalistic nostalgia, came easily to the tongue, and was considered to honour Fitzpatrick after his death (Cartwright, 1977).</w:t>
      </w:r>
    </w:p>
    <w:p w:rsidR="00B61BF5" w:rsidRDefault="00B61BF5" w:rsidP="00B61BF5">
      <w:pPr>
        <w:spacing w:after="0" w:line="360" w:lineRule="auto"/>
        <w:jc w:val="both"/>
        <w:textAlignment w:val="baseline"/>
        <w:rPr>
          <w:rFonts w:ascii="Garamond" w:eastAsia="Times New Roman" w:hAnsi="Garamond"/>
          <w:sz w:val="24"/>
          <w:szCs w:val="24"/>
          <w:lang w:eastAsia="en-GB"/>
        </w:rPr>
      </w:pPr>
    </w:p>
    <w:p w:rsidR="00726382" w:rsidRDefault="00B61BF5" w:rsidP="00A70185">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As the sole international system of provision and distribution for South African citrus for over fifty years, Outspan had high levels of visibility to consumers in the UK, France, Germany, Ireland, Italy, the</w:t>
      </w:r>
      <w:r>
        <w:rPr>
          <w:rFonts w:ascii="Garamond" w:eastAsia="Times New Roman" w:hAnsi="Garamond"/>
          <w:sz w:val="24"/>
          <w:szCs w:val="24"/>
          <w:lang w:eastAsia="en-GB"/>
        </w:rPr>
        <w:t xml:space="preserve"> </w:t>
      </w:r>
      <w:r w:rsidR="00BA0F0B" w:rsidRPr="00907189">
        <w:rPr>
          <w:rFonts w:ascii="Garamond" w:eastAsia="Times New Roman" w:hAnsi="Garamond"/>
          <w:sz w:val="24"/>
          <w:szCs w:val="24"/>
          <w:lang w:eastAsia="en-GB"/>
        </w:rPr>
        <w:t xml:space="preserve">Benelux countries and Scandinavia, largely due to its sizeable budget for overseas marketing campaigns which by 1972 totalled over two million Rand (Mather </w:t>
      </w:r>
      <w:r w:rsidR="00F152DB">
        <w:rPr>
          <w:rFonts w:ascii="Garamond" w:eastAsia="Times New Roman" w:hAnsi="Garamond"/>
          <w:sz w:val="24"/>
          <w:szCs w:val="24"/>
          <w:lang w:eastAsia="en-GB"/>
        </w:rPr>
        <w:t>and</w:t>
      </w:r>
      <w:r w:rsidR="00BA0F0B" w:rsidRPr="00907189">
        <w:rPr>
          <w:rFonts w:ascii="Garamond" w:eastAsia="Times New Roman" w:hAnsi="Garamond"/>
          <w:sz w:val="24"/>
          <w:szCs w:val="24"/>
          <w:lang w:eastAsia="en-GB"/>
        </w:rPr>
        <w:t xml:space="preserve"> Rowcroft, 2004). Following the Sharpeville massacre of 1960, the company abstained from making explicit links between South Africa and its fruit in advertisements and marketing campaigns. Instead of creating geographical knowledges that idealized cultures of production, Outspan focused on brand building and fostering circuits of knowledges based on an individualized body politics of citrus consumption (Probyn, 2000). These knowledges suggested that health, vitality and beauty could be attained through the consumption of Outspan citrus (Mather </w:t>
      </w:r>
      <w:r w:rsidR="00F152DB">
        <w:rPr>
          <w:rFonts w:ascii="Garamond" w:eastAsia="Times New Roman" w:hAnsi="Garamond"/>
          <w:sz w:val="24"/>
          <w:szCs w:val="24"/>
          <w:lang w:eastAsia="en-GB"/>
        </w:rPr>
        <w:t>and</w:t>
      </w:r>
      <w:r w:rsidR="00BA0F0B" w:rsidRPr="00907189">
        <w:rPr>
          <w:rFonts w:ascii="Garamond" w:eastAsia="Times New Roman" w:hAnsi="Garamond"/>
          <w:sz w:val="24"/>
          <w:szCs w:val="24"/>
          <w:lang w:eastAsia="en-GB"/>
        </w:rPr>
        <w:t xml:space="preserve"> Rowcroft,2004; Mather </w:t>
      </w:r>
      <w:r w:rsidR="00F152DB">
        <w:rPr>
          <w:rFonts w:ascii="Garamond" w:eastAsia="Times New Roman" w:hAnsi="Garamond"/>
          <w:sz w:val="24"/>
          <w:szCs w:val="24"/>
          <w:lang w:eastAsia="en-GB"/>
        </w:rPr>
        <w:t>and</w:t>
      </w:r>
      <w:r w:rsidR="00BA0F0B" w:rsidRPr="00907189">
        <w:rPr>
          <w:rFonts w:ascii="Garamond" w:eastAsia="Times New Roman" w:hAnsi="Garamond"/>
          <w:sz w:val="24"/>
          <w:szCs w:val="24"/>
          <w:lang w:eastAsia="en-GB"/>
        </w:rPr>
        <w:t xml:space="preserve"> Mackenzie, 2006). Outspan knowledges were not simply represented, they elucidated particular embodied relationships between citrus fruit and consumers. These embodied relationships were wiredrawn through national advertisements and regional and local campaigns. Adverts in the UK and Holland during the 1970s suggested that increased citrus consumption could result in reduced hair-loss, and the bronzed, tanned bodies of </w:t>
      </w:r>
      <w:r w:rsidR="00BA0F0B" w:rsidRPr="00907189">
        <w:rPr>
          <w:rFonts w:ascii="Garamond" w:eastAsia="Times New Roman" w:hAnsi="Garamond"/>
          <w:sz w:val="24"/>
          <w:szCs w:val="24"/>
          <w:lang w:eastAsia="en-GB"/>
        </w:rPr>
        <w:lastRenderedPageBreak/>
        <w:t>Outspan endorsed bodies contrasted to the palor of the European consumer.  The company recruited dozens of young white South African women to tour E</w:t>
      </w:r>
      <w:r w:rsidR="002E47A9">
        <w:rPr>
          <w:rFonts w:ascii="Garamond" w:eastAsia="Times New Roman" w:hAnsi="Garamond"/>
          <w:sz w:val="24"/>
          <w:szCs w:val="24"/>
          <w:lang w:eastAsia="en-GB"/>
        </w:rPr>
        <w:t xml:space="preserve">urope as Outspan Girls </w:t>
      </w:r>
      <w:r w:rsidR="00BA0F0B">
        <w:rPr>
          <w:rFonts w:ascii="Garamond" w:eastAsia="Times New Roman" w:hAnsi="Garamond"/>
          <w:sz w:val="24"/>
          <w:szCs w:val="24"/>
          <w:lang w:eastAsia="en-GB"/>
        </w:rPr>
        <w:t>(Cartwright</w:t>
      </w:r>
      <w:r w:rsidR="00BA0F0B" w:rsidRPr="00907189">
        <w:rPr>
          <w:rFonts w:ascii="Garamond" w:eastAsia="Times New Roman" w:hAnsi="Garamond"/>
          <w:sz w:val="24"/>
          <w:szCs w:val="24"/>
          <w:lang w:eastAsia="en-GB"/>
        </w:rPr>
        <w:t xml:space="preserve">, 1977; Mather </w:t>
      </w:r>
      <w:r w:rsidR="00F152DB">
        <w:rPr>
          <w:rFonts w:ascii="Garamond" w:eastAsia="Times New Roman" w:hAnsi="Garamond"/>
          <w:sz w:val="24"/>
          <w:szCs w:val="24"/>
          <w:lang w:eastAsia="en-GB"/>
        </w:rPr>
        <w:t>and</w:t>
      </w:r>
      <w:r w:rsidR="00BA0F0B" w:rsidRPr="00907189">
        <w:rPr>
          <w:rFonts w:ascii="Garamond" w:eastAsia="Times New Roman" w:hAnsi="Garamond"/>
          <w:sz w:val="24"/>
          <w:szCs w:val="24"/>
          <w:lang w:eastAsia="en-GB"/>
        </w:rPr>
        <w:t xml:space="preserve"> Mackenzie, 2006; du Plessis, 1974; 2009; interview 2011); they engaged the public in ‘slimming galas’ and promoted ‘Outspan diets’ whilst deflecting all questions from apartheid onto the healthy properties of citrus (du Plessis 1974).</w:t>
      </w:r>
    </w:p>
    <w:p w:rsidR="00726382" w:rsidRDefault="00726382" w:rsidP="00A70185">
      <w:pPr>
        <w:spacing w:after="0" w:line="360" w:lineRule="auto"/>
        <w:jc w:val="both"/>
        <w:textAlignment w:val="baseline"/>
        <w:rPr>
          <w:rFonts w:ascii="Garamond" w:eastAsia="Times New Roman" w:hAnsi="Garamond"/>
          <w:sz w:val="24"/>
          <w:szCs w:val="24"/>
          <w:lang w:eastAsia="en-GB"/>
        </w:rPr>
      </w:pPr>
    </w:p>
    <w:p w:rsidR="00A70185" w:rsidRDefault="00BA0F0B" w:rsidP="00A70185">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 xml:space="preserve">Through the Outspan Girls, the fruit company promoted their citrus in the embodiment of a white heteronormative femininity, where the value for the brand focused on the perceived attractiveness and youth of the female body, rather than on their ability to produce value enhancing knowledge. Mather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Rowcroft’s (2004) interviews with former girls demonstrate that they were trained in the offices of Outspan’s parent company – the Citrus Exchange – to deflect all questions on apar</w:t>
      </w:r>
      <w:r w:rsidR="002E47A9">
        <w:rPr>
          <w:rFonts w:ascii="Garamond" w:eastAsia="Times New Roman" w:hAnsi="Garamond"/>
          <w:sz w:val="24"/>
          <w:szCs w:val="24"/>
          <w:lang w:eastAsia="en-GB"/>
        </w:rPr>
        <w:t>theid with smiles. Adverts for Outspan Girls</w:t>
      </w:r>
      <w:r w:rsidRPr="00907189">
        <w:rPr>
          <w:rFonts w:ascii="Garamond" w:eastAsia="Times New Roman" w:hAnsi="Garamond"/>
          <w:sz w:val="24"/>
          <w:szCs w:val="24"/>
          <w:lang w:eastAsia="en-GB"/>
        </w:rPr>
        <w:t xml:space="preserve"> in South Africa demanded that applicants needed to </w:t>
      </w:r>
      <w:r w:rsidRPr="00907189">
        <w:rPr>
          <w:rFonts w:ascii="Garamond" w:eastAsia="Times New Roman" w:hAnsi="Garamond"/>
          <w:iCs/>
          <w:sz w:val="24"/>
          <w:szCs w:val="24"/>
          <w:lang w:eastAsia="en-GB"/>
        </w:rPr>
        <w:t>be “attractive enough to wear short skirts”,</w:t>
      </w:r>
      <w:r w:rsidRPr="00907189">
        <w:rPr>
          <w:rFonts w:ascii="Garamond" w:eastAsia="Times New Roman" w:hAnsi="Garamond"/>
          <w:i/>
          <w:iCs/>
          <w:sz w:val="24"/>
          <w:szCs w:val="24"/>
          <w:lang w:eastAsia="en-GB"/>
        </w:rPr>
        <w:t> </w:t>
      </w:r>
      <w:r w:rsidRPr="00907189">
        <w:rPr>
          <w:rFonts w:ascii="Garamond" w:eastAsia="Times New Roman" w:hAnsi="Garamond"/>
          <w:sz w:val="24"/>
          <w:szCs w:val="24"/>
          <w:lang w:eastAsia="en-GB"/>
        </w:rPr>
        <w:t>and “</w:t>
      </w:r>
      <w:r w:rsidRPr="00907189">
        <w:rPr>
          <w:rFonts w:ascii="Garamond" w:eastAsia="Times New Roman" w:hAnsi="Garamond"/>
          <w:iCs/>
          <w:sz w:val="24"/>
          <w:szCs w:val="24"/>
          <w:lang w:eastAsia="en-GB"/>
        </w:rPr>
        <w:t>lively and gay” </w:t>
      </w:r>
      <w:r w:rsidRPr="00907189">
        <w:rPr>
          <w:rFonts w:ascii="Garamond" w:eastAsia="Times New Roman" w:hAnsi="Garamond"/>
          <w:sz w:val="24"/>
          <w:szCs w:val="24"/>
          <w:lang w:eastAsia="en-GB"/>
        </w:rPr>
        <w:t xml:space="preserve">(Mather </w:t>
      </w:r>
      <w:r w:rsidR="00F152DB">
        <w:rPr>
          <w:rFonts w:ascii="Garamond" w:eastAsia="Times New Roman" w:hAnsi="Garamond"/>
          <w:sz w:val="24"/>
          <w:szCs w:val="24"/>
          <w:lang w:eastAsia="en-GB"/>
        </w:rPr>
        <w:t>and</w:t>
      </w:r>
      <w:r w:rsidRPr="00907189">
        <w:rPr>
          <w:rFonts w:ascii="Garamond" w:eastAsia="Times New Roman" w:hAnsi="Garamond"/>
          <w:sz w:val="24"/>
          <w:szCs w:val="24"/>
          <w:lang w:eastAsia="en-GB"/>
        </w:rPr>
        <w:t xml:space="preserve"> Rowcroft, 2004: 407).</w:t>
      </w:r>
      <w:r>
        <w:rPr>
          <w:rFonts w:ascii="Garamond" w:eastAsia="Times New Roman" w:hAnsi="Garamond"/>
          <w:sz w:val="24"/>
          <w:szCs w:val="24"/>
          <w:lang w:eastAsia="en-GB"/>
        </w:rPr>
        <w:t xml:space="preserve"> </w:t>
      </w:r>
      <w:r w:rsidRPr="00907189">
        <w:rPr>
          <w:rFonts w:ascii="Garamond" w:eastAsia="Times New Roman" w:hAnsi="Garamond"/>
          <w:sz w:val="24"/>
          <w:szCs w:val="24"/>
          <w:lang w:eastAsia="en-GB"/>
        </w:rPr>
        <w:t>In correspondence with me, Kenneth Grundy, an American academic studying apartheid relations with Europe in the early 1970s, reflected on his meeting with the Outspan Girls in Zurich:</w:t>
      </w:r>
    </w:p>
    <w:p w:rsidR="00A70185" w:rsidRDefault="00A70185" w:rsidP="00A70185">
      <w:pPr>
        <w:spacing w:after="0" w:line="360" w:lineRule="auto"/>
        <w:jc w:val="both"/>
        <w:textAlignment w:val="baseline"/>
        <w:rPr>
          <w:rFonts w:ascii="Garamond" w:eastAsia="Times New Roman" w:hAnsi="Garamond"/>
          <w:sz w:val="24"/>
          <w:szCs w:val="24"/>
          <w:lang w:eastAsia="en-GB"/>
        </w:rPr>
      </w:pPr>
    </w:p>
    <w:p w:rsidR="00726382" w:rsidRDefault="00726382" w:rsidP="00726382">
      <w:pPr>
        <w:spacing w:after="0" w:line="360" w:lineRule="auto"/>
        <w:ind w:left="284" w:right="284"/>
        <w:jc w:val="both"/>
        <w:textAlignment w:val="baseline"/>
        <w:rPr>
          <w:rFonts w:ascii="Garamond" w:eastAsia="Times New Roman" w:hAnsi="Garamond"/>
          <w:lang w:eastAsia="en-GB"/>
        </w:rPr>
      </w:pPr>
      <w:r w:rsidRPr="00907189">
        <w:rPr>
          <w:rFonts w:ascii="Garamond" w:eastAsia="Times New Roman" w:hAnsi="Garamond"/>
          <w:color w:val="000000"/>
          <w:lang w:eastAsia="en-GB"/>
        </w:rPr>
        <w:t>I was on holiday in Zurich during the herfstvakantsie and staying at a motel near where we were staying was a team of “Outspan meisjies” and their handlers getting ready to descend on supermarkets and shops with their promotional materials.  I did get a chance to ask them questions about their efforts, but found them too much like American cheerleaders - beautiful bodies, empty heads</w:t>
      </w:r>
      <w:r>
        <w:rPr>
          <w:rFonts w:ascii="Garamond" w:eastAsia="Times New Roman" w:hAnsi="Garamond"/>
          <w:color w:val="000000"/>
          <w:lang w:eastAsia="en-GB"/>
        </w:rPr>
        <w:t>. (Interview</w:t>
      </w:r>
      <w:r w:rsidRPr="00907189">
        <w:rPr>
          <w:rFonts w:ascii="Garamond" w:eastAsia="Times New Roman" w:hAnsi="Garamond"/>
          <w:color w:val="000000"/>
          <w:lang w:eastAsia="en-GB"/>
        </w:rPr>
        <w:t xml:space="preserve"> Grundy, 2013)</w:t>
      </w:r>
      <w:r w:rsidRPr="00907189">
        <w:rPr>
          <w:rFonts w:ascii="Garamond" w:eastAsia="Times New Roman" w:hAnsi="Garamond"/>
          <w:lang w:eastAsia="en-GB"/>
        </w:rPr>
        <w:t xml:space="preserve"> </w:t>
      </w:r>
    </w:p>
    <w:p w:rsidR="00726382" w:rsidRPr="00907189" w:rsidRDefault="00726382" w:rsidP="00726382">
      <w:pPr>
        <w:spacing w:after="0" w:line="360" w:lineRule="auto"/>
        <w:ind w:left="284" w:right="284"/>
        <w:jc w:val="both"/>
        <w:textAlignment w:val="baseline"/>
        <w:rPr>
          <w:rFonts w:ascii="Garamond" w:eastAsia="Times New Roman" w:hAnsi="Garamond"/>
          <w:lang w:eastAsia="en-GB"/>
        </w:rPr>
      </w:pPr>
    </w:p>
    <w:p w:rsidR="00726382" w:rsidRPr="00907189" w:rsidRDefault="00726382" w:rsidP="00726382">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In Holland, the BOA lead</w:t>
      </w:r>
      <w:r w:rsidR="00751122">
        <w:rPr>
          <w:rFonts w:ascii="Garamond" w:eastAsia="Times New Roman" w:hAnsi="Garamond"/>
          <w:sz w:val="24"/>
          <w:szCs w:val="24"/>
          <w:lang w:eastAsia="en-GB"/>
        </w:rPr>
        <w:t>er, Esau d</w:t>
      </w:r>
      <w:r w:rsidRPr="00907189">
        <w:rPr>
          <w:rFonts w:ascii="Garamond" w:eastAsia="Times New Roman" w:hAnsi="Garamond"/>
          <w:sz w:val="24"/>
          <w:szCs w:val="24"/>
          <w:lang w:eastAsia="en-GB"/>
        </w:rPr>
        <w:t>u Plessis introd</w:t>
      </w:r>
      <w:r w:rsidR="002E47A9">
        <w:rPr>
          <w:rFonts w:ascii="Garamond" w:eastAsia="Times New Roman" w:hAnsi="Garamond"/>
          <w:sz w:val="24"/>
          <w:szCs w:val="24"/>
          <w:lang w:eastAsia="en-GB"/>
        </w:rPr>
        <w:t>uced the Dutch consumer to the Outspan Girls</w:t>
      </w:r>
      <w:r w:rsidRPr="00907189">
        <w:rPr>
          <w:rFonts w:ascii="Garamond" w:eastAsia="Times New Roman" w:hAnsi="Garamond"/>
          <w:sz w:val="24"/>
          <w:szCs w:val="24"/>
          <w:lang w:eastAsia="en-GB"/>
        </w:rPr>
        <w:t xml:space="preserve"> in the opening to </w:t>
      </w:r>
      <w:r w:rsidRPr="00907189">
        <w:rPr>
          <w:rFonts w:ascii="Garamond" w:eastAsia="Times New Roman" w:hAnsi="Garamond"/>
          <w:i/>
          <w:iCs/>
          <w:sz w:val="24"/>
          <w:szCs w:val="24"/>
          <w:bdr w:val="none" w:sz="0" w:space="0" w:color="auto" w:frame="1"/>
          <w:lang w:eastAsia="en-GB"/>
        </w:rPr>
        <w:t>Bouwstenen Voor Apartheid</w:t>
      </w:r>
      <w:r w:rsidRPr="00907189">
        <w:rPr>
          <w:rFonts w:ascii="Garamond" w:eastAsia="Times New Roman" w:hAnsi="Garamond"/>
          <w:sz w:val="24"/>
          <w:szCs w:val="24"/>
          <w:lang w:eastAsia="en-GB"/>
        </w:rPr>
        <w:t>:</w:t>
      </w:r>
    </w:p>
    <w:p w:rsidR="00726382" w:rsidRPr="00907189" w:rsidRDefault="00726382" w:rsidP="00726382">
      <w:pPr>
        <w:spacing w:after="0" w:line="360" w:lineRule="auto"/>
        <w:jc w:val="both"/>
        <w:textAlignment w:val="baseline"/>
        <w:rPr>
          <w:rFonts w:ascii="Garamond" w:eastAsia="Times New Roman" w:hAnsi="Garamond"/>
          <w:iCs/>
          <w:lang w:eastAsia="en-GB"/>
        </w:rPr>
      </w:pPr>
    </w:p>
    <w:p w:rsidR="00726382" w:rsidRPr="00907189" w:rsidRDefault="00726382" w:rsidP="00726382">
      <w:pPr>
        <w:spacing w:after="0" w:line="360" w:lineRule="auto"/>
        <w:ind w:left="284" w:right="284"/>
        <w:jc w:val="both"/>
        <w:textAlignment w:val="baseline"/>
        <w:rPr>
          <w:rFonts w:ascii="Garamond" w:eastAsia="Times New Roman" w:hAnsi="Garamond"/>
          <w:lang w:eastAsia="en-GB"/>
        </w:rPr>
      </w:pPr>
      <w:r w:rsidRPr="00907189">
        <w:rPr>
          <w:rFonts w:ascii="Garamond" w:eastAsia="Times New Roman" w:hAnsi="Garamond"/>
          <w:iCs/>
          <w:lang w:eastAsia="en-GB"/>
        </w:rPr>
        <w:t>Currently there are eight white South African girls travelling in The Netherlands, dressed in orange mini-dresses, wearing orange wigs on their heads and driving two remarkably large orange cars…Their role is to promote the consumption of the South African Outspan oranges. Outspan girls visit the shops and street markets, where they surprise buyers of Outspan fruit with gifts such as balloons, hats, display boards and citrus presses. About 10,000 Dutch stores may request a visit from these girls. A competition is arranged between the retailers to encourage at least a month long display of Outspan propaganda material in the shop</w:t>
      </w:r>
      <w:r>
        <w:rPr>
          <w:rFonts w:ascii="Garamond" w:eastAsia="Times New Roman" w:hAnsi="Garamond"/>
          <w:iCs/>
          <w:lang w:eastAsia="en-GB"/>
        </w:rPr>
        <w:t>.</w:t>
      </w:r>
      <w:r w:rsidRPr="00907189">
        <w:rPr>
          <w:rFonts w:ascii="Garamond" w:eastAsia="Times New Roman" w:hAnsi="Garamond"/>
          <w:iCs/>
          <w:lang w:eastAsia="en-GB"/>
        </w:rPr>
        <w:t xml:space="preserve">  </w:t>
      </w:r>
      <w:r w:rsidRPr="00907189">
        <w:rPr>
          <w:rFonts w:ascii="Garamond" w:eastAsia="Times New Roman" w:hAnsi="Garamond"/>
          <w:lang w:eastAsia="en-GB"/>
        </w:rPr>
        <w:t xml:space="preserve">(Translated from Dutch in </w:t>
      </w:r>
      <w:r w:rsidRPr="00907189">
        <w:rPr>
          <w:rFonts w:ascii="Garamond" w:eastAsia="Times New Roman" w:hAnsi="Garamond"/>
          <w:i/>
          <w:lang w:eastAsia="en-GB"/>
        </w:rPr>
        <w:t>Building Blocks for Apartheid</w:t>
      </w:r>
      <w:r>
        <w:rPr>
          <w:rFonts w:ascii="Garamond" w:eastAsia="Times New Roman" w:hAnsi="Garamond"/>
          <w:lang w:eastAsia="en-GB"/>
        </w:rPr>
        <w:t>, 1972: 6)</w:t>
      </w:r>
    </w:p>
    <w:p w:rsidR="00A70185" w:rsidRDefault="00A70185" w:rsidP="00A70185">
      <w:pPr>
        <w:spacing w:after="0" w:line="360" w:lineRule="auto"/>
        <w:jc w:val="both"/>
        <w:textAlignment w:val="baseline"/>
        <w:rPr>
          <w:rFonts w:ascii="Garamond" w:eastAsia="Times New Roman" w:hAnsi="Garamond"/>
          <w:sz w:val="24"/>
          <w:szCs w:val="24"/>
          <w:lang w:eastAsia="en-GB"/>
        </w:rPr>
      </w:pPr>
    </w:p>
    <w:p w:rsidR="00BA0F0B" w:rsidRPr="00907189" w:rsidRDefault="00A70185" w:rsidP="00A70185">
      <w:pPr>
        <w:spacing w:after="0" w:line="360" w:lineRule="auto"/>
        <w:jc w:val="center"/>
        <w:textAlignment w:val="baseline"/>
        <w:rPr>
          <w:rFonts w:ascii="Garamond" w:eastAsia="Times New Roman" w:hAnsi="Garamond"/>
          <w:sz w:val="24"/>
          <w:szCs w:val="24"/>
          <w:lang w:eastAsia="en-GB"/>
        </w:rPr>
      </w:pPr>
      <w:r w:rsidRPr="00A70185">
        <w:rPr>
          <w:rFonts w:ascii="Garamond" w:eastAsia="Times New Roman" w:hAnsi="Garamond"/>
          <w:noProof/>
          <w:sz w:val="24"/>
          <w:szCs w:val="24"/>
          <w:lang w:eastAsia="en-GB"/>
        </w:rPr>
        <w:drawing>
          <wp:inline distT="0" distB="0" distL="0" distR="0">
            <wp:extent cx="4665980" cy="4460875"/>
            <wp:effectExtent l="19050" t="0" r="1270" b="0"/>
            <wp:docPr id="85" name="Picture 2" descr="http://hughcrosfield.files.wordpress.com/2012/11/img003.jpg?w=490&amp;h=468">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ughcrosfield.files.wordpress.com/2012/11/img003.jpg?w=490&amp;h=468">
                      <a:hlinkClick r:id="rId43"/>
                    </pic:cNvPr>
                    <pic:cNvPicPr>
                      <a:picLocks noChangeAspect="1" noChangeArrowheads="1"/>
                    </pic:cNvPicPr>
                  </pic:nvPicPr>
                  <pic:blipFill>
                    <a:blip r:embed="rId44" cstate="print"/>
                    <a:srcRect/>
                    <a:stretch>
                      <a:fillRect/>
                    </a:stretch>
                  </pic:blipFill>
                  <pic:spPr bwMode="auto">
                    <a:xfrm>
                      <a:off x="0" y="0"/>
                      <a:ext cx="4665980" cy="4460875"/>
                    </a:xfrm>
                    <a:prstGeom prst="rect">
                      <a:avLst/>
                    </a:prstGeom>
                    <a:noFill/>
                    <a:ln w="9525">
                      <a:noFill/>
                      <a:miter lim="800000"/>
                      <a:headEnd/>
                      <a:tailEnd/>
                    </a:ln>
                  </pic:spPr>
                </pic:pic>
              </a:graphicData>
            </a:graphic>
          </wp:inline>
        </w:drawing>
      </w:r>
    </w:p>
    <w:p w:rsidR="001A482E" w:rsidRPr="001A482E" w:rsidRDefault="00A96BB2" w:rsidP="004A7172">
      <w:pPr>
        <w:pStyle w:val="Caption"/>
        <w:ind w:left="709" w:right="787"/>
        <w:jc w:val="center"/>
        <w:rPr>
          <w:rFonts w:ascii="Perpetua" w:hAnsi="Perpetua"/>
          <w:b w:val="0"/>
          <w:color w:val="auto"/>
          <w:sz w:val="20"/>
        </w:rPr>
      </w:pPr>
      <w:bookmarkStart w:id="408" w:name="_Toc244508225"/>
      <w:bookmarkStart w:id="409" w:name="_Toc244577287"/>
      <w:bookmarkStart w:id="410" w:name="_Toc263495756"/>
      <w:bookmarkStart w:id="411" w:name="_Toc263509022"/>
      <w:bookmarkStart w:id="412" w:name="_Toc263510809"/>
      <w:r w:rsidRPr="001A482E">
        <w:rPr>
          <w:rFonts w:ascii="Perpetua" w:hAnsi="Perpetua"/>
          <w:b w:val="0"/>
          <w:color w:val="auto"/>
          <w:sz w:val="20"/>
        </w:rPr>
        <w:t xml:space="preserve">Figure </w:t>
      </w:r>
      <w:r w:rsidR="00DF2DF8" w:rsidRPr="001A482E">
        <w:rPr>
          <w:rFonts w:ascii="Perpetua" w:hAnsi="Perpetua"/>
          <w:b w:val="0"/>
          <w:color w:val="auto"/>
          <w:sz w:val="20"/>
        </w:rPr>
        <w:fldChar w:fldCharType="begin"/>
      </w:r>
      <w:r w:rsidRPr="001A482E">
        <w:rPr>
          <w:rFonts w:ascii="Perpetua" w:hAnsi="Perpetua"/>
          <w:b w:val="0"/>
          <w:color w:val="auto"/>
          <w:sz w:val="20"/>
        </w:rPr>
        <w:instrText xml:space="preserve"> SEQ Figure \* ARABIC </w:instrText>
      </w:r>
      <w:r w:rsidR="00DF2DF8" w:rsidRPr="001A482E">
        <w:rPr>
          <w:rFonts w:ascii="Perpetua" w:hAnsi="Perpetua"/>
          <w:b w:val="0"/>
          <w:color w:val="auto"/>
          <w:sz w:val="20"/>
        </w:rPr>
        <w:fldChar w:fldCharType="separate"/>
      </w:r>
      <w:r w:rsidR="002B3E92">
        <w:rPr>
          <w:rFonts w:ascii="Perpetua" w:hAnsi="Perpetua"/>
          <w:b w:val="0"/>
          <w:noProof/>
          <w:color w:val="auto"/>
          <w:sz w:val="20"/>
        </w:rPr>
        <w:t>25</w:t>
      </w:r>
      <w:r w:rsidR="00DF2DF8" w:rsidRPr="001A482E">
        <w:rPr>
          <w:rFonts w:ascii="Perpetua" w:hAnsi="Perpetua"/>
          <w:b w:val="0"/>
          <w:color w:val="auto"/>
          <w:sz w:val="20"/>
        </w:rPr>
        <w:fldChar w:fldCharType="end"/>
      </w:r>
      <w:r w:rsidRPr="001A482E">
        <w:rPr>
          <w:rFonts w:ascii="Perpetua" w:hAnsi="Perpetua"/>
          <w:b w:val="0"/>
          <w:color w:val="auto"/>
          <w:sz w:val="20"/>
        </w:rPr>
        <w:t>: Photograph of Outspan Girls 'In Flower Formation'.</w:t>
      </w:r>
      <w:bookmarkEnd w:id="408"/>
      <w:bookmarkEnd w:id="409"/>
      <w:bookmarkEnd w:id="410"/>
      <w:r w:rsidR="001A482E" w:rsidRPr="001A482E">
        <w:rPr>
          <w:rFonts w:ascii="Perpetua" w:hAnsi="Perpetua"/>
          <w:b w:val="0"/>
          <w:color w:val="auto"/>
          <w:sz w:val="20"/>
        </w:rPr>
        <w:t xml:space="preserve"> Image sourced from Cartwright (1977: 58)</w:t>
      </w:r>
      <w:bookmarkEnd w:id="411"/>
      <w:bookmarkEnd w:id="412"/>
    </w:p>
    <w:p w:rsidR="001A482E" w:rsidRDefault="001A482E" w:rsidP="001A482E">
      <w:pPr>
        <w:spacing w:line="360" w:lineRule="auto"/>
        <w:jc w:val="both"/>
        <w:rPr>
          <w:rFonts w:ascii="Garamond" w:hAnsi="Garamond"/>
          <w:sz w:val="24"/>
        </w:rPr>
      </w:pPr>
    </w:p>
    <w:p w:rsidR="00726382" w:rsidRPr="001A482E" w:rsidRDefault="00BA0F0B" w:rsidP="001A482E">
      <w:pPr>
        <w:spacing w:line="360" w:lineRule="auto"/>
        <w:jc w:val="both"/>
        <w:rPr>
          <w:rFonts w:ascii="Garamond" w:hAnsi="Garamond"/>
          <w:sz w:val="24"/>
        </w:rPr>
      </w:pPr>
      <w:r w:rsidRPr="001A482E">
        <w:rPr>
          <w:rFonts w:ascii="Garamond" w:hAnsi="Garamond"/>
          <w:sz w:val="24"/>
        </w:rPr>
        <w:t>In order to counter the Outspan Girls</w:t>
      </w:r>
      <w:r w:rsidR="00726382" w:rsidRPr="001A482E">
        <w:rPr>
          <w:rFonts w:ascii="Garamond" w:hAnsi="Garamond"/>
          <w:sz w:val="24"/>
        </w:rPr>
        <w:t>,</w:t>
      </w:r>
      <w:r w:rsidRPr="001A482E">
        <w:rPr>
          <w:rFonts w:ascii="Garamond" w:hAnsi="Garamond"/>
          <w:sz w:val="24"/>
        </w:rPr>
        <w:t xml:space="preserve"> the BOA decided to form a multi-ethnic group of female activists who would attempt to hijack the promotional campaigns of the touring Outspan Girls. The twelve Inspan Girls embodied femininity f</w:t>
      </w:r>
      <w:r w:rsidR="00751122" w:rsidRPr="001A482E">
        <w:rPr>
          <w:rFonts w:ascii="Garamond" w:hAnsi="Garamond"/>
          <w:sz w:val="24"/>
        </w:rPr>
        <w:t>rom multiple ethnicities (I</w:t>
      </w:r>
      <w:r w:rsidRPr="001A482E">
        <w:rPr>
          <w:rFonts w:ascii="Garamond" w:hAnsi="Garamond"/>
          <w:sz w:val="24"/>
        </w:rPr>
        <w:t>nterview</w:t>
      </w:r>
      <w:r w:rsidR="00751122" w:rsidRPr="001A482E">
        <w:rPr>
          <w:rFonts w:ascii="Garamond" w:hAnsi="Garamond"/>
          <w:sz w:val="24"/>
        </w:rPr>
        <w:t xml:space="preserve"> Tan</w:t>
      </w:r>
      <w:r w:rsidRPr="001A482E">
        <w:rPr>
          <w:rFonts w:ascii="Garamond" w:hAnsi="Garamond"/>
          <w:sz w:val="24"/>
        </w:rPr>
        <w:t xml:space="preserve"> 2011; du Plessis, 1974; 2011).</w:t>
      </w:r>
      <w:r w:rsidR="005B48FD" w:rsidRPr="001A482E">
        <w:rPr>
          <w:rFonts w:ascii="Garamond" w:hAnsi="Garamond"/>
          <w:sz w:val="24"/>
        </w:rPr>
        <w:t xml:space="preserve"> </w:t>
      </w:r>
      <w:r w:rsidR="00726382" w:rsidRPr="001A482E">
        <w:rPr>
          <w:rFonts w:ascii="Garamond" w:hAnsi="Garamond"/>
          <w:sz w:val="24"/>
        </w:rPr>
        <w:t xml:space="preserve">They were not black in the way Mather </w:t>
      </w:r>
      <w:r w:rsidR="00F152DB" w:rsidRPr="001A482E">
        <w:rPr>
          <w:rFonts w:ascii="Garamond" w:hAnsi="Garamond"/>
          <w:sz w:val="24"/>
        </w:rPr>
        <w:t>and</w:t>
      </w:r>
      <w:r w:rsidR="00726382" w:rsidRPr="001A482E">
        <w:rPr>
          <w:rFonts w:ascii="Garamond" w:hAnsi="Garamond"/>
          <w:sz w:val="24"/>
        </w:rPr>
        <w:t xml:space="preserve"> Mackenzie (2006) point out. Their black and white binary (of Inspan Girls/Outpsan Girls) is inaccurate and misrepresentative of the BOA’s specific intention, and its broader ideology. The Outpan Girls presented an essentialized version of race in embodying South Africa. Through their ethnic multiplicities (comprising of British, North American, Surinamese, Indonesian, South African, Dutch and Antillean representatives), the Inspan Girls were an embodied attempt to deconstruct the simple binary. Ontologically, they performed the cosmopolitan diversity of postcolonial Holland.</w:t>
      </w:r>
    </w:p>
    <w:p w:rsidR="00726382" w:rsidRDefault="00726382" w:rsidP="005B48FD">
      <w:pPr>
        <w:spacing w:after="202" w:line="360" w:lineRule="auto"/>
        <w:jc w:val="both"/>
        <w:textAlignment w:val="baseline"/>
        <w:rPr>
          <w:rFonts w:ascii="Garamond" w:eastAsia="Times New Roman" w:hAnsi="Garamond"/>
          <w:sz w:val="20"/>
          <w:szCs w:val="24"/>
          <w:lang w:eastAsia="en-GB"/>
        </w:rPr>
      </w:pPr>
    </w:p>
    <w:p w:rsidR="00726382" w:rsidRDefault="00726382" w:rsidP="005B48FD">
      <w:pPr>
        <w:spacing w:after="202" w:line="360" w:lineRule="auto"/>
        <w:jc w:val="both"/>
        <w:textAlignment w:val="baseline"/>
        <w:rPr>
          <w:rFonts w:ascii="Garamond" w:eastAsia="Times New Roman" w:hAnsi="Garamond"/>
          <w:sz w:val="20"/>
          <w:szCs w:val="24"/>
          <w:lang w:eastAsia="en-GB"/>
        </w:rPr>
      </w:pPr>
    </w:p>
    <w:p w:rsidR="00726382" w:rsidRDefault="00726382" w:rsidP="005B48FD">
      <w:pPr>
        <w:spacing w:after="202" w:line="360" w:lineRule="auto"/>
        <w:jc w:val="both"/>
        <w:textAlignment w:val="baseline"/>
        <w:rPr>
          <w:rFonts w:ascii="Garamond" w:eastAsia="Times New Roman" w:hAnsi="Garamond"/>
          <w:sz w:val="20"/>
          <w:szCs w:val="24"/>
          <w:lang w:eastAsia="en-GB"/>
        </w:rPr>
      </w:pPr>
    </w:p>
    <w:p w:rsidR="005B48FD" w:rsidRDefault="005B48FD" w:rsidP="005B48FD">
      <w:pPr>
        <w:spacing w:after="202" w:line="360" w:lineRule="auto"/>
        <w:jc w:val="both"/>
        <w:textAlignment w:val="baseline"/>
        <w:rPr>
          <w:rFonts w:ascii="Garamond" w:eastAsia="Times New Roman" w:hAnsi="Garamond"/>
          <w:sz w:val="20"/>
          <w:szCs w:val="24"/>
          <w:lang w:eastAsia="en-GB"/>
        </w:rPr>
      </w:pPr>
    </w:p>
    <w:p w:rsidR="00BA0F0B" w:rsidRPr="005B48FD" w:rsidRDefault="005B48FD" w:rsidP="005B48FD">
      <w:pPr>
        <w:spacing w:after="202" w:line="360" w:lineRule="auto"/>
        <w:jc w:val="center"/>
        <w:textAlignment w:val="baseline"/>
        <w:rPr>
          <w:rFonts w:ascii="Garamond" w:eastAsia="Times New Roman" w:hAnsi="Garamond"/>
          <w:sz w:val="20"/>
          <w:szCs w:val="24"/>
          <w:lang w:eastAsia="en-GB"/>
        </w:rPr>
      </w:pPr>
      <w:r w:rsidRPr="005B48FD">
        <w:rPr>
          <w:rFonts w:ascii="Garamond" w:eastAsia="Times New Roman" w:hAnsi="Garamond"/>
          <w:noProof/>
          <w:sz w:val="20"/>
          <w:szCs w:val="24"/>
          <w:lang w:eastAsia="en-GB"/>
        </w:rPr>
        <w:drawing>
          <wp:inline distT="0" distB="0" distL="0" distR="0">
            <wp:extent cx="4333307" cy="6333067"/>
            <wp:effectExtent l="25400" t="0" r="10093" b="0"/>
            <wp:docPr id="94" name="Picture 3" descr="http://hughcrosfield.files.wordpress.com/2012/11/inspan-girls-5.png?w=490&amp;h=716">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ughcrosfield.files.wordpress.com/2012/11/inspan-girls-5.png?w=490&amp;h=716">
                      <a:hlinkClick r:id="rId45"/>
                    </pic:cNvPr>
                    <pic:cNvPicPr>
                      <a:picLocks noChangeAspect="1" noChangeArrowheads="1"/>
                    </pic:cNvPicPr>
                  </pic:nvPicPr>
                  <pic:blipFill>
                    <a:blip r:embed="rId46" cstate="print"/>
                    <a:srcRect/>
                    <a:stretch>
                      <a:fillRect/>
                    </a:stretch>
                  </pic:blipFill>
                  <pic:spPr bwMode="auto">
                    <a:xfrm>
                      <a:off x="0" y="0"/>
                      <a:ext cx="4331151" cy="6329915"/>
                    </a:xfrm>
                    <a:prstGeom prst="rect">
                      <a:avLst/>
                    </a:prstGeom>
                    <a:noFill/>
                    <a:ln w="9525">
                      <a:noFill/>
                      <a:miter lim="800000"/>
                      <a:headEnd/>
                      <a:tailEnd/>
                    </a:ln>
                  </pic:spPr>
                </pic:pic>
              </a:graphicData>
            </a:graphic>
          </wp:inline>
        </w:drawing>
      </w:r>
    </w:p>
    <w:p w:rsidR="001A482E" w:rsidRDefault="00A96BB2" w:rsidP="004A7172">
      <w:pPr>
        <w:pStyle w:val="Caption"/>
        <w:tabs>
          <w:tab w:val="left" w:pos="709"/>
        </w:tabs>
        <w:ind w:left="851" w:right="787"/>
        <w:jc w:val="center"/>
        <w:rPr>
          <w:rFonts w:ascii="Perpetua" w:hAnsi="Perpetua"/>
          <w:b w:val="0"/>
          <w:color w:val="auto"/>
          <w:sz w:val="20"/>
        </w:rPr>
      </w:pPr>
      <w:bookmarkStart w:id="413" w:name="_Toc263509023"/>
      <w:bookmarkStart w:id="414" w:name="_Toc263510810"/>
      <w:bookmarkStart w:id="415" w:name="_Toc244508226"/>
      <w:bookmarkStart w:id="416" w:name="_Toc244577288"/>
      <w:bookmarkStart w:id="417" w:name="_Toc263495757"/>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26</w:t>
      </w:r>
      <w:r w:rsidR="00DF2DF8" w:rsidRPr="00A96BB2">
        <w:rPr>
          <w:rFonts w:ascii="Perpetua" w:hAnsi="Perpetua"/>
          <w:b w:val="0"/>
          <w:color w:val="auto"/>
          <w:sz w:val="20"/>
        </w:rPr>
        <w:fldChar w:fldCharType="end"/>
      </w:r>
      <w:r w:rsidRPr="00A96BB2">
        <w:rPr>
          <w:rFonts w:ascii="Perpetua" w:hAnsi="Perpetua"/>
          <w:b w:val="0"/>
          <w:color w:val="auto"/>
          <w:sz w:val="20"/>
        </w:rPr>
        <w:t>: Photograph of the multi-ethnic Inspan Girls, 1973.</w:t>
      </w:r>
      <w:bookmarkEnd w:id="413"/>
      <w:bookmarkEnd w:id="414"/>
    </w:p>
    <w:p w:rsidR="00BA0F0B" w:rsidRPr="001A482E" w:rsidRDefault="00BA0F0B" w:rsidP="004A7172">
      <w:pPr>
        <w:tabs>
          <w:tab w:val="left" w:pos="709"/>
        </w:tabs>
        <w:ind w:left="851" w:right="787"/>
        <w:jc w:val="both"/>
        <w:rPr>
          <w:rFonts w:ascii="Perpetua" w:hAnsi="Perpetua"/>
          <w:sz w:val="20"/>
        </w:rPr>
      </w:pPr>
      <w:r w:rsidRPr="001A482E">
        <w:rPr>
          <w:rFonts w:ascii="Perpetua" w:hAnsi="Perpetua"/>
          <w:sz w:val="20"/>
        </w:rPr>
        <w:t>Lioe Tan and Rita Isaacs Jonathan bottom left and bottom right receptively. Ely Luteyn bottom middle. Robin Gaylord midd</w:t>
      </w:r>
      <w:r w:rsidR="00751122" w:rsidRPr="001A482E">
        <w:rPr>
          <w:rFonts w:ascii="Perpetua" w:hAnsi="Perpetua"/>
          <w:sz w:val="20"/>
        </w:rPr>
        <w:t>le of the centre row.  Van der Put</w:t>
      </w:r>
      <w:r w:rsidRPr="001A482E">
        <w:rPr>
          <w:rFonts w:ascii="Perpetua" w:hAnsi="Perpetua"/>
          <w:sz w:val="20"/>
        </w:rPr>
        <w:t>ten top right. Faith de Haas middle of back row.</w:t>
      </w:r>
      <w:bookmarkEnd w:id="415"/>
      <w:bookmarkEnd w:id="416"/>
      <w:bookmarkEnd w:id="417"/>
      <w:r w:rsidRPr="001A482E">
        <w:rPr>
          <w:rFonts w:ascii="Perpetua" w:hAnsi="Perpetua"/>
          <w:sz w:val="20"/>
        </w:rPr>
        <w:t xml:space="preserve"> </w:t>
      </w:r>
    </w:p>
    <w:p w:rsidR="00E444C9" w:rsidRDefault="00E444C9" w:rsidP="00BA0F0B">
      <w:pPr>
        <w:spacing w:after="202" w:line="360" w:lineRule="auto"/>
        <w:textAlignment w:val="baseline"/>
        <w:rPr>
          <w:rFonts w:ascii="Garamond" w:eastAsia="Times New Roman" w:hAnsi="Garamond"/>
          <w:sz w:val="24"/>
          <w:szCs w:val="24"/>
          <w:lang w:eastAsia="en-GB"/>
        </w:rPr>
      </w:pPr>
    </w:p>
    <w:p w:rsidR="00BA0F0B" w:rsidRPr="00907189" w:rsidRDefault="00BA0F0B" w:rsidP="00BA0F0B">
      <w:pPr>
        <w:spacing w:after="202" w:line="360" w:lineRule="auto"/>
        <w:textAlignment w:val="baseline"/>
        <w:rPr>
          <w:rFonts w:ascii="Garamond" w:eastAsia="Times New Roman" w:hAnsi="Garamond"/>
          <w:sz w:val="24"/>
          <w:szCs w:val="24"/>
          <w:lang w:eastAsia="en-GB"/>
        </w:rPr>
      </w:pPr>
    </w:p>
    <w:p w:rsidR="00A70185" w:rsidRDefault="00A70185" w:rsidP="00A70185">
      <w:pPr>
        <w:spacing w:after="202" w:line="360" w:lineRule="auto"/>
        <w:jc w:val="both"/>
        <w:textAlignment w:val="baseline"/>
        <w:rPr>
          <w:rFonts w:ascii="Garamond" w:eastAsia="Times New Roman" w:hAnsi="Garamond"/>
          <w:sz w:val="24"/>
          <w:szCs w:val="24"/>
          <w:lang w:eastAsia="en-GB"/>
        </w:rPr>
      </w:pPr>
    </w:p>
    <w:p w:rsidR="00A70185" w:rsidRDefault="00A70185" w:rsidP="00A70185">
      <w:pPr>
        <w:spacing w:after="202" w:line="360" w:lineRule="auto"/>
        <w:jc w:val="both"/>
        <w:textAlignment w:val="baseline"/>
        <w:rPr>
          <w:rFonts w:ascii="Garamond" w:eastAsia="Times New Roman" w:hAnsi="Garamond"/>
          <w:sz w:val="24"/>
          <w:szCs w:val="24"/>
          <w:lang w:eastAsia="en-GB"/>
        </w:rPr>
      </w:pPr>
      <w:r>
        <w:rPr>
          <w:rFonts w:ascii="Garamond" w:eastAsia="Times New Roman" w:hAnsi="Garamond"/>
          <w:noProof/>
          <w:sz w:val="24"/>
          <w:szCs w:val="24"/>
          <w:lang w:eastAsia="en-GB"/>
        </w:rPr>
        <w:drawing>
          <wp:anchor distT="0" distB="0" distL="114300" distR="114300" simplePos="0" relativeHeight="251666432" behindDoc="0" locked="0" layoutInCell="1" allowOverlap="1">
            <wp:simplePos x="0" y="0"/>
            <wp:positionH relativeFrom="column">
              <wp:posOffset>575310</wp:posOffset>
            </wp:positionH>
            <wp:positionV relativeFrom="paragraph">
              <wp:posOffset>229235</wp:posOffset>
            </wp:positionV>
            <wp:extent cx="4434205" cy="5909310"/>
            <wp:effectExtent l="25400" t="0" r="10795" b="0"/>
            <wp:wrapSquare wrapText="bothSides"/>
            <wp:docPr id="86" name="Picture 4" descr="http://hughcrosfield.files.wordpress.com/2012/11/inspan-girls-6-the-marketplace-jpg.jpg?w=490&amp;h=65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ughcrosfield.files.wordpress.com/2012/11/inspan-girls-6-the-marketplace-jpg.jpg?w=490&amp;h=653">
                      <a:hlinkClick r:id="rId47"/>
                    </pic:cNvPr>
                    <pic:cNvPicPr>
                      <a:picLocks noChangeAspect="1" noChangeArrowheads="1"/>
                    </pic:cNvPicPr>
                  </pic:nvPicPr>
                  <pic:blipFill>
                    <a:blip r:embed="rId48" cstate="print"/>
                    <a:srcRect/>
                    <a:stretch>
                      <a:fillRect/>
                    </a:stretch>
                  </pic:blipFill>
                  <pic:spPr bwMode="auto">
                    <a:xfrm>
                      <a:off x="0" y="0"/>
                      <a:ext cx="4434205" cy="5909310"/>
                    </a:xfrm>
                    <a:prstGeom prst="rect">
                      <a:avLst/>
                    </a:prstGeom>
                    <a:noFill/>
                    <a:ln w="9525">
                      <a:noFill/>
                      <a:miter lim="800000"/>
                      <a:headEnd/>
                      <a:tailEnd/>
                    </a:ln>
                  </pic:spPr>
                </pic:pic>
              </a:graphicData>
            </a:graphic>
          </wp:anchor>
        </w:drawing>
      </w:r>
    </w:p>
    <w:p w:rsidR="00BA0F0B" w:rsidRPr="00907189" w:rsidRDefault="00BA0F0B" w:rsidP="00A70185">
      <w:pPr>
        <w:spacing w:after="202" w:line="360" w:lineRule="auto"/>
        <w:jc w:val="center"/>
        <w:textAlignment w:val="baseline"/>
        <w:rPr>
          <w:rFonts w:ascii="Garamond" w:eastAsia="Times New Roman" w:hAnsi="Garamond"/>
          <w:sz w:val="24"/>
          <w:szCs w:val="24"/>
          <w:lang w:eastAsia="en-GB"/>
        </w:rPr>
      </w:pPr>
    </w:p>
    <w:p w:rsidR="00BA0F0B" w:rsidRPr="00907189" w:rsidRDefault="00BA0F0B" w:rsidP="00BA0F0B">
      <w:pPr>
        <w:spacing w:after="202" w:line="360" w:lineRule="auto"/>
        <w:jc w:val="both"/>
        <w:textAlignment w:val="baseline"/>
        <w:rPr>
          <w:rFonts w:ascii="Garamond" w:eastAsia="Times New Roman" w:hAnsi="Garamond"/>
          <w:sz w:val="24"/>
          <w:szCs w:val="24"/>
          <w:lang w:eastAsia="en-GB"/>
        </w:rPr>
      </w:pPr>
    </w:p>
    <w:p w:rsidR="00BA0F0B" w:rsidRDefault="00BA0F0B" w:rsidP="00A70185">
      <w:pPr>
        <w:spacing w:after="202" w:line="360" w:lineRule="auto"/>
        <w:jc w:val="center"/>
        <w:textAlignment w:val="baseline"/>
        <w:rPr>
          <w:rFonts w:ascii="Garamond" w:eastAsia="Times New Roman" w:hAnsi="Garamond"/>
          <w:i/>
          <w:lang w:eastAsia="en-GB"/>
        </w:rPr>
      </w:pPr>
      <w:r w:rsidRPr="00907189">
        <w:rPr>
          <w:rFonts w:ascii="Garamond" w:eastAsia="Times New Roman" w:hAnsi="Garamond"/>
          <w:sz w:val="24"/>
          <w:szCs w:val="24"/>
          <w:lang w:eastAsia="en-GB"/>
        </w:rPr>
        <w:br w:type="textWrapping" w:clear="all"/>
      </w:r>
    </w:p>
    <w:p w:rsidR="001A482E" w:rsidRDefault="00A96BB2" w:rsidP="004A7172">
      <w:pPr>
        <w:pStyle w:val="Caption"/>
        <w:ind w:left="709" w:right="-64"/>
        <w:jc w:val="center"/>
        <w:rPr>
          <w:rFonts w:ascii="Perpetua" w:eastAsia="Times New Roman" w:hAnsi="Perpetua"/>
          <w:b w:val="0"/>
          <w:color w:val="auto"/>
          <w:sz w:val="20"/>
          <w:lang w:eastAsia="en-GB"/>
        </w:rPr>
      </w:pPr>
      <w:bookmarkStart w:id="418" w:name="_Toc263509024"/>
      <w:bookmarkStart w:id="419" w:name="_Toc263510811"/>
      <w:bookmarkStart w:id="420" w:name="_Toc244508227"/>
      <w:bookmarkStart w:id="421" w:name="_Toc244577289"/>
      <w:bookmarkStart w:id="422" w:name="_Toc263495758"/>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27</w:t>
      </w:r>
      <w:r w:rsidR="00DF2DF8" w:rsidRPr="00A96BB2">
        <w:rPr>
          <w:rFonts w:ascii="Perpetua" w:hAnsi="Perpetua"/>
          <w:b w:val="0"/>
          <w:color w:val="auto"/>
          <w:sz w:val="20"/>
        </w:rPr>
        <w:fldChar w:fldCharType="end"/>
      </w:r>
      <w:r w:rsidRPr="00A96BB2">
        <w:rPr>
          <w:rFonts w:ascii="Perpetua" w:hAnsi="Perpetua"/>
          <w:b w:val="0"/>
          <w:color w:val="auto"/>
          <w:sz w:val="20"/>
        </w:rPr>
        <w:t xml:space="preserve">: Photograph of article on Inspan Girls from </w:t>
      </w:r>
      <w:r w:rsidR="001A482E">
        <w:rPr>
          <w:rFonts w:ascii="Perpetua" w:hAnsi="Perpetua"/>
          <w:b w:val="0"/>
          <w:i/>
          <w:color w:val="auto"/>
          <w:sz w:val="20"/>
        </w:rPr>
        <w:t>T</w:t>
      </w:r>
      <w:r w:rsidRPr="001A482E">
        <w:rPr>
          <w:rFonts w:ascii="Perpetua" w:hAnsi="Perpetua"/>
          <w:b w:val="0"/>
          <w:i/>
          <w:color w:val="auto"/>
          <w:sz w:val="20"/>
        </w:rPr>
        <w:t>he New Internationalist,</w:t>
      </w:r>
      <w:r w:rsidR="001A482E">
        <w:rPr>
          <w:rFonts w:ascii="Perpetua" w:hAnsi="Perpetua"/>
          <w:b w:val="0"/>
          <w:color w:val="auto"/>
          <w:sz w:val="20"/>
        </w:rPr>
        <w:t xml:space="preserve"> </w:t>
      </w:r>
      <w:r w:rsidRPr="00A96BB2">
        <w:rPr>
          <w:rFonts w:ascii="Perpetua" w:hAnsi="Perpetua"/>
          <w:b w:val="0"/>
          <w:color w:val="auto"/>
          <w:sz w:val="20"/>
        </w:rPr>
        <w:t>1976.</w:t>
      </w:r>
      <w:bookmarkEnd w:id="418"/>
      <w:bookmarkEnd w:id="419"/>
    </w:p>
    <w:p w:rsidR="00BA0F0B" w:rsidRPr="001D6EDE" w:rsidRDefault="00BA0F0B" w:rsidP="004A7172">
      <w:pPr>
        <w:ind w:left="993" w:right="362"/>
        <w:jc w:val="both"/>
        <w:rPr>
          <w:rFonts w:ascii="Perpetua" w:hAnsi="Perpetua"/>
          <w:sz w:val="20"/>
        </w:rPr>
      </w:pPr>
      <w:r w:rsidRPr="001D6EDE">
        <w:rPr>
          <w:rFonts w:ascii="Perpetua" w:hAnsi="Perpetua"/>
          <w:sz w:val="20"/>
        </w:rPr>
        <w:t>Note that the Inspan Girls dressed in "black trousers, black polo-neck sweaters</w:t>
      </w:r>
      <w:r w:rsidR="00A70185" w:rsidRPr="001D6EDE">
        <w:rPr>
          <w:rFonts w:ascii="Perpetua" w:hAnsi="Perpetua"/>
          <w:sz w:val="20"/>
        </w:rPr>
        <w:t xml:space="preserve">, kaftan tops and big earrings </w:t>
      </w:r>
      <w:r w:rsidRPr="001D6EDE">
        <w:rPr>
          <w:rFonts w:ascii="Perpetua" w:hAnsi="Perpetua"/>
          <w:sz w:val="20"/>
        </w:rPr>
        <w:t>to be as conspicuous as Outspan". This contrasted with the hetero-normatively sexualized dressing of the Outspan Girls. Contains short interview extracts with Rita Isaacs-Jonathan and Esau du Plessis.</w:t>
      </w:r>
      <w:bookmarkEnd w:id="420"/>
      <w:bookmarkEnd w:id="421"/>
      <w:bookmarkEnd w:id="422"/>
    </w:p>
    <w:p w:rsidR="00BA0F0B" w:rsidRPr="00907189" w:rsidRDefault="00BA0F0B" w:rsidP="00BA0F0B">
      <w:pPr>
        <w:spacing w:after="202" w:line="360" w:lineRule="auto"/>
        <w:jc w:val="both"/>
        <w:textAlignment w:val="baseline"/>
        <w:rPr>
          <w:rFonts w:ascii="Garamond" w:eastAsia="Times New Roman" w:hAnsi="Garamond"/>
          <w:sz w:val="24"/>
          <w:szCs w:val="24"/>
          <w:lang w:eastAsia="en-GB"/>
        </w:rPr>
      </w:pPr>
    </w:p>
    <w:p w:rsidR="00E444C9" w:rsidRDefault="00E444C9" w:rsidP="00A304E4">
      <w:pPr>
        <w:spacing w:after="202" w:line="360" w:lineRule="auto"/>
        <w:jc w:val="both"/>
        <w:textAlignment w:val="baseline"/>
        <w:rPr>
          <w:rFonts w:ascii="Garamond" w:eastAsia="Times New Roman" w:hAnsi="Garamond"/>
          <w:sz w:val="24"/>
          <w:szCs w:val="24"/>
          <w:lang w:eastAsia="en-GB"/>
        </w:rPr>
      </w:pPr>
    </w:p>
    <w:p w:rsidR="00E444C9" w:rsidRDefault="00E444C9" w:rsidP="00A304E4">
      <w:pPr>
        <w:spacing w:after="202" w:line="360" w:lineRule="auto"/>
        <w:jc w:val="both"/>
        <w:textAlignment w:val="baseline"/>
        <w:rPr>
          <w:rFonts w:ascii="Garamond" w:eastAsia="Times New Roman" w:hAnsi="Garamond"/>
          <w:sz w:val="24"/>
          <w:szCs w:val="24"/>
          <w:lang w:eastAsia="en-GB"/>
        </w:rPr>
      </w:pPr>
    </w:p>
    <w:p w:rsidR="00E444C9" w:rsidRDefault="00BA0F0B" w:rsidP="00A304E4">
      <w:pPr>
        <w:spacing w:after="202"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lastRenderedPageBreak/>
        <w:t>The Inspan Girls, or ‘Inspanmeisje’, as they were known by the Dutch press</w:t>
      </w:r>
      <w:r w:rsidR="00726382">
        <w:rPr>
          <w:rFonts w:ascii="Garamond" w:eastAsia="Times New Roman" w:hAnsi="Garamond"/>
          <w:sz w:val="24"/>
          <w:szCs w:val="24"/>
          <w:lang w:eastAsia="en-GB"/>
        </w:rPr>
        <w:t>,</w:t>
      </w:r>
      <w:r w:rsidRPr="00907189">
        <w:rPr>
          <w:rFonts w:ascii="Garamond" w:eastAsia="Times New Roman" w:hAnsi="Garamond"/>
          <w:sz w:val="24"/>
          <w:szCs w:val="24"/>
          <w:lang w:eastAsia="en-GB"/>
        </w:rPr>
        <w:t xml:space="preserve"> became minor celebrities in The Netherlands for several months in 1972-73. Photographs of the women at work outside Dutch supermarkets and markets accompanied newspaper articles on apartheid in the regional and national press. Several of the activists were interviewed by reporters and radio broadcasters, and asked for their opinions on a range of subjects. During these interviews, boycotters such as Faith de Haas took the opportunity to speak directly to female consumers, to ask ‘housewives’ if they k</w:t>
      </w:r>
      <w:r w:rsidR="00A304E4">
        <w:rPr>
          <w:rFonts w:ascii="Garamond" w:eastAsia="Times New Roman" w:hAnsi="Garamond"/>
          <w:sz w:val="24"/>
          <w:szCs w:val="24"/>
          <w:lang w:eastAsia="en-GB"/>
        </w:rPr>
        <w:t>new what buyin</w:t>
      </w:r>
      <w:r w:rsidR="00726382">
        <w:rPr>
          <w:rFonts w:ascii="Garamond" w:eastAsia="Times New Roman" w:hAnsi="Garamond"/>
          <w:sz w:val="24"/>
          <w:szCs w:val="24"/>
          <w:lang w:eastAsia="en-GB"/>
        </w:rPr>
        <w:t>g Outspan implied (see Figure 28</w:t>
      </w:r>
      <w:r w:rsidR="005B52A5">
        <w:rPr>
          <w:rFonts w:ascii="Garamond" w:eastAsia="Times New Roman" w:hAnsi="Garamond"/>
          <w:sz w:val="24"/>
          <w:szCs w:val="24"/>
          <w:lang w:eastAsia="en-GB"/>
        </w:rPr>
        <w:t>, below</w:t>
      </w:r>
      <w:r w:rsidR="00A304E4">
        <w:rPr>
          <w:rFonts w:ascii="Garamond" w:eastAsia="Times New Roman" w:hAnsi="Garamond"/>
          <w:sz w:val="24"/>
          <w:szCs w:val="24"/>
          <w:lang w:eastAsia="en-GB"/>
        </w:rPr>
        <w:t>).</w:t>
      </w:r>
    </w:p>
    <w:p w:rsidR="00A304E4" w:rsidRDefault="00A304E4" w:rsidP="00A304E4">
      <w:pPr>
        <w:spacing w:after="202" w:line="360" w:lineRule="auto"/>
        <w:jc w:val="both"/>
        <w:textAlignment w:val="baseline"/>
        <w:rPr>
          <w:rFonts w:ascii="Garamond" w:eastAsia="Times New Roman" w:hAnsi="Garamond"/>
          <w:sz w:val="24"/>
          <w:szCs w:val="24"/>
          <w:lang w:eastAsia="en-GB"/>
        </w:rPr>
      </w:pPr>
    </w:p>
    <w:p w:rsidR="00BA0F0B" w:rsidRPr="00907189" w:rsidRDefault="00A304E4" w:rsidP="00A304E4">
      <w:pPr>
        <w:spacing w:after="202" w:line="360" w:lineRule="auto"/>
        <w:jc w:val="center"/>
        <w:textAlignment w:val="baseline"/>
        <w:rPr>
          <w:rFonts w:ascii="Garamond" w:eastAsia="Times New Roman" w:hAnsi="Garamond"/>
          <w:i/>
          <w:lang w:eastAsia="en-GB"/>
        </w:rPr>
      </w:pPr>
      <w:r w:rsidRPr="00A304E4">
        <w:rPr>
          <w:rFonts w:ascii="Garamond" w:eastAsia="Times New Roman" w:hAnsi="Garamond"/>
          <w:noProof/>
          <w:sz w:val="24"/>
          <w:szCs w:val="24"/>
          <w:lang w:eastAsia="en-GB"/>
        </w:rPr>
        <w:drawing>
          <wp:inline distT="0" distB="0" distL="0" distR="0">
            <wp:extent cx="4665980" cy="3589020"/>
            <wp:effectExtent l="76200" t="25400" r="109220" b="68580"/>
            <wp:docPr id="87" name="Picture 5" descr="http://hughcrosfield.files.wordpress.com/2012/11/faith-de-haas-jpg-e1352200465165.jpg?w=490&amp;h=377">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ughcrosfield.files.wordpress.com/2012/11/faith-de-haas-jpg-e1352200465165.jpg?w=490&amp;h=377">
                      <a:hlinkClick r:id="rId49"/>
                    </pic:cNvPr>
                    <pic:cNvPicPr>
                      <a:picLocks noChangeAspect="1" noChangeArrowheads="1"/>
                    </pic:cNvPicPr>
                  </pic:nvPicPr>
                  <pic:blipFill>
                    <a:blip r:embed="rId50" cstate="print"/>
                    <a:srcRect/>
                    <a:stretch>
                      <a:fillRect/>
                    </a:stretch>
                  </pic:blipFill>
                  <pic:spPr bwMode="auto">
                    <a:xfrm>
                      <a:off x="0" y="0"/>
                      <a:ext cx="4665980" cy="3589020"/>
                    </a:xfrm>
                    <a:prstGeom prst="rect">
                      <a:avLst/>
                    </a:prstGeom>
                    <a:ln w="952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1D6EDE" w:rsidRDefault="00A96BB2" w:rsidP="004A7172">
      <w:pPr>
        <w:pStyle w:val="Caption"/>
        <w:ind w:left="426" w:right="503"/>
        <w:jc w:val="center"/>
        <w:rPr>
          <w:rFonts w:ascii="Perpetua" w:hAnsi="Perpetua"/>
          <w:b w:val="0"/>
          <w:color w:val="auto"/>
          <w:sz w:val="20"/>
        </w:rPr>
      </w:pPr>
      <w:bookmarkStart w:id="423" w:name="_Toc263509025"/>
      <w:bookmarkStart w:id="424" w:name="_Toc263510812"/>
      <w:bookmarkStart w:id="425" w:name="_Toc244508228"/>
      <w:bookmarkStart w:id="426" w:name="_Toc244577290"/>
      <w:bookmarkStart w:id="427" w:name="_Toc263495759"/>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28</w:t>
      </w:r>
      <w:r w:rsidR="00DF2DF8" w:rsidRPr="00A96BB2">
        <w:rPr>
          <w:rFonts w:ascii="Perpetua" w:hAnsi="Perpetua"/>
          <w:b w:val="0"/>
          <w:color w:val="auto"/>
          <w:sz w:val="20"/>
        </w:rPr>
        <w:fldChar w:fldCharType="end"/>
      </w:r>
      <w:r w:rsidRPr="00A96BB2">
        <w:rPr>
          <w:rFonts w:ascii="Perpetua" w:hAnsi="Perpetua"/>
          <w:b w:val="0"/>
          <w:color w:val="auto"/>
          <w:sz w:val="20"/>
        </w:rPr>
        <w:t xml:space="preserve">: Photograph of article in </w:t>
      </w:r>
      <w:r w:rsidRPr="00A96BB2">
        <w:rPr>
          <w:rFonts w:ascii="Perpetua" w:hAnsi="Perpetua"/>
          <w:b w:val="0"/>
          <w:i/>
          <w:color w:val="auto"/>
          <w:sz w:val="20"/>
        </w:rPr>
        <w:t>Oost Groninger Dagblad</w:t>
      </w:r>
      <w:r w:rsidRPr="00A96BB2">
        <w:rPr>
          <w:rFonts w:ascii="Perpetua" w:hAnsi="Perpetua"/>
          <w:b w:val="0"/>
          <w:color w:val="auto"/>
          <w:sz w:val="20"/>
        </w:rPr>
        <w:t xml:space="preserve"> in which Inspan Girl, Faith de Haas, is interviewed.</w:t>
      </w:r>
      <w:bookmarkEnd w:id="423"/>
      <w:bookmarkEnd w:id="424"/>
    </w:p>
    <w:p w:rsidR="00BA0F0B" w:rsidRPr="001D6EDE" w:rsidRDefault="00BA0F0B" w:rsidP="004A7172">
      <w:pPr>
        <w:ind w:left="426" w:right="503"/>
        <w:rPr>
          <w:rFonts w:ascii="Perpetua" w:hAnsi="Perpetua"/>
          <w:sz w:val="20"/>
        </w:rPr>
      </w:pPr>
      <w:r w:rsidRPr="001D6EDE">
        <w:rPr>
          <w:rFonts w:ascii="Perpetua" w:hAnsi="Perpetua"/>
          <w:sz w:val="20"/>
        </w:rPr>
        <w:t>Oost Groninger Dagblad</w:t>
      </w:r>
      <w:r w:rsidR="00A96BB2" w:rsidRPr="001D6EDE">
        <w:rPr>
          <w:rFonts w:ascii="Perpetua" w:hAnsi="Perpetua"/>
          <w:sz w:val="20"/>
        </w:rPr>
        <w:t>’s (East Groningen News’)</w:t>
      </w:r>
      <w:r w:rsidRPr="001D6EDE">
        <w:rPr>
          <w:rFonts w:ascii="Perpetua" w:hAnsi="Perpetua"/>
          <w:sz w:val="20"/>
        </w:rPr>
        <w:t xml:space="preserve"> headline states</w:t>
      </w:r>
      <w:r w:rsidR="00A96BB2" w:rsidRPr="001D6EDE">
        <w:rPr>
          <w:rFonts w:ascii="Perpetua" w:hAnsi="Perpetua"/>
          <w:sz w:val="20"/>
        </w:rPr>
        <w:t>:</w:t>
      </w:r>
      <w:r w:rsidRPr="001D6EDE">
        <w:rPr>
          <w:rFonts w:ascii="Perpetua" w:hAnsi="Perpetua"/>
          <w:sz w:val="20"/>
        </w:rPr>
        <w:t xml:space="preserve"> “Inspan Girl Faith De Haas knows what she is talking about when it comes to Apartheid”</w:t>
      </w:r>
      <w:r w:rsidR="00A96BB2" w:rsidRPr="001D6EDE">
        <w:rPr>
          <w:rFonts w:ascii="Perpetua" w:hAnsi="Perpetua"/>
          <w:sz w:val="20"/>
        </w:rPr>
        <w:t xml:space="preserve"> (Wednesday July 11, 1973: 22)</w:t>
      </w:r>
      <w:r w:rsidRPr="001D6EDE">
        <w:rPr>
          <w:rFonts w:ascii="Perpetua" w:hAnsi="Perpetua"/>
          <w:sz w:val="20"/>
        </w:rPr>
        <w:t>.  De Haas suggests that due to her Inspan commitments, “my husband a</w:t>
      </w:r>
      <w:r w:rsidR="00A96BB2" w:rsidRPr="001D6EDE">
        <w:rPr>
          <w:rFonts w:ascii="Perpetua" w:hAnsi="Perpetua"/>
          <w:sz w:val="20"/>
        </w:rPr>
        <w:t>nd I couldn’t see each other”. T</w:t>
      </w:r>
      <w:r w:rsidRPr="001D6EDE">
        <w:rPr>
          <w:rFonts w:ascii="Perpetua" w:hAnsi="Perpetua"/>
          <w:sz w:val="20"/>
        </w:rPr>
        <w:t>he article continues with: “Ms, do you know where those oranges come from? This is the question Ms Faith from Groningen has asked hundreds of times to housewives who innocently bought Outspan oranges”.</w:t>
      </w:r>
      <w:bookmarkEnd w:id="425"/>
      <w:bookmarkEnd w:id="426"/>
      <w:bookmarkEnd w:id="427"/>
    </w:p>
    <w:p w:rsidR="00A304E4" w:rsidRDefault="00A304E4" w:rsidP="00A820B9">
      <w:pPr>
        <w:spacing w:after="0" w:line="360" w:lineRule="auto"/>
        <w:jc w:val="both"/>
        <w:textAlignment w:val="baseline"/>
        <w:rPr>
          <w:rFonts w:ascii="Garamond" w:eastAsia="Times New Roman" w:hAnsi="Garamond"/>
          <w:sz w:val="24"/>
          <w:szCs w:val="24"/>
          <w:lang w:eastAsia="en-GB"/>
        </w:rPr>
      </w:pPr>
    </w:p>
    <w:p w:rsidR="00A304E4" w:rsidRDefault="00A304E4" w:rsidP="00A304E4">
      <w:pPr>
        <w:spacing w:line="360" w:lineRule="auto"/>
        <w:ind w:left="284" w:right="284"/>
        <w:jc w:val="both"/>
        <w:textAlignment w:val="baseline"/>
        <w:rPr>
          <w:rFonts w:ascii="Garamond" w:eastAsia="Times New Roman" w:hAnsi="Garamond"/>
          <w:sz w:val="24"/>
          <w:szCs w:val="24"/>
          <w:lang w:eastAsia="en-GB"/>
        </w:rPr>
      </w:pPr>
    </w:p>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6204"/>
        <w:gridCol w:w="514"/>
        <w:gridCol w:w="2184"/>
        <w:gridCol w:w="137"/>
      </w:tblGrid>
      <w:tr w:rsidR="00A304E4">
        <w:trPr>
          <w:gridAfter w:val="1"/>
          <w:wAfter w:w="137" w:type="dxa"/>
          <w:trHeight w:val="5742"/>
        </w:trPr>
        <w:tc>
          <w:tcPr>
            <w:tcW w:w="6204" w:type="dxa"/>
          </w:tcPr>
          <w:p w:rsidR="004A7172" w:rsidRDefault="004A7172" w:rsidP="00A96BB2">
            <w:pPr>
              <w:spacing w:line="360" w:lineRule="auto"/>
              <w:ind w:right="284"/>
              <w:jc w:val="center"/>
              <w:textAlignment w:val="baseline"/>
              <w:rPr>
                <w:rFonts w:ascii="Garamond" w:eastAsia="Times New Roman" w:hAnsi="Garamond"/>
                <w:sz w:val="24"/>
                <w:szCs w:val="24"/>
                <w:lang w:eastAsia="en-GB"/>
              </w:rPr>
            </w:pPr>
          </w:p>
          <w:p w:rsidR="00A304E4" w:rsidRPr="00A304E4" w:rsidRDefault="00A96BB2" w:rsidP="00A96BB2">
            <w:pPr>
              <w:spacing w:line="360" w:lineRule="auto"/>
              <w:ind w:right="284"/>
              <w:jc w:val="center"/>
              <w:textAlignment w:val="baseline"/>
              <w:rPr>
                <w:rFonts w:ascii="Garamond" w:eastAsia="Times New Roman" w:hAnsi="Garamond"/>
                <w:sz w:val="24"/>
                <w:szCs w:val="24"/>
                <w:lang w:eastAsia="en-GB"/>
              </w:rPr>
            </w:pPr>
            <w:r w:rsidRPr="00A304E4">
              <w:rPr>
                <w:rFonts w:ascii="Garamond" w:eastAsia="Times New Roman" w:hAnsi="Garamond"/>
                <w:noProof/>
                <w:sz w:val="24"/>
                <w:szCs w:val="24"/>
                <w:lang w:eastAsia="en-GB"/>
              </w:rPr>
              <w:drawing>
                <wp:inline distT="0" distB="0" distL="0" distR="0">
                  <wp:extent cx="2971800" cy="3449402"/>
                  <wp:effectExtent l="25400" t="0" r="0" b="0"/>
                  <wp:docPr id="79" name="Picture 6" descr="http://hughcrosfield.files.wordpress.com/2012/11/inspan-girls-3-jpg.jpg?w=490&amp;h=62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ughcrosfield.files.wordpress.com/2012/11/inspan-girls-3-jpg.jpg?w=490&amp;h=622">
                            <a:hlinkClick r:id="rId51"/>
                          </pic:cNvPr>
                          <pic:cNvPicPr>
                            <a:picLocks noChangeAspect="1" noChangeArrowheads="1"/>
                          </pic:cNvPicPr>
                        </pic:nvPicPr>
                        <pic:blipFill>
                          <a:blip r:embed="rId52" cstate="print"/>
                          <a:srcRect/>
                          <a:stretch>
                            <a:fillRect/>
                          </a:stretch>
                        </pic:blipFill>
                        <pic:spPr bwMode="auto">
                          <a:xfrm>
                            <a:off x="0" y="0"/>
                            <a:ext cx="2978479" cy="3457154"/>
                          </a:xfrm>
                          <a:prstGeom prst="rect">
                            <a:avLst/>
                          </a:prstGeom>
                          <a:noFill/>
                          <a:ln w="9525">
                            <a:noFill/>
                            <a:miter lim="800000"/>
                            <a:headEnd/>
                            <a:tailEnd/>
                          </a:ln>
                        </pic:spPr>
                      </pic:pic>
                    </a:graphicData>
                  </a:graphic>
                </wp:inline>
              </w:drawing>
            </w:r>
          </w:p>
        </w:tc>
        <w:tc>
          <w:tcPr>
            <w:tcW w:w="2698" w:type="dxa"/>
            <w:gridSpan w:val="2"/>
          </w:tcPr>
          <w:p w:rsidR="00D57889" w:rsidRDefault="00D57889" w:rsidP="00A304E4">
            <w:pPr>
              <w:pStyle w:val="Caption"/>
              <w:rPr>
                <w:rFonts w:ascii="Perpetua" w:hAnsi="Perpetua"/>
                <w:color w:val="auto"/>
                <w:sz w:val="20"/>
              </w:rPr>
            </w:pPr>
          </w:p>
          <w:p w:rsidR="004A7172" w:rsidRDefault="004A7172" w:rsidP="00A96BB2">
            <w:pPr>
              <w:pStyle w:val="Caption"/>
              <w:rPr>
                <w:rFonts w:ascii="Perpetua" w:hAnsi="Perpetua"/>
                <w:b w:val="0"/>
                <w:color w:val="auto"/>
                <w:sz w:val="20"/>
              </w:rPr>
            </w:pPr>
            <w:bookmarkStart w:id="428" w:name="_Toc263509026"/>
            <w:bookmarkStart w:id="429" w:name="_Toc244508229"/>
            <w:bookmarkStart w:id="430" w:name="_Toc244577291"/>
            <w:bookmarkStart w:id="431" w:name="_Toc263495760"/>
          </w:p>
          <w:p w:rsidR="001D6EDE" w:rsidRDefault="00A96BB2" w:rsidP="00A96BB2">
            <w:pPr>
              <w:pStyle w:val="Caption"/>
              <w:rPr>
                <w:rFonts w:ascii="Perpetua" w:hAnsi="Perpetua"/>
                <w:b w:val="0"/>
                <w:color w:val="auto"/>
                <w:sz w:val="20"/>
              </w:rPr>
            </w:pPr>
            <w:bookmarkStart w:id="432" w:name="_Toc263510813"/>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29</w:t>
            </w:r>
            <w:r w:rsidR="00DF2DF8" w:rsidRPr="00A96BB2">
              <w:rPr>
                <w:rFonts w:ascii="Perpetua" w:hAnsi="Perpetua"/>
                <w:b w:val="0"/>
                <w:color w:val="auto"/>
                <w:sz w:val="20"/>
              </w:rPr>
              <w:fldChar w:fldCharType="end"/>
            </w:r>
            <w:r w:rsidRPr="00A96BB2">
              <w:rPr>
                <w:rFonts w:ascii="Perpetua" w:hAnsi="Perpetua"/>
                <w:b w:val="0"/>
                <w:color w:val="auto"/>
                <w:sz w:val="20"/>
              </w:rPr>
              <w:t xml:space="preserve">: Photograph of article taken from </w:t>
            </w:r>
            <w:r w:rsidRPr="00A96BB2">
              <w:rPr>
                <w:rFonts w:ascii="Perpetua" w:hAnsi="Perpetua"/>
                <w:b w:val="0"/>
                <w:i/>
                <w:color w:val="auto"/>
                <w:sz w:val="20"/>
              </w:rPr>
              <w:t>Winschoter Courant</w:t>
            </w:r>
            <w:r w:rsidRPr="00A96BB2">
              <w:rPr>
                <w:rFonts w:ascii="Perpetua" w:hAnsi="Perpetua"/>
                <w:b w:val="0"/>
                <w:color w:val="auto"/>
                <w:sz w:val="20"/>
              </w:rPr>
              <w:t>, 9 July 1973</w:t>
            </w:r>
            <w:r w:rsidR="001D6EDE">
              <w:rPr>
                <w:rFonts w:ascii="Perpetua" w:hAnsi="Perpetua"/>
                <w:b w:val="0"/>
                <w:color w:val="auto"/>
                <w:sz w:val="20"/>
              </w:rPr>
              <w:t>.</w:t>
            </w:r>
            <w:bookmarkEnd w:id="428"/>
            <w:bookmarkEnd w:id="432"/>
          </w:p>
          <w:p w:rsidR="00DB6347" w:rsidRPr="001D6EDE" w:rsidRDefault="00751122" w:rsidP="001D6EDE">
            <w:pPr>
              <w:rPr>
                <w:rFonts w:ascii="Perpetua" w:hAnsi="Perpetua"/>
                <w:sz w:val="20"/>
              </w:rPr>
            </w:pPr>
            <w:r w:rsidRPr="001D6EDE">
              <w:rPr>
                <w:rFonts w:ascii="Perpetua" w:hAnsi="Perpetua"/>
                <w:sz w:val="20"/>
              </w:rPr>
              <w:t xml:space="preserve">Surinamese </w:t>
            </w:r>
            <w:r w:rsidR="00A96BB2" w:rsidRPr="001D6EDE">
              <w:rPr>
                <w:rFonts w:ascii="Perpetua" w:hAnsi="Perpetua"/>
                <w:sz w:val="20"/>
              </w:rPr>
              <w:t>Inspan Girl, Marguerite Isaacs is in discussion with greengracer trades in Groningen market</w:t>
            </w:r>
            <w:bookmarkEnd w:id="429"/>
            <w:bookmarkEnd w:id="430"/>
            <w:r w:rsidR="00A96BB2" w:rsidRPr="001D6EDE">
              <w:rPr>
                <w:rFonts w:ascii="Perpetua" w:hAnsi="Perpetua"/>
                <w:sz w:val="20"/>
              </w:rPr>
              <w:t>.</w:t>
            </w:r>
            <w:bookmarkEnd w:id="431"/>
          </w:p>
          <w:p w:rsidR="00DB6347" w:rsidRDefault="00DB6347" w:rsidP="00DB6347"/>
          <w:p w:rsidR="00DB6347" w:rsidRDefault="00DB6347" w:rsidP="00DB6347"/>
          <w:p w:rsidR="00DB6347" w:rsidRDefault="00DB6347" w:rsidP="00DB6347"/>
          <w:p w:rsidR="00A304E4" w:rsidRPr="00DB6347" w:rsidRDefault="00A304E4" w:rsidP="00DB6347"/>
          <w:p w:rsidR="00A304E4" w:rsidRDefault="00A304E4" w:rsidP="00A96BB2">
            <w:pPr>
              <w:keepNext/>
              <w:spacing w:line="360" w:lineRule="auto"/>
              <w:ind w:right="284"/>
              <w:jc w:val="both"/>
              <w:textAlignment w:val="baseline"/>
              <w:rPr>
                <w:rFonts w:ascii="Garamond" w:eastAsia="Times New Roman" w:hAnsi="Garamond"/>
                <w:sz w:val="24"/>
                <w:szCs w:val="24"/>
                <w:lang w:eastAsia="en-GB"/>
              </w:rPr>
            </w:pPr>
          </w:p>
        </w:tc>
      </w:tr>
      <w:tr w:rsidR="00A96BB2">
        <w:tblPrEx>
          <w:tblLook w:val="00BF"/>
        </w:tblPrEx>
        <w:tc>
          <w:tcPr>
            <w:tcW w:w="6718" w:type="dxa"/>
            <w:gridSpan w:val="2"/>
          </w:tcPr>
          <w:p w:rsidR="00A96BB2" w:rsidRDefault="00A96BB2" w:rsidP="0047048E">
            <w:pPr>
              <w:pStyle w:val="Caption"/>
              <w:jc w:val="center"/>
              <w:rPr>
                <w:rFonts w:ascii="Perpetua" w:hAnsi="Perpetua"/>
                <w:b w:val="0"/>
                <w:color w:val="auto"/>
                <w:sz w:val="20"/>
              </w:rPr>
            </w:pPr>
            <w:r w:rsidRPr="00DB6347">
              <w:rPr>
                <w:rFonts w:ascii="Perpetua" w:hAnsi="Perpetua"/>
                <w:b w:val="0"/>
                <w:noProof/>
                <w:color w:val="auto"/>
                <w:sz w:val="20"/>
                <w:lang w:eastAsia="en-GB"/>
              </w:rPr>
              <w:drawing>
                <wp:inline distT="0" distB="0" distL="0" distR="0">
                  <wp:extent cx="4070034" cy="4710893"/>
                  <wp:effectExtent l="25400" t="0" r="0" b="0"/>
                  <wp:docPr id="60" name="Picture 7" descr="http://hughcrosfield.files.wordpress.com/2012/11/inspan-girls-plakboek-nr-2-pg-05-3.jpg?w=490&amp;h=567">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ughcrosfield.files.wordpress.com/2012/11/inspan-girls-plakboek-nr-2-pg-05-3.jpg?w=490&amp;h=567">
                            <a:hlinkClick r:id="rId53"/>
                          </pic:cNvPr>
                          <pic:cNvPicPr>
                            <a:picLocks noChangeAspect="1" noChangeArrowheads="1"/>
                          </pic:cNvPicPr>
                        </pic:nvPicPr>
                        <pic:blipFill>
                          <a:blip r:embed="rId54" cstate="print"/>
                          <a:srcRect/>
                          <a:stretch>
                            <a:fillRect/>
                          </a:stretch>
                        </pic:blipFill>
                        <pic:spPr bwMode="auto">
                          <a:xfrm>
                            <a:off x="0" y="0"/>
                            <a:ext cx="4072327" cy="4713547"/>
                          </a:xfrm>
                          <a:prstGeom prst="rect">
                            <a:avLst/>
                          </a:prstGeom>
                          <a:noFill/>
                          <a:ln w="9525">
                            <a:noFill/>
                            <a:miter lim="800000"/>
                            <a:headEnd/>
                            <a:tailEnd/>
                          </a:ln>
                        </pic:spPr>
                      </pic:pic>
                    </a:graphicData>
                  </a:graphic>
                </wp:inline>
              </w:drawing>
            </w:r>
          </w:p>
        </w:tc>
        <w:tc>
          <w:tcPr>
            <w:tcW w:w="2321" w:type="dxa"/>
            <w:gridSpan w:val="2"/>
          </w:tcPr>
          <w:p w:rsidR="001D6EDE" w:rsidRDefault="00A96BB2" w:rsidP="00A96BB2">
            <w:pPr>
              <w:pStyle w:val="Caption"/>
              <w:ind w:right="503"/>
              <w:rPr>
                <w:rFonts w:ascii="Perpetua" w:hAnsi="Perpetua"/>
                <w:b w:val="0"/>
                <w:color w:val="auto"/>
                <w:sz w:val="20"/>
              </w:rPr>
            </w:pPr>
            <w:bookmarkStart w:id="433" w:name="_Toc263509027"/>
            <w:bookmarkStart w:id="434" w:name="_Toc263510814"/>
            <w:bookmarkStart w:id="435" w:name="_Toc263495761"/>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30</w:t>
            </w:r>
            <w:r w:rsidR="00DF2DF8" w:rsidRPr="00A96BB2">
              <w:rPr>
                <w:rFonts w:ascii="Perpetua" w:hAnsi="Perpetua"/>
                <w:b w:val="0"/>
                <w:color w:val="auto"/>
                <w:sz w:val="20"/>
              </w:rPr>
              <w:fldChar w:fldCharType="end"/>
            </w:r>
            <w:r w:rsidR="001D6EDE">
              <w:rPr>
                <w:rFonts w:ascii="Perpetua" w:hAnsi="Perpetua"/>
                <w:b w:val="0"/>
                <w:color w:val="auto"/>
                <w:sz w:val="20"/>
              </w:rPr>
              <w:t>: Photograph of article taken from NRC, May 1973.</w:t>
            </w:r>
            <w:bookmarkEnd w:id="433"/>
            <w:bookmarkEnd w:id="434"/>
          </w:p>
          <w:p w:rsidR="00A96BB2" w:rsidRPr="001D6EDE" w:rsidRDefault="00A96BB2" w:rsidP="001D6EDE">
            <w:pPr>
              <w:rPr>
                <w:rFonts w:ascii="Perpetua" w:hAnsi="Perpetua"/>
                <w:sz w:val="20"/>
              </w:rPr>
            </w:pPr>
            <w:r w:rsidRPr="001D6EDE">
              <w:rPr>
                <w:rFonts w:ascii="Perpetua" w:hAnsi="Perpetua"/>
                <w:sz w:val="20"/>
              </w:rPr>
              <w:t>Inspan Girls with other BOA activists outside Dutch supermarket, Albert Heijn in Amsterdam, 24 May 1973. Albert Heijn buckled under the pressure from the BOA and halted imports of Outspan after just a few days of pickets and demonstrations outside their stores.</w:t>
            </w:r>
            <w:bookmarkEnd w:id="435"/>
          </w:p>
          <w:p w:rsidR="00A96BB2" w:rsidRDefault="00A96BB2" w:rsidP="00A96BB2">
            <w:pPr>
              <w:pStyle w:val="Caption"/>
            </w:pPr>
          </w:p>
          <w:p w:rsidR="00A96BB2" w:rsidRDefault="00A96BB2" w:rsidP="0047048E">
            <w:pPr>
              <w:pStyle w:val="Caption"/>
              <w:jc w:val="center"/>
              <w:rPr>
                <w:rFonts w:ascii="Perpetua" w:hAnsi="Perpetua"/>
                <w:b w:val="0"/>
                <w:color w:val="auto"/>
                <w:sz w:val="20"/>
              </w:rPr>
            </w:pPr>
          </w:p>
        </w:tc>
      </w:tr>
    </w:tbl>
    <w:p w:rsidR="00A304E4" w:rsidRDefault="00A304E4" w:rsidP="0047048E">
      <w:pPr>
        <w:pStyle w:val="Caption"/>
        <w:jc w:val="center"/>
        <w:rPr>
          <w:rFonts w:ascii="Perpetua" w:hAnsi="Perpetua"/>
          <w:b w:val="0"/>
          <w:color w:val="auto"/>
          <w:sz w:val="20"/>
        </w:rPr>
      </w:pPr>
    </w:p>
    <w:p w:rsidR="00A304E4" w:rsidRDefault="00A304E4" w:rsidP="00A304E4">
      <w:pPr>
        <w:pStyle w:val="Caption"/>
        <w:rPr>
          <w:rFonts w:ascii="Perpetua" w:hAnsi="Perpetua"/>
          <w:b w:val="0"/>
          <w:color w:val="auto"/>
          <w:sz w:val="20"/>
        </w:rPr>
      </w:pPr>
    </w:p>
    <w:p w:rsidR="00DB6347" w:rsidRDefault="00DB6347" w:rsidP="002F2533">
      <w:pPr>
        <w:spacing w:after="0" w:line="360" w:lineRule="auto"/>
        <w:jc w:val="both"/>
        <w:textAlignment w:val="baseline"/>
        <w:rPr>
          <w:rFonts w:ascii="Garamond" w:eastAsia="Times New Roman" w:hAnsi="Garamond"/>
          <w:sz w:val="24"/>
          <w:szCs w:val="24"/>
          <w:lang w:eastAsia="en-GB"/>
        </w:rPr>
      </w:pPr>
    </w:p>
    <w:p w:rsidR="002F2533" w:rsidRDefault="002F2533" w:rsidP="002F2533">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During an intervi</w:t>
      </w:r>
      <w:r w:rsidR="000B6D76">
        <w:rPr>
          <w:rFonts w:ascii="Garamond" w:eastAsia="Times New Roman" w:hAnsi="Garamond"/>
          <w:sz w:val="24"/>
          <w:szCs w:val="24"/>
          <w:lang w:eastAsia="en-GB"/>
        </w:rPr>
        <w:t>ew in 2011, former Inspan Girl</w:t>
      </w:r>
      <w:r w:rsidRPr="00907189">
        <w:rPr>
          <w:rFonts w:ascii="Garamond" w:eastAsia="Times New Roman" w:hAnsi="Garamond"/>
          <w:sz w:val="24"/>
          <w:szCs w:val="24"/>
          <w:lang w:eastAsia="en-GB"/>
        </w:rPr>
        <w:t xml:space="preserve"> Lioe Tan explained to me that persuasion and an ability to engage in political dialogue were crucial aspects of the Inspanmeisjes’ work:</w:t>
      </w:r>
    </w:p>
    <w:p w:rsidR="002F2533" w:rsidRPr="00907189" w:rsidRDefault="002F2533" w:rsidP="002F2533">
      <w:pPr>
        <w:spacing w:after="0" w:line="360" w:lineRule="auto"/>
        <w:jc w:val="both"/>
        <w:textAlignment w:val="baseline"/>
        <w:rPr>
          <w:rFonts w:ascii="Garamond" w:eastAsia="Times New Roman" w:hAnsi="Garamond"/>
          <w:sz w:val="24"/>
          <w:szCs w:val="24"/>
          <w:lang w:eastAsia="en-GB"/>
        </w:rPr>
      </w:pPr>
    </w:p>
    <w:p w:rsidR="002F2533" w:rsidRPr="00907189" w:rsidRDefault="002F2533" w:rsidP="002F2533">
      <w:pPr>
        <w:spacing w:line="360" w:lineRule="auto"/>
        <w:ind w:left="284" w:right="284"/>
        <w:jc w:val="both"/>
        <w:textAlignment w:val="baseline"/>
        <w:rPr>
          <w:rFonts w:ascii="Garamond" w:eastAsia="Times New Roman" w:hAnsi="Garamond"/>
          <w:lang w:eastAsia="en-GB"/>
        </w:rPr>
      </w:pPr>
      <w:r>
        <w:rPr>
          <w:rFonts w:ascii="Garamond" w:eastAsia="Times New Roman" w:hAnsi="Garamond"/>
          <w:lang w:eastAsia="en-GB"/>
        </w:rPr>
        <w:t>LIOE</w:t>
      </w:r>
      <w:r w:rsidRPr="00907189">
        <w:rPr>
          <w:rFonts w:ascii="Garamond" w:eastAsia="Times New Roman" w:hAnsi="Garamond"/>
          <w:lang w:eastAsia="en-GB"/>
        </w:rPr>
        <w:t>: We gave out information on South Africa, and the apartheid system, and the orange farms, and we told the public that the farm workers earned 75 cents per month. We handed leaflets to people outside supermarkets, and started discussions with shoppers. And one time a store manager was furious with us and sprayed us with a fire extinguisher!</w:t>
      </w:r>
    </w:p>
    <w:p w:rsidR="002F2533" w:rsidRPr="00907189" w:rsidRDefault="002F2533" w:rsidP="002F2533">
      <w:pPr>
        <w:spacing w:line="360" w:lineRule="auto"/>
        <w:ind w:left="284" w:right="284"/>
        <w:jc w:val="both"/>
        <w:textAlignment w:val="baseline"/>
        <w:rPr>
          <w:rFonts w:ascii="Garamond" w:eastAsia="Times New Roman" w:hAnsi="Garamond"/>
          <w:lang w:eastAsia="en-GB"/>
        </w:rPr>
      </w:pPr>
      <w:r>
        <w:rPr>
          <w:rFonts w:ascii="Garamond" w:eastAsia="Times New Roman" w:hAnsi="Garamond"/>
          <w:lang w:eastAsia="en-GB"/>
        </w:rPr>
        <w:t>HUGH</w:t>
      </w:r>
      <w:r w:rsidRPr="00907189">
        <w:rPr>
          <w:rFonts w:ascii="Garamond" w:eastAsia="Times New Roman" w:hAnsi="Garamond"/>
          <w:lang w:eastAsia="en-GB"/>
        </w:rPr>
        <w:t>: Were people receptive to what you were doing?</w:t>
      </w:r>
    </w:p>
    <w:p w:rsidR="002F2533" w:rsidRPr="00907189" w:rsidRDefault="002F2533" w:rsidP="002F2533">
      <w:pPr>
        <w:spacing w:line="360" w:lineRule="auto"/>
        <w:ind w:left="284" w:right="284"/>
        <w:jc w:val="both"/>
        <w:textAlignment w:val="baseline"/>
        <w:rPr>
          <w:rFonts w:ascii="Garamond" w:eastAsia="Times New Roman" w:hAnsi="Garamond"/>
          <w:lang w:eastAsia="en-GB"/>
        </w:rPr>
      </w:pPr>
      <w:r>
        <w:rPr>
          <w:rFonts w:ascii="Garamond" w:eastAsia="Times New Roman" w:hAnsi="Garamond"/>
          <w:lang w:eastAsia="en-GB"/>
        </w:rPr>
        <w:t>LIOE</w:t>
      </w:r>
      <w:r w:rsidRPr="00907189">
        <w:rPr>
          <w:rFonts w:ascii="Garamond" w:eastAsia="Times New Roman" w:hAnsi="Garamond"/>
          <w:lang w:eastAsia="en-GB"/>
        </w:rPr>
        <w:t>: Some were, and some were not of course because of the blood ties. And we had conversations where we would persuade people of the worth of the boycott. Some people didn’t think the boycott would help the workers, but we told them that they already had such a low wage, and the ANC and SACTU asked for the boycott. We told Dutch shoppers that the boycott was their idea, not ours.</w:t>
      </w:r>
    </w:p>
    <w:p w:rsidR="002F2533" w:rsidRPr="00907189" w:rsidRDefault="002F2533" w:rsidP="002F2533">
      <w:pPr>
        <w:spacing w:line="360" w:lineRule="auto"/>
        <w:ind w:left="284" w:right="284"/>
        <w:jc w:val="both"/>
        <w:textAlignment w:val="baseline"/>
        <w:rPr>
          <w:rFonts w:ascii="Garamond" w:eastAsia="Times New Roman" w:hAnsi="Garamond"/>
          <w:lang w:eastAsia="en-GB"/>
        </w:rPr>
      </w:pPr>
      <w:r>
        <w:rPr>
          <w:rFonts w:ascii="Garamond" w:eastAsia="Times New Roman" w:hAnsi="Garamond"/>
          <w:lang w:eastAsia="en-GB"/>
        </w:rPr>
        <w:t>HUGH</w:t>
      </w:r>
      <w:r w:rsidRPr="00907189">
        <w:rPr>
          <w:rFonts w:ascii="Garamond" w:eastAsia="Times New Roman" w:hAnsi="Garamond"/>
          <w:lang w:eastAsia="en-GB"/>
        </w:rPr>
        <w:t>: How do you think the femininity of the Inspan Girls differed from that of the Outspan Girls?</w:t>
      </w:r>
    </w:p>
    <w:p w:rsidR="002F2533" w:rsidRDefault="002F2533" w:rsidP="002F2533">
      <w:pPr>
        <w:spacing w:line="360" w:lineRule="auto"/>
        <w:ind w:left="284" w:right="284"/>
        <w:jc w:val="both"/>
        <w:textAlignment w:val="baseline"/>
        <w:rPr>
          <w:rFonts w:ascii="Garamond" w:eastAsia="Times New Roman" w:hAnsi="Garamond"/>
          <w:sz w:val="24"/>
          <w:szCs w:val="24"/>
          <w:lang w:eastAsia="en-GB"/>
        </w:rPr>
      </w:pPr>
      <w:r>
        <w:rPr>
          <w:rFonts w:ascii="Garamond" w:eastAsia="Times New Roman" w:hAnsi="Garamond"/>
          <w:lang w:eastAsia="en-GB"/>
        </w:rPr>
        <w:t>LIOE</w:t>
      </w:r>
      <w:r w:rsidRPr="00907189">
        <w:rPr>
          <w:rFonts w:ascii="Garamond" w:eastAsia="Times New Roman" w:hAnsi="Garamond"/>
          <w:lang w:eastAsia="en-GB"/>
        </w:rPr>
        <w:t>: We were activists! They were paid! Most of the Inspan Girls were politically active in many spheres, and did other things for the BOA like translating texts from English into Dutch. Rita Isaacs was a spokeswoman for the BOA, and she spoke at the congress in 1973</w:t>
      </w:r>
      <w:r w:rsidRPr="00907189">
        <w:rPr>
          <w:rFonts w:ascii="Garamond" w:eastAsia="Times New Roman" w:hAnsi="Garamond"/>
          <w:sz w:val="24"/>
          <w:szCs w:val="24"/>
          <w:lang w:eastAsia="en-GB"/>
        </w:rPr>
        <w:t>.</w:t>
      </w:r>
    </w:p>
    <w:p w:rsidR="00E444C9" w:rsidRDefault="00A304E4" w:rsidP="00F83103">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The Inspan Girls had a degree of autonomy producing knowledge about apartheid and the boycott. They performed a politics of relativity, where the personal, the local and the global were interconnected through chains of suggested causation.</w:t>
      </w:r>
      <w:r>
        <w:rPr>
          <w:rFonts w:ascii="Garamond" w:eastAsia="Times New Roman" w:hAnsi="Garamond"/>
          <w:sz w:val="24"/>
          <w:szCs w:val="24"/>
          <w:lang w:eastAsia="en-GB"/>
        </w:rPr>
        <w:t xml:space="preserve"> </w:t>
      </w:r>
      <w:r w:rsidR="00BA0F0B" w:rsidRPr="00907189">
        <w:rPr>
          <w:rFonts w:ascii="Garamond" w:eastAsia="Times New Roman" w:hAnsi="Garamond"/>
          <w:sz w:val="24"/>
          <w:szCs w:val="24"/>
          <w:lang w:eastAsia="en-GB"/>
        </w:rPr>
        <w:t xml:space="preserve">Debating the merits of boycotting citrus made different demands to the emotional labour (Hochschild, 1984) requirements placed on the Outspan Girls who would have to appear happy, cheerful and healthy at all times, whilst disguising the ontological construction of racial identities. Mather </w:t>
      </w:r>
      <w:r w:rsidR="00F152DB">
        <w:rPr>
          <w:rFonts w:ascii="Garamond" w:eastAsia="Times New Roman" w:hAnsi="Garamond"/>
          <w:sz w:val="24"/>
          <w:szCs w:val="24"/>
          <w:lang w:eastAsia="en-GB"/>
        </w:rPr>
        <w:t>and</w:t>
      </w:r>
      <w:r w:rsidR="00BA0F0B" w:rsidRPr="00907189">
        <w:rPr>
          <w:rFonts w:ascii="Garamond" w:eastAsia="Times New Roman" w:hAnsi="Garamond"/>
          <w:sz w:val="24"/>
          <w:szCs w:val="24"/>
          <w:lang w:eastAsia="en-GB"/>
        </w:rPr>
        <w:t xml:space="preserve"> Mackenzie argue that the Outsp</w:t>
      </w:r>
      <w:r w:rsidR="00BA0F0B">
        <w:rPr>
          <w:rFonts w:ascii="Garamond" w:eastAsia="Times New Roman" w:hAnsi="Garamond"/>
          <w:sz w:val="24"/>
          <w:szCs w:val="24"/>
          <w:lang w:eastAsia="en-GB"/>
        </w:rPr>
        <w:t>an Girls embodied an essentializ</w:t>
      </w:r>
      <w:r w:rsidR="00BA0F0B" w:rsidRPr="00907189">
        <w:rPr>
          <w:rFonts w:ascii="Garamond" w:eastAsia="Times New Roman" w:hAnsi="Garamond"/>
          <w:sz w:val="24"/>
          <w:szCs w:val="24"/>
          <w:lang w:eastAsia="en-GB"/>
        </w:rPr>
        <w:t>ed interpretation of race. I contest that their identity was more complicated than this; race and gender were entwined in the embodied public display of an objective </w:t>
      </w:r>
      <w:r w:rsidR="00BA0F0B" w:rsidRPr="00907189">
        <w:rPr>
          <w:rFonts w:ascii="Garamond" w:eastAsia="Times New Roman" w:hAnsi="Garamond"/>
          <w:i/>
          <w:iCs/>
          <w:sz w:val="24"/>
          <w:szCs w:val="24"/>
          <w:bdr w:val="none" w:sz="0" w:space="0" w:color="auto" w:frame="1"/>
          <w:lang w:eastAsia="en-GB"/>
        </w:rPr>
        <w:t>colonial</w:t>
      </w:r>
      <w:r w:rsidR="00BA0F0B" w:rsidRPr="00907189">
        <w:rPr>
          <w:rFonts w:ascii="Garamond" w:eastAsia="Times New Roman" w:hAnsi="Garamond"/>
          <w:sz w:val="24"/>
          <w:szCs w:val="24"/>
          <w:lang w:eastAsia="en-GB"/>
        </w:rPr>
        <w:t> </w:t>
      </w:r>
      <w:r w:rsidR="00BA0F0B" w:rsidRPr="00907189">
        <w:rPr>
          <w:rFonts w:ascii="Garamond" w:eastAsia="Times New Roman" w:hAnsi="Garamond"/>
          <w:i/>
          <w:iCs/>
          <w:sz w:val="24"/>
          <w:szCs w:val="24"/>
          <w:bdr w:val="none" w:sz="0" w:space="0" w:color="auto" w:frame="1"/>
          <w:lang w:eastAsia="en-GB"/>
        </w:rPr>
        <w:t>patriarchy</w:t>
      </w:r>
      <w:r w:rsidR="00BA0F0B" w:rsidRPr="00907189">
        <w:rPr>
          <w:rFonts w:ascii="Garamond" w:eastAsia="Times New Roman" w:hAnsi="Garamond"/>
          <w:sz w:val="24"/>
          <w:szCs w:val="24"/>
          <w:lang w:eastAsia="en-GB"/>
        </w:rPr>
        <w:t xml:space="preserve">; a Cartesian façade which subordinated their bodies as metaphorical instruments (Grosz, 1994), and demanded public emotional labour, </w:t>
      </w:r>
      <w:r w:rsidR="00BA0F0B" w:rsidRPr="00907189">
        <w:rPr>
          <w:rFonts w:ascii="Garamond" w:eastAsia="Times New Roman" w:hAnsi="Garamond"/>
          <w:sz w:val="24"/>
          <w:szCs w:val="24"/>
          <w:lang w:eastAsia="en-GB"/>
        </w:rPr>
        <w:lastRenderedPageBreak/>
        <w:t>heteronormative sexual performance, and an uncritical consuming public, to obscure and distract from apartheid conditions of citrus production.</w:t>
      </w:r>
    </w:p>
    <w:p w:rsidR="00E444C9" w:rsidRDefault="00E444C9" w:rsidP="00F83103">
      <w:pPr>
        <w:spacing w:after="0" w:line="360" w:lineRule="auto"/>
        <w:jc w:val="both"/>
        <w:textAlignment w:val="baseline"/>
        <w:rPr>
          <w:rFonts w:ascii="Garamond" w:eastAsia="Times New Roman" w:hAnsi="Garamond"/>
          <w:sz w:val="24"/>
          <w:szCs w:val="24"/>
          <w:lang w:eastAsia="en-GB"/>
        </w:rPr>
      </w:pPr>
    </w:p>
    <w:p w:rsidR="00E444C9" w:rsidRDefault="00BA0F0B" w:rsidP="00F83103">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Subsequent to the unveiling of the Inspan Girls at the BOA pre</w:t>
      </w:r>
      <w:r>
        <w:rPr>
          <w:rFonts w:ascii="Garamond" w:eastAsia="Times New Roman" w:hAnsi="Garamond"/>
          <w:sz w:val="24"/>
          <w:szCs w:val="24"/>
          <w:lang w:eastAsia="en-GB"/>
        </w:rPr>
        <w:t>ss conference in September 1972</w:t>
      </w:r>
      <w:r w:rsidRPr="00907189">
        <w:rPr>
          <w:rFonts w:ascii="Garamond" w:eastAsia="Times New Roman" w:hAnsi="Garamond"/>
          <w:sz w:val="24"/>
          <w:szCs w:val="24"/>
          <w:lang w:eastAsia="en-GB"/>
        </w:rPr>
        <w:t xml:space="preserve"> and</w:t>
      </w:r>
      <w:r>
        <w:rPr>
          <w:rFonts w:ascii="Garamond" w:eastAsia="Times New Roman" w:hAnsi="Garamond"/>
          <w:sz w:val="24"/>
          <w:szCs w:val="24"/>
          <w:lang w:eastAsia="en-GB"/>
        </w:rPr>
        <w:t xml:space="preserve"> the threat of a confrontation </w:t>
      </w:r>
      <w:r w:rsidRPr="00907189">
        <w:rPr>
          <w:rFonts w:ascii="Garamond" w:eastAsia="Times New Roman" w:hAnsi="Garamond"/>
          <w:sz w:val="24"/>
          <w:szCs w:val="24"/>
          <w:lang w:eastAsia="en-GB"/>
        </w:rPr>
        <w:t>in June 1973, the Outspan Girls never returned to Hol</w:t>
      </w:r>
      <w:r>
        <w:rPr>
          <w:rFonts w:ascii="Garamond" w:eastAsia="Times New Roman" w:hAnsi="Garamond"/>
          <w:sz w:val="24"/>
          <w:szCs w:val="24"/>
          <w:lang w:eastAsia="en-GB"/>
        </w:rPr>
        <w:t>land.</w:t>
      </w:r>
      <w:r w:rsidRPr="00907189">
        <w:rPr>
          <w:rFonts w:ascii="Garamond" w:eastAsia="Times New Roman" w:hAnsi="Garamond"/>
          <w:sz w:val="24"/>
          <w:szCs w:val="24"/>
          <w:lang w:eastAsia="en-GB"/>
        </w:rPr>
        <w:t xml:space="preserve"> </w:t>
      </w:r>
      <w:r>
        <w:rPr>
          <w:rFonts w:ascii="Garamond" w:eastAsia="Times New Roman" w:hAnsi="Garamond"/>
          <w:sz w:val="24"/>
          <w:szCs w:val="24"/>
          <w:lang w:eastAsia="en-GB"/>
        </w:rPr>
        <w:t>Their</w:t>
      </w:r>
      <w:r w:rsidRPr="00907189">
        <w:rPr>
          <w:rFonts w:ascii="Garamond" w:eastAsia="Times New Roman" w:hAnsi="Garamond"/>
          <w:sz w:val="24"/>
          <w:szCs w:val="24"/>
          <w:lang w:eastAsia="en-GB"/>
        </w:rPr>
        <w:t xml:space="preserve"> tours of other European countries became fraught with controversy. The former leader of the Dutch Third World Shops (of which there were 165 across Holland), Hans Beerends told me during an interview in 2011 that by 1975 the “BOA had won, they had won and had nothing left to do”. This is an interesting reading of the BOA, the organization still had plenty to do (the BOA would operate for another seventeen years, in which time they would form the French anti -apartheid movement, conduct anti-emigration campaigns, arrange congresses, and embark on ten years of antiracism tours and campaigns), but the premise of Beerends’ assertion was that the Inspan Girls achieved what their name demanded</w:t>
      </w:r>
      <w:r>
        <w:rPr>
          <w:rFonts w:ascii="Garamond" w:eastAsia="Times New Roman" w:hAnsi="Garamond"/>
          <w:sz w:val="24"/>
          <w:szCs w:val="24"/>
          <w:lang w:eastAsia="en-GB"/>
        </w:rPr>
        <w:t xml:space="preserve"> and much more. They managed to reign in</w:t>
      </w:r>
      <w:r w:rsidRPr="00907189">
        <w:rPr>
          <w:rFonts w:ascii="Garamond" w:eastAsia="Times New Roman" w:hAnsi="Garamond"/>
          <w:sz w:val="24"/>
          <w:szCs w:val="24"/>
          <w:lang w:eastAsia="en-GB"/>
        </w:rPr>
        <w:t xml:space="preserve"> and harness the expansive citrus capitalism as embodied and </w:t>
      </w:r>
      <w:r>
        <w:rPr>
          <w:rFonts w:ascii="Garamond" w:eastAsia="Times New Roman" w:hAnsi="Garamond"/>
          <w:sz w:val="24"/>
          <w:szCs w:val="24"/>
          <w:lang w:eastAsia="en-GB"/>
        </w:rPr>
        <w:t>advertised by the Outspan Girls.  Their performances educated the Dutch public about apartheid, race and femininity; they brought powerful antiracist and feminine solidarities ('multi-ethnic' women as domestic consumers, activists and producers of knowledge) into markets, shopping centres, anti-apartheid congresses and the national Dutch media.</w:t>
      </w:r>
    </w:p>
    <w:p w:rsidR="00E444C9" w:rsidRDefault="00E444C9" w:rsidP="00F83103">
      <w:pPr>
        <w:spacing w:after="0" w:line="360" w:lineRule="auto"/>
        <w:jc w:val="both"/>
        <w:textAlignment w:val="baseline"/>
        <w:rPr>
          <w:rFonts w:ascii="Garamond" w:eastAsia="Times New Roman" w:hAnsi="Garamond"/>
          <w:sz w:val="24"/>
          <w:szCs w:val="24"/>
          <w:lang w:eastAsia="en-GB"/>
        </w:rPr>
      </w:pPr>
    </w:p>
    <w:p w:rsidR="00E444C9" w:rsidRDefault="00BA0F0B" w:rsidP="00F83103">
      <w:pPr>
        <w:spacing w:after="0" w:line="360" w:lineRule="auto"/>
        <w:jc w:val="both"/>
        <w:textAlignment w:val="baseline"/>
        <w:rPr>
          <w:rFonts w:ascii="Garamond" w:eastAsia="Times New Roman" w:hAnsi="Garamond"/>
          <w:sz w:val="24"/>
          <w:szCs w:val="24"/>
          <w:lang w:eastAsia="en-GB"/>
        </w:rPr>
      </w:pPr>
      <w:r w:rsidRPr="00907189">
        <w:rPr>
          <w:rFonts w:ascii="Garamond" w:eastAsia="Times New Roman" w:hAnsi="Garamond"/>
          <w:sz w:val="24"/>
          <w:szCs w:val="24"/>
          <w:lang w:eastAsia="en-GB"/>
        </w:rPr>
        <w:t>The Inspan Girls were so effective because their marked display of multi-racial ontology and reflexivity over the importance of race in marketing was achieved in a direct relationship with Outspan oranges. They asked uncomfortable questions about the ontological formation of Outspan Girls, the production of citrus, and racial construction of South Africa itself. They produced what we might describe today as situated and messy knowledges; they engaged in relational debate, drew from personal experiences of apartheid and racism, and they complicated neat divisions of power. In comparison, the Outspan Girls reproduced the positivist philosophies of apartheid. Their bodies conspicuously displayed white patriarchy, and their remit was to use them to replace the production of relational knowledge and to distract from the troubling resonances between Holland and the repression of black South Africa.</w:t>
      </w:r>
    </w:p>
    <w:p w:rsidR="00E444C9" w:rsidRDefault="00E444C9" w:rsidP="00F83103">
      <w:pPr>
        <w:spacing w:after="0" w:line="360" w:lineRule="auto"/>
        <w:jc w:val="both"/>
        <w:textAlignment w:val="baseline"/>
        <w:rPr>
          <w:rFonts w:ascii="Garamond" w:eastAsia="Times New Roman" w:hAnsi="Garamond"/>
          <w:sz w:val="24"/>
          <w:szCs w:val="24"/>
          <w:lang w:eastAsia="en-GB"/>
        </w:rPr>
      </w:pPr>
    </w:p>
    <w:p w:rsidR="00BA0F0B" w:rsidRPr="00907189" w:rsidRDefault="00BA0F0B" w:rsidP="00F83103">
      <w:pPr>
        <w:spacing w:after="0" w:line="360" w:lineRule="auto"/>
        <w:jc w:val="both"/>
        <w:textAlignment w:val="baseline"/>
        <w:rPr>
          <w:rFonts w:ascii="Garamond" w:eastAsia="Times New Roman" w:hAnsi="Garamond"/>
          <w:sz w:val="24"/>
          <w:szCs w:val="24"/>
          <w:lang w:eastAsia="en-GB"/>
        </w:rPr>
      </w:pPr>
      <w:r>
        <w:rPr>
          <w:rFonts w:ascii="Garamond" w:eastAsia="Times New Roman" w:hAnsi="Garamond"/>
          <w:sz w:val="24"/>
          <w:szCs w:val="24"/>
          <w:lang w:eastAsia="en-GB"/>
        </w:rPr>
        <w:t>So for the BOA, to I</w:t>
      </w:r>
      <w:r w:rsidRPr="00907189">
        <w:rPr>
          <w:rFonts w:ascii="Garamond" w:eastAsia="Times New Roman" w:hAnsi="Garamond"/>
          <w:sz w:val="24"/>
          <w:szCs w:val="24"/>
          <w:lang w:eastAsia="en-GB"/>
        </w:rPr>
        <w:t xml:space="preserve">nspan meant for white South Africa to beat a retreat. It meant to burn the tentacles of apartheid citrus capitalism so acutely that they would never return to seek nourishment from Holland. The Inspan Girls were the moment of no return for </w:t>
      </w:r>
      <w:r w:rsidRPr="00907189">
        <w:rPr>
          <w:rFonts w:ascii="Garamond" w:eastAsia="Times New Roman" w:hAnsi="Garamond"/>
          <w:sz w:val="24"/>
          <w:szCs w:val="24"/>
          <w:lang w:eastAsia="en-GB"/>
        </w:rPr>
        <w:lastRenderedPageBreak/>
        <w:t>Outspan. By 1974, the BOA had become a virus that had hijacked the Outspan brand, distribution chain, and contexts of consumption. In less than a year the BOA had mutated the U.S.P of the brand from a healthy, fun and sun-drenched alternative to Sunkist, to an avatar for apartheid.</w:t>
      </w:r>
      <w:r>
        <w:rPr>
          <w:rFonts w:ascii="Garamond" w:eastAsia="Times New Roman" w:hAnsi="Garamond"/>
          <w:sz w:val="24"/>
          <w:szCs w:val="24"/>
          <w:lang w:eastAsia="en-GB"/>
        </w:rPr>
        <w:t xml:space="preserve"> </w:t>
      </w:r>
      <w:r w:rsidRPr="00907189">
        <w:rPr>
          <w:rFonts w:ascii="Garamond" w:eastAsia="Times New Roman" w:hAnsi="Garamond"/>
          <w:sz w:val="24"/>
          <w:szCs w:val="24"/>
          <w:lang w:eastAsia="en-GB"/>
        </w:rPr>
        <w:t xml:space="preserve">As a measure of their success, by 1973-4 the BOA had attracted attention from Eschel Rhoodie’s incredulously named ‘South African Ministry of Information’. </w:t>
      </w:r>
      <w:r>
        <w:rPr>
          <w:rFonts w:ascii="Garamond" w:eastAsia="Times New Roman" w:hAnsi="Garamond"/>
          <w:sz w:val="24"/>
          <w:szCs w:val="24"/>
          <w:lang w:eastAsia="en-GB"/>
        </w:rPr>
        <w:t>D</w:t>
      </w:r>
      <w:r w:rsidRPr="00907189">
        <w:rPr>
          <w:rFonts w:ascii="Garamond" w:eastAsia="Times New Roman" w:hAnsi="Garamond"/>
          <w:sz w:val="24"/>
          <w:szCs w:val="24"/>
          <w:lang w:eastAsia="en-GB"/>
        </w:rPr>
        <w:t>u Plessis became the subject of a smear campaign by Rhoodie who falsely accused the BOA leader of taking money in exchange for activist contact details (Sanders, 2000). The BOA’s squeezing image was banned</w:t>
      </w:r>
      <w:r>
        <w:rPr>
          <w:rFonts w:ascii="Garamond" w:eastAsia="Times New Roman" w:hAnsi="Garamond"/>
          <w:sz w:val="24"/>
          <w:szCs w:val="24"/>
          <w:lang w:eastAsia="en-GB"/>
        </w:rPr>
        <w:t xml:space="preserve"> by the national </w:t>
      </w:r>
      <w:r w:rsidR="00F07857">
        <w:rPr>
          <w:rFonts w:ascii="Garamond" w:eastAsia="Times New Roman" w:hAnsi="Garamond"/>
          <w:sz w:val="24"/>
          <w:szCs w:val="24"/>
          <w:lang w:eastAsia="en-GB"/>
        </w:rPr>
        <w:t>advertising</w:t>
      </w:r>
      <w:r>
        <w:rPr>
          <w:rFonts w:ascii="Garamond" w:eastAsia="Times New Roman" w:hAnsi="Garamond"/>
          <w:sz w:val="24"/>
          <w:szCs w:val="24"/>
          <w:lang w:eastAsia="en-GB"/>
        </w:rPr>
        <w:t xml:space="preserve"> board for 'indecency'</w:t>
      </w:r>
      <w:r w:rsidRPr="00907189">
        <w:rPr>
          <w:rFonts w:ascii="Garamond" w:eastAsia="Times New Roman" w:hAnsi="Garamond"/>
          <w:sz w:val="24"/>
          <w:szCs w:val="24"/>
          <w:lang w:eastAsia="en-GB"/>
        </w:rPr>
        <w:t xml:space="preserve">, and the South African embassy in The Hague pleaded with the Dutch government </w:t>
      </w:r>
      <w:r>
        <w:rPr>
          <w:rFonts w:ascii="Garamond" w:eastAsia="Times New Roman" w:hAnsi="Garamond"/>
          <w:sz w:val="24"/>
          <w:szCs w:val="24"/>
          <w:lang w:eastAsia="en-GB"/>
        </w:rPr>
        <w:t>to deny future BOA applications for the ‘third-</w:t>
      </w:r>
      <w:r w:rsidRPr="00907189">
        <w:rPr>
          <w:rFonts w:ascii="Garamond" w:eastAsia="Times New Roman" w:hAnsi="Garamond"/>
          <w:sz w:val="24"/>
          <w:szCs w:val="24"/>
          <w:lang w:eastAsia="en-GB"/>
        </w:rPr>
        <w:t>world development fund’</w:t>
      </w:r>
      <w:r>
        <w:rPr>
          <w:rFonts w:ascii="Garamond" w:eastAsia="Times New Roman" w:hAnsi="Garamond"/>
          <w:sz w:val="24"/>
          <w:szCs w:val="24"/>
          <w:lang w:eastAsia="en-GB"/>
        </w:rPr>
        <w:t xml:space="preserve"> (available to registered Dutch foundations addressing development,</w:t>
      </w:r>
      <w:r w:rsidRPr="00907189">
        <w:rPr>
          <w:rFonts w:ascii="Garamond" w:eastAsia="Times New Roman" w:hAnsi="Garamond"/>
          <w:sz w:val="24"/>
          <w:szCs w:val="24"/>
          <w:lang w:eastAsia="en-GB"/>
        </w:rPr>
        <w:t xml:space="preserve"> </w:t>
      </w:r>
      <w:r>
        <w:rPr>
          <w:rFonts w:ascii="Garamond" w:eastAsia="Times New Roman" w:hAnsi="Garamond"/>
          <w:sz w:val="24"/>
          <w:szCs w:val="24"/>
          <w:lang w:eastAsia="en-GB"/>
        </w:rPr>
        <w:t>see Bosgra 2009</w:t>
      </w:r>
      <w:r w:rsidRPr="00907189">
        <w:rPr>
          <w:rFonts w:ascii="Garamond" w:eastAsia="Times New Roman" w:hAnsi="Garamond"/>
          <w:sz w:val="24"/>
          <w:szCs w:val="24"/>
          <w:lang w:eastAsia="en-GB"/>
        </w:rPr>
        <w:t>). Once the Inspan Girls had received mass publicity</w:t>
      </w:r>
      <w:r>
        <w:rPr>
          <w:rFonts w:ascii="Garamond" w:eastAsia="Times New Roman" w:hAnsi="Garamond"/>
          <w:sz w:val="24"/>
          <w:szCs w:val="24"/>
          <w:lang w:eastAsia="en-GB"/>
        </w:rPr>
        <w:t>,</w:t>
      </w:r>
      <w:r w:rsidRPr="00907189">
        <w:rPr>
          <w:rFonts w:ascii="Garamond" w:eastAsia="Times New Roman" w:hAnsi="Garamond"/>
          <w:sz w:val="24"/>
          <w:szCs w:val="24"/>
          <w:lang w:eastAsia="en-GB"/>
        </w:rPr>
        <w:t xml:space="preserve"> the longer the Outspan brand remained visible and in public consciousness, the</w:t>
      </w:r>
      <w:r>
        <w:rPr>
          <w:rFonts w:ascii="Garamond" w:eastAsia="Times New Roman" w:hAnsi="Garamond"/>
          <w:sz w:val="24"/>
          <w:szCs w:val="24"/>
          <w:lang w:eastAsia="en-GB"/>
        </w:rPr>
        <w:t xml:space="preserve"> bigger the 'boomerang effect' (Klein, 2000) and the</w:t>
      </w:r>
      <w:r w:rsidRPr="00907189">
        <w:rPr>
          <w:rFonts w:ascii="Garamond" w:eastAsia="Times New Roman" w:hAnsi="Garamond"/>
          <w:sz w:val="24"/>
          <w:szCs w:val="24"/>
          <w:lang w:eastAsia="en-GB"/>
        </w:rPr>
        <w:t xml:space="preserve"> more </w:t>
      </w:r>
      <w:r>
        <w:rPr>
          <w:rFonts w:ascii="Garamond" w:eastAsia="Times New Roman" w:hAnsi="Garamond"/>
          <w:sz w:val="24"/>
          <w:szCs w:val="24"/>
          <w:lang w:eastAsia="en-GB"/>
        </w:rPr>
        <w:t>the brand undermined the South African 'Ministry of Information's' carefully nurtured image of apartheid</w:t>
      </w:r>
      <w:r w:rsidRPr="00907189">
        <w:rPr>
          <w:rFonts w:ascii="Garamond" w:eastAsia="Times New Roman" w:hAnsi="Garamond"/>
          <w:sz w:val="24"/>
          <w:szCs w:val="24"/>
          <w:lang w:eastAsia="en-GB"/>
        </w:rPr>
        <w:t>.</w:t>
      </w:r>
      <w:r>
        <w:rPr>
          <w:rFonts w:ascii="Garamond" w:eastAsia="Times New Roman" w:hAnsi="Garamond"/>
          <w:sz w:val="24"/>
          <w:szCs w:val="24"/>
          <w:lang w:eastAsia="en-GB"/>
        </w:rPr>
        <w:t xml:space="preserve"> The Outspan campaign used a surrogate boycott to engage in a proxy war with the apartheid propaganda machine through citrus capitalism. In chapter six I describe how the BOA came into more direct conflict with the pro-apartheid lobby during the boycott of white migration to South Africa. My contention is that the</w:t>
      </w:r>
      <w:r w:rsidRPr="00907189">
        <w:rPr>
          <w:rFonts w:ascii="Garamond" w:eastAsia="Times New Roman" w:hAnsi="Garamond"/>
          <w:sz w:val="24"/>
          <w:szCs w:val="24"/>
          <w:lang w:eastAsia="en-GB"/>
        </w:rPr>
        <w:t xml:space="preserve"> </w:t>
      </w:r>
      <w:r>
        <w:rPr>
          <w:rFonts w:ascii="Garamond" w:eastAsia="Times New Roman" w:hAnsi="Garamond"/>
          <w:sz w:val="24"/>
          <w:szCs w:val="24"/>
          <w:lang w:eastAsia="en-GB"/>
        </w:rPr>
        <w:t xml:space="preserve">Inspan Girls were </w:t>
      </w:r>
      <w:r w:rsidRPr="00907189">
        <w:rPr>
          <w:rFonts w:ascii="Garamond" w:eastAsia="Times New Roman" w:hAnsi="Garamond"/>
          <w:sz w:val="24"/>
          <w:szCs w:val="24"/>
          <w:lang w:eastAsia="en-GB"/>
        </w:rPr>
        <w:t>a micro anti-colonial mo</w:t>
      </w:r>
      <w:r>
        <w:rPr>
          <w:rFonts w:ascii="Garamond" w:eastAsia="Times New Roman" w:hAnsi="Garamond"/>
          <w:sz w:val="24"/>
          <w:szCs w:val="24"/>
          <w:lang w:eastAsia="en-GB"/>
        </w:rPr>
        <w:t>vement based in Holland. T</w:t>
      </w:r>
      <w:r w:rsidRPr="00907189">
        <w:rPr>
          <w:rFonts w:ascii="Garamond" w:eastAsia="Times New Roman" w:hAnsi="Garamond"/>
          <w:sz w:val="24"/>
          <w:szCs w:val="24"/>
          <w:lang w:eastAsia="en-GB"/>
        </w:rPr>
        <w:t xml:space="preserve">o </w:t>
      </w:r>
      <w:r w:rsidR="00E444C9">
        <w:rPr>
          <w:rFonts w:ascii="Garamond" w:eastAsia="Times New Roman" w:hAnsi="Garamond"/>
          <w:sz w:val="24"/>
          <w:szCs w:val="24"/>
          <w:lang w:eastAsia="en-GB"/>
        </w:rPr>
        <w:t xml:space="preserve">‘inspan’ </w:t>
      </w:r>
      <w:r w:rsidRPr="00907189">
        <w:rPr>
          <w:rFonts w:ascii="Garamond" w:eastAsia="Times New Roman" w:hAnsi="Garamond"/>
          <w:sz w:val="24"/>
          <w:szCs w:val="24"/>
          <w:lang w:eastAsia="en-GB"/>
        </w:rPr>
        <w:t>was to decolonize</w:t>
      </w:r>
      <w:r>
        <w:rPr>
          <w:rFonts w:ascii="Garamond" w:eastAsia="Times New Roman" w:hAnsi="Garamond"/>
          <w:sz w:val="24"/>
          <w:szCs w:val="24"/>
          <w:lang w:eastAsia="en-GB"/>
        </w:rPr>
        <w:t>; to</w:t>
      </w:r>
      <w:r w:rsidRPr="00907189">
        <w:rPr>
          <w:rFonts w:ascii="Garamond" w:eastAsia="Times New Roman" w:hAnsi="Garamond"/>
          <w:sz w:val="24"/>
          <w:szCs w:val="24"/>
          <w:lang w:eastAsia="en-GB"/>
        </w:rPr>
        <w:t xml:space="preserve"> strip back and shame the apartheid regime into a</w:t>
      </w:r>
      <w:r>
        <w:rPr>
          <w:rFonts w:ascii="Garamond" w:eastAsia="Times New Roman" w:hAnsi="Garamond"/>
          <w:sz w:val="24"/>
          <w:szCs w:val="24"/>
          <w:lang w:eastAsia="en-GB"/>
        </w:rPr>
        <w:t xml:space="preserve">n economic and symbolic retreat, and </w:t>
      </w:r>
      <w:r w:rsidRPr="00907189">
        <w:rPr>
          <w:rFonts w:ascii="Garamond" w:eastAsia="Times New Roman" w:hAnsi="Garamond"/>
          <w:sz w:val="24"/>
          <w:szCs w:val="24"/>
          <w:lang w:eastAsia="en-GB"/>
        </w:rPr>
        <w:t xml:space="preserve">offer a multi-ethnic and alternative form of knowledge production to apartheid political economies. </w:t>
      </w:r>
    </w:p>
    <w:p w:rsidR="00BA0F0B" w:rsidRPr="00907189" w:rsidRDefault="00BA0F0B" w:rsidP="00BA0F0B">
      <w:pPr>
        <w:autoSpaceDE w:val="0"/>
        <w:autoSpaceDN w:val="0"/>
        <w:adjustRightInd w:val="0"/>
        <w:spacing w:after="0" w:line="360" w:lineRule="auto"/>
        <w:jc w:val="both"/>
        <w:rPr>
          <w:rFonts w:ascii="Garamond" w:eastAsia="Times New Roman" w:hAnsi="Garamond"/>
          <w:i/>
          <w:sz w:val="24"/>
          <w:szCs w:val="24"/>
          <w:lang w:eastAsia="en-GB"/>
        </w:rPr>
      </w:pPr>
    </w:p>
    <w:p w:rsidR="00BA0F0B" w:rsidRPr="0002426D" w:rsidRDefault="00BA0F0B" w:rsidP="00BA0F0B">
      <w:pPr>
        <w:autoSpaceDE w:val="0"/>
        <w:autoSpaceDN w:val="0"/>
        <w:adjustRightInd w:val="0"/>
        <w:spacing w:after="0" w:line="360" w:lineRule="auto"/>
        <w:jc w:val="both"/>
        <w:rPr>
          <w:rFonts w:ascii="Garamond" w:eastAsia="Times New Roman" w:hAnsi="Garamond"/>
          <w:b/>
          <w:i/>
          <w:szCs w:val="24"/>
          <w:lang w:eastAsia="en-GB"/>
        </w:rPr>
      </w:pPr>
      <w:r w:rsidRPr="0002426D">
        <w:rPr>
          <w:rFonts w:ascii="Garamond" w:eastAsia="Times New Roman" w:hAnsi="Garamond"/>
          <w:b/>
          <w:i/>
          <w:szCs w:val="24"/>
          <w:lang w:eastAsia="en-GB"/>
        </w:rPr>
        <w:t xml:space="preserve">BOA in black/white body-citrus relationships </w:t>
      </w:r>
    </w:p>
    <w:p w:rsidR="00BA0F0B" w:rsidRPr="00907189" w:rsidRDefault="00BA0F0B" w:rsidP="00BA0F0B">
      <w:pPr>
        <w:autoSpaceDE w:val="0"/>
        <w:autoSpaceDN w:val="0"/>
        <w:adjustRightInd w:val="0"/>
        <w:spacing w:after="0" w:line="360" w:lineRule="auto"/>
        <w:jc w:val="both"/>
        <w:rPr>
          <w:rFonts w:ascii="Garamond" w:eastAsia="Times New Roman" w:hAnsi="Garamond"/>
          <w:i/>
          <w:sz w:val="24"/>
          <w:szCs w:val="24"/>
          <w:lang w:eastAsia="en-GB"/>
        </w:rPr>
      </w:pPr>
    </w:p>
    <w:p w:rsidR="00F83103" w:rsidRPr="00A426A3" w:rsidRDefault="00BA0F0B" w:rsidP="00BA0F0B">
      <w:pPr>
        <w:autoSpaceDE w:val="0"/>
        <w:autoSpaceDN w:val="0"/>
        <w:adjustRightInd w:val="0"/>
        <w:spacing w:after="0" w:line="360" w:lineRule="auto"/>
        <w:jc w:val="both"/>
        <w:rPr>
          <w:rFonts w:ascii="Garamond" w:eastAsia="Times New Roman" w:hAnsi="Garamond"/>
          <w:sz w:val="24"/>
          <w:szCs w:val="24"/>
          <w:lang w:eastAsia="en-GB"/>
        </w:rPr>
      </w:pPr>
      <w:r w:rsidRPr="00907189">
        <w:rPr>
          <w:rFonts w:ascii="Garamond" w:eastAsia="Times New Roman" w:hAnsi="Garamond"/>
          <w:i/>
          <w:sz w:val="24"/>
          <w:szCs w:val="24"/>
          <w:lang w:eastAsia="en-GB"/>
        </w:rPr>
        <w:t xml:space="preserve">Outspan Golden Harvest </w:t>
      </w:r>
      <w:r>
        <w:rPr>
          <w:rFonts w:ascii="Garamond" w:eastAsia="Times New Roman" w:hAnsi="Garamond"/>
          <w:sz w:val="24"/>
          <w:szCs w:val="24"/>
          <w:lang w:eastAsia="en-GB"/>
        </w:rPr>
        <w:t>(Cartwright, 197</w:t>
      </w:r>
      <w:r w:rsidR="00E444C9">
        <w:rPr>
          <w:rFonts w:ascii="Garamond" w:eastAsia="Times New Roman" w:hAnsi="Garamond"/>
          <w:sz w:val="24"/>
          <w:szCs w:val="24"/>
          <w:lang w:eastAsia="en-GB"/>
        </w:rPr>
        <w:t xml:space="preserve">7) – </w:t>
      </w:r>
      <w:r w:rsidRPr="00907189">
        <w:rPr>
          <w:rFonts w:ascii="Garamond" w:eastAsia="Times New Roman" w:hAnsi="Garamond"/>
          <w:sz w:val="24"/>
          <w:szCs w:val="24"/>
          <w:lang w:eastAsia="en-GB"/>
        </w:rPr>
        <w:t>the official biography of the Outspan company</w:t>
      </w:r>
      <w:r w:rsidR="00E444C9">
        <w:rPr>
          <w:rFonts w:ascii="Garamond" w:eastAsia="Times New Roman" w:hAnsi="Garamond"/>
          <w:sz w:val="24"/>
          <w:szCs w:val="24"/>
          <w:lang w:eastAsia="en-GB"/>
        </w:rPr>
        <w:t xml:space="preserve"> – </w:t>
      </w:r>
      <w:r w:rsidRPr="00907189">
        <w:rPr>
          <w:rFonts w:ascii="Garamond" w:eastAsia="Times New Roman" w:hAnsi="Garamond"/>
          <w:sz w:val="24"/>
          <w:szCs w:val="24"/>
          <w:lang w:eastAsia="en-GB"/>
        </w:rPr>
        <w:t>provides insight to the ways in which race, gender and sexuality emerge materially through staged corporeal relationships with citrus.</w:t>
      </w:r>
      <w:r w:rsidRPr="00907189">
        <w:rPr>
          <w:rStyle w:val="FootnoteReference"/>
          <w:rFonts w:ascii="Garamond" w:eastAsia="Times New Roman" w:hAnsi="Garamond"/>
          <w:sz w:val="24"/>
          <w:szCs w:val="24"/>
          <w:lang w:eastAsia="en-GB"/>
        </w:rPr>
        <w:footnoteReference w:id="89"/>
      </w:r>
      <w:r w:rsidRPr="00907189">
        <w:rPr>
          <w:rFonts w:ascii="Garamond" w:eastAsia="Times New Roman" w:hAnsi="Garamond"/>
          <w:sz w:val="24"/>
          <w:szCs w:val="24"/>
          <w:lang w:eastAsia="en-GB"/>
        </w:rPr>
        <w:t xml:space="preserve"> </w:t>
      </w:r>
      <w:r w:rsidR="005B48FD">
        <w:rPr>
          <w:rFonts w:ascii="Garamond" w:eastAsia="Times New Roman" w:hAnsi="Garamond"/>
          <w:sz w:val="24"/>
          <w:szCs w:val="24"/>
          <w:lang w:eastAsia="en-GB"/>
        </w:rPr>
        <w:t>Figures 31</w:t>
      </w:r>
      <w:r>
        <w:rPr>
          <w:rFonts w:ascii="Garamond" w:eastAsia="Times New Roman" w:hAnsi="Garamond"/>
          <w:sz w:val="24"/>
          <w:szCs w:val="24"/>
          <w:lang w:eastAsia="en-GB"/>
        </w:rPr>
        <w:t xml:space="preserve"> an</w:t>
      </w:r>
      <w:r w:rsidR="005B48FD">
        <w:rPr>
          <w:rFonts w:ascii="Garamond" w:eastAsia="Times New Roman" w:hAnsi="Garamond"/>
          <w:sz w:val="24"/>
          <w:szCs w:val="24"/>
          <w:lang w:eastAsia="en-GB"/>
        </w:rPr>
        <w:t>d 32</w:t>
      </w:r>
      <w:r w:rsidRPr="00907189">
        <w:rPr>
          <w:rFonts w:ascii="Garamond" w:eastAsia="Times New Roman" w:hAnsi="Garamond"/>
          <w:sz w:val="24"/>
          <w:szCs w:val="24"/>
          <w:lang w:eastAsia="en-GB"/>
        </w:rPr>
        <w:t xml:space="preserve"> illustrate some key differences in the socio-material construction of race according to Outspan. Whiteness is produced in the Citruseal orange juice advert through the drinking of oranges as part of a varied breakfast diet. Behind the nineteen white body-orange juice scenarios including ‘Lovers Breakfast Part II’ (part one is left to the imagination), ‘Riviera Breakfasts’, and ‘Hangover’ and ‘Safari’ breakfasts, there is the singular voice of an </w:t>
      </w:r>
      <w:r w:rsidRPr="00907189">
        <w:rPr>
          <w:rFonts w:ascii="Garamond" w:eastAsia="Times New Roman" w:hAnsi="Garamond"/>
          <w:sz w:val="24"/>
          <w:szCs w:val="24"/>
          <w:lang w:eastAsia="en-GB"/>
        </w:rPr>
        <w:lastRenderedPageBreak/>
        <w:t xml:space="preserve">undeniably white heterosexual masculinity. Orange juice is drunk in leisure, before work, during exploration, as part of a diet, as an alcohol mixer and antidote to excessive alcohol consumption, with ‘blondes’, and between sex and </w:t>
      </w:r>
      <w:r w:rsidRPr="00A426A3">
        <w:rPr>
          <w:rFonts w:ascii="Garamond" w:eastAsia="Times New Roman" w:hAnsi="Garamond"/>
          <w:sz w:val="24"/>
          <w:szCs w:val="24"/>
          <w:lang w:eastAsia="en-GB"/>
        </w:rPr>
        <w:t xml:space="preserve">watching TV. </w:t>
      </w:r>
      <w:r w:rsidR="00A426A3" w:rsidRPr="00A426A3">
        <w:rPr>
          <w:rFonts w:ascii="Garamond" w:eastAsia="Times New Roman" w:hAnsi="Garamond"/>
          <w:sz w:val="24"/>
          <w:szCs w:val="24"/>
          <w:lang w:eastAsia="en-GB"/>
        </w:rPr>
        <w:t>Outspan’s interpretation of whiteness is given further context by a nascent, nagging paternalism which occasionally breaks the surface of individ</w:t>
      </w:r>
      <w:r w:rsidR="00A426A3">
        <w:rPr>
          <w:rFonts w:ascii="Garamond" w:eastAsia="Times New Roman" w:hAnsi="Garamond"/>
          <w:sz w:val="24"/>
          <w:szCs w:val="24"/>
          <w:lang w:eastAsia="en-GB"/>
        </w:rPr>
        <w:t xml:space="preserve">ualized indulgence and apathy: </w:t>
      </w:r>
      <w:r w:rsidR="00A426A3" w:rsidRPr="00A426A3">
        <w:rPr>
          <w:rFonts w:ascii="Garamond" w:eastAsia="Times New Roman" w:hAnsi="Garamond"/>
          <w:sz w:val="24"/>
          <w:szCs w:val="24"/>
          <w:lang w:eastAsia="en-GB"/>
        </w:rPr>
        <w:t xml:space="preserve">“mow the lawn”, and “your family needs the sunshine goodness of vitamin C every day”. The advert </w:t>
      </w:r>
      <w:r w:rsidR="00A426A3">
        <w:rPr>
          <w:rFonts w:ascii="Garamond" w:eastAsia="Times New Roman" w:hAnsi="Garamond"/>
          <w:sz w:val="24"/>
          <w:szCs w:val="24"/>
          <w:lang w:eastAsia="en-GB"/>
        </w:rPr>
        <w:t xml:space="preserve">(Figure 31) </w:t>
      </w:r>
      <w:r w:rsidR="00A426A3" w:rsidRPr="00A426A3">
        <w:rPr>
          <w:rFonts w:ascii="Garamond" w:eastAsia="Times New Roman" w:hAnsi="Garamond"/>
          <w:sz w:val="24"/>
          <w:szCs w:val="24"/>
          <w:lang w:eastAsia="en-GB"/>
        </w:rPr>
        <w:t>is intended to visually stimulate an extensive and regular white appetite for orange juice.</w:t>
      </w:r>
    </w:p>
    <w:p w:rsidR="00F83103" w:rsidRDefault="00F83103" w:rsidP="00BA0F0B">
      <w:pPr>
        <w:autoSpaceDE w:val="0"/>
        <w:autoSpaceDN w:val="0"/>
        <w:adjustRightInd w:val="0"/>
        <w:spacing w:after="0" w:line="360" w:lineRule="auto"/>
        <w:jc w:val="both"/>
        <w:rPr>
          <w:rFonts w:ascii="Garamond" w:eastAsia="Times New Roman" w:hAnsi="Garamond"/>
          <w:sz w:val="24"/>
          <w:szCs w:val="24"/>
          <w:lang w:eastAsia="en-GB"/>
        </w:rPr>
      </w:pPr>
    </w:p>
    <w:p w:rsidR="00BA0F0B" w:rsidRDefault="00DB6347" w:rsidP="00DB6347">
      <w:pPr>
        <w:autoSpaceDE w:val="0"/>
        <w:autoSpaceDN w:val="0"/>
        <w:adjustRightInd w:val="0"/>
        <w:spacing w:after="0" w:line="360" w:lineRule="auto"/>
        <w:jc w:val="center"/>
        <w:rPr>
          <w:rFonts w:ascii="Garamond" w:eastAsia="Times New Roman" w:hAnsi="Garamond"/>
          <w:sz w:val="24"/>
          <w:szCs w:val="24"/>
          <w:lang w:eastAsia="en-GB"/>
        </w:rPr>
      </w:pPr>
      <w:r w:rsidRPr="00DB6347">
        <w:rPr>
          <w:rFonts w:ascii="Garamond" w:eastAsia="Times New Roman" w:hAnsi="Garamond"/>
          <w:noProof/>
          <w:sz w:val="24"/>
          <w:szCs w:val="24"/>
          <w:lang w:eastAsia="en-GB"/>
        </w:rPr>
        <w:drawing>
          <wp:inline distT="0" distB="0" distL="0" distR="0">
            <wp:extent cx="4044950" cy="5655733"/>
            <wp:effectExtent l="25400" t="0" r="0" b="0"/>
            <wp:docPr id="20" name="Picture 8" descr="Description: C:\Users\Hugh\Pictures\img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Hugh\Pictures\img065.jpg"/>
                    <pic:cNvPicPr>
                      <a:picLocks noChangeAspect="1" noChangeArrowheads="1"/>
                    </pic:cNvPicPr>
                  </pic:nvPicPr>
                  <pic:blipFill>
                    <a:blip r:embed="rId55" cstate="print"/>
                    <a:srcRect/>
                    <a:stretch>
                      <a:fillRect/>
                    </a:stretch>
                  </pic:blipFill>
                  <pic:spPr bwMode="auto">
                    <a:xfrm>
                      <a:off x="0" y="0"/>
                      <a:ext cx="4049449" cy="5662024"/>
                    </a:xfrm>
                    <a:prstGeom prst="rect">
                      <a:avLst/>
                    </a:prstGeom>
                    <a:noFill/>
                    <a:ln w="9525">
                      <a:noFill/>
                      <a:miter lim="800000"/>
                      <a:headEnd/>
                      <a:tailEnd/>
                    </a:ln>
                  </pic:spPr>
                </pic:pic>
              </a:graphicData>
            </a:graphic>
          </wp:inline>
        </w:drawing>
      </w:r>
    </w:p>
    <w:p w:rsidR="001D6EDE" w:rsidRDefault="00DB6347" w:rsidP="001D6EDE">
      <w:pPr>
        <w:pStyle w:val="Caption"/>
        <w:ind w:left="1134" w:right="929"/>
        <w:rPr>
          <w:rFonts w:ascii="Perpetua" w:hAnsi="Perpetua"/>
          <w:b w:val="0"/>
          <w:color w:val="auto"/>
          <w:sz w:val="20"/>
          <w:lang w:eastAsia="en-GB"/>
        </w:rPr>
      </w:pPr>
      <w:bookmarkStart w:id="436" w:name="_Toc263509028"/>
      <w:bookmarkStart w:id="437" w:name="_Toc263510815"/>
      <w:bookmarkStart w:id="438" w:name="_Toc244508231"/>
      <w:bookmarkStart w:id="439" w:name="_Toc244577293"/>
      <w:bookmarkStart w:id="440" w:name="_Toc263495762"/>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31</w:t>
      </w:r>
      <w:r w:rsidR="00DF2DF8" w:rsidRPr="00A96BB2">
        <w:rPr>
          <w:rFonts w:ascii="Perpetua" w:hAnsi="Perpetua"/>
          <w:b w:val="0"/>
          <w:color w:val="auto"/>
          <w:sz w:val="20"/>
        </w:rPr>
        <w:fldChar w:fldCharType="end"/>
      </w:r>
      <w:r w:rsidRPr="00A96BB2">
        <w:rPr>
          <w:rFonts w:ascii="Perpetua" w:hAnsi="Perpetua"/>
          <w:b w:val="0"/>
          <w:color w:val="auto"/>
          <w:sz w:val="20"/>
          <w:lang w:eastAsia="en-GB"/>
        </w:rPr>
        <w:t xml:space="preserve">: </w:t>
      </w:r>
      <w:r w:rsidR="00A96BB2" w:rsidRPr="00A96BB2">
        <w:rPr>
          <w:rFonts w:ascii="Perpetua" w:hAnsi="Perpetua"/>
          <w:b w:val="0"/>
          <w:color w:val="auto"/>
          <w:sz w:val="20"/>
          <w:lang w:eastAsia="en-GB"/>
        </w:rPr>
        <w:t>Citrus Exchange advert from 1971.</w:t>
      </w:r>
      <w:bookmarkEnd w:id="436"/>
      <w:bookmarkEnd w:id="437"/>
      <w:r w:rsidR="00A96BB2" w:rsidRPr="00A96BB2">
        <w:rPr>
          <w:rFonts w:ascii="Perpetua" w:hAnsi="Perpetua"/>
          <w:b w:val="0"/>
          <w:color w:val="auto"/>
          <w:sz w:val="20"/>
          <w:lang w:eastAsia="en-GB"/>
        </w:rPr>
        <w:t xml:space="preserve"> </w:t>
      </w:r>
    </w:p>
    <w:p w:rsidR="00DB6347" w:rsidRPr="001D6EDE" w:rsidRDefault="001D6EDE" w:rsidP="001D6EDE">
      <w:pPr>
        <w:ind w:left="1134"/>
        <w:rPr>
          <w:rFonts w:ascii="Perpetua" w:hAnsi="Perpetua"/>
          <w:sz w:val="20"/>
        </w:rPr>
      </w:pPr>
      <w:r>
        <w:rPr>
          <w:rFonts w:ascii="Perpetua" w:hAnsi="Perpetua"/>
          <w:sz w:val="20"/>
        </w:rPr>
        <w:t>The advert demonstrates w</w:t>
      </w:r>
      <w:r w:rsidR="00DB6347" w:rsidRPr="001D6EDE">
        <w:rPr>
          <w:rFonts w:ascii="Perpetua" w:hAnsi="Perpetua"/>
          <w:sz w:val="20"/>
        </w:rPr>
        <w:t xml:space="preserve">hite body-Outspan relationships. </w:t>
      </w:r>
      <w:r w:rsidR="00A96BB2" w:rsidRPr="001D6EDE">
        <w:rPr>
          <w:rFonts w:ascii="Perpetua" w:hAnsi="Perpetua"/>
          <w:sz w:val="20"/>
        </w:rPr>
        <w:t>Image sourced from Cartwright (</w:t>
      </w:r>
      <w:r w:rsidR="00DB6347" w:rsidRPr="001D6EDE">
        <w:rPr>
          <w:rFonts w:ascii="Perpetua" w:hAnsi="Perpetua"/>
          <w:sz w:val="20"/>
        </w:rPr>
        <w:t>1977: 90)</w:t>
      </w:r>
      <w:bookmarkEnd w:id="438"/>
      <w:bookmarkEnd w:id="439"/>
      <w:bookmarkEnd w:id="440"/>
      <w:r>
        <w:rPr>
          <w:rFonts w:ascii="Perpetua" w:hAnsi="Perpetua"/>
          <w:sz w:val="20"/>
        </w:rPr>
        <w:t>.</w:t>
      </w:r>
    </w:p>
    <w:p w:rsidR="00BA0F0B" w:rsidRPr="00907189" w:rsidRDefault="00BA0F0B" w:rsidP="00BA0F0B">
      <w:pPr>
        <w:autoSpaceDE w:val="0"/>
        <w:autoSpaceDN w:val="0"/>
        <w:adjustRightInd w:val="0"/>
        <w:spacing w:after="0" w:line="360" w:lineRule="auto"/>
        <w:jc w:val="both"/>
        <w:rPr>
          <w:rFonts w:ascii="Garamond" w:eastAsia="Times New Roman" w:hAnsi="Garamond"/>
          <w:i/>
          <w:lang w:eastAsia="en-GB"/>
        </w:rPr>
      </w:pPr>
    </w:p>
    <w:p w:rsidR="00BA0F0B" w:rsidRPr="00907189" w:rsidRDefault="00BA0F0B" w:rsidP="00BA0F0B">
      <w:pPr>
        <w:autoSpaceDE w:val="0"/>
        <w:autoSpaceDN w:val="0"/>
        <w:adjustRightInd w:val="0"/>
        <w:spacing w:after="0" w:line="360" w:lineRule="auto"/>
        <w:jc w:val="both"/>
        <w:rPr>
          <w:rFonts w:ascii="Garamond" w:eastAsia="Times New Roman" w:hAnsi="Garamond"/>
          <w:sz w:val="24"/>
          <w:szCs w:val="24"/>
          <w:lang w:eastAsia="en-GB"/>
        </w:rPr>
      </w:pPr>
    </w:p>
    <w:p w:rsidR="00BA0F0B" w:rsidRPr="00907189" w:rsidRDefault="00BA0F0B" w:rsidP="00BA0F0B">
      <w:pPr>
        <w:autoSpaceDE w:val="0"/>
        <w:autoSpaceDN w:val="0"/>
        <w:adjustRightInd w:val="0"/>
        <w:spacing w:after="0" w:line="360" w:lineRule="auto"/>
        <w:jc w:val="center"/>
        <w:rPr>
          <w:rFonts w:ascii="Garamond" w:eastAsia="Times New Roman" w:hAnsi="Garamond"/>
          <w:sz w:val="24"/>
          <w:szCs w:val="24"/>
          <w:lang w:eastAsia="en-GB"/>
        </w:rPr>
      </w:pPr>
      <w:r w:rsidRPr="00907189">
        <w:rPr>
          <w:rFonts w:ascii="Garamond" w:eastAsia="Times New Roman" w:hAnsi="Garamond"/>
          <w:i/>
          <w:noProof/>
          <w:lang w:eastAsia="en-GB"/>
        </w:rPr>
        <w:drawing>
          <wp:inline distT="0" distB="0" distL="0" distR="0">
            <wp:extent cx="4736387" cy="3205114"/>
            <wp:effectExtent l="76200" t="25400" r="115013" b="71486"/>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srcRect/>
                    <a:stretch>
                      <a:fillRect/>
                    </a:stretch>
                  </pic:blipFill>
                  <pic:spPr bwMode="auto">
                    <a:xfrm>
                      <a:off x="0" y="0"/>
                      <a:ext cx="4736306" cy="3205059"/>
                    </a:xfrm>
                    <a:prstGeom prst="rect">
                      <a:avLst/>
                    </a:prstGeom>
                    <a:ln w="158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BA0F0B" w:rsidRPr="00F83103" w:rsidRDefault="00BA0F0B" w:rsidP="00BA0F0B">
      <w:pPr>
        <w:autoSpaceDE w:val="0"/>
        <w:autoSpaceDN w:val="0"/>
        <w:adjustRightInd w:val="0"/>
        <w:spacing w:after="0" w:line="360" w:lineRule="auto"/>
        <w:jc w:val="both"/>
        <w:rPr>
          <w:rFonts w:ascii="Perpetua" w:eastAsia="Times New Roman" w:hAnsi="Perpetua"/>
          <w:sz w:val="20"/>
          <w:szCs w:val="24"/>
          <w:lang w:eastAsia="en-GB"/>
        </w:rPr>
      </w:pPr>
    </w:p>
    <w:p w:rsidR="001D6EDE" w:rsidRDefault="00A96BB2" w:rsidP="001D6EDE">
      <w:pPr>
        <w:pStyle w:val="Caption"/>
        <w:ind w:left="426"/>
      </w:pPr>
      <w:bookmarkStart w:id="441" w:name="_Toc263509029"/>
      <w:bookmarkStart w:id="442" w:name="_Toc263510816"/>
      <w:bookmarkStart w:id="443" w:name="_Toc244508232"/>
      <w:bookmarkStart w:id="444" w:name="_Toc244577294"/>
      <w:bookmarkStart w:id="445" w:name="_Toc263495763"/>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32</w:t>
      </w:r>
      <w:r w:rsidR="00DF2DF8" w:rsidRPr="00A96BB2">
        <w:rPr>
          <w:rFonts w:ascii="Perpetua" w:hAnsi="Perpetua"/>
          <w:b w:val="0"/>
          <w:color w:val="auto"/>
          <w:sz w:val="20"/>
        </w:rPr>
        <w:fldChar w:fldCharType="end"/>
      </w:r>
      <w:r w:rsidRPr="00A96BB2">
        <w:rPr>
          <w:rFonts w:ascii="Perpetua" w:hAnsi="Perpetua"/>
          <w:b w:val="0"/>
          <w:color w:val="auto"/>
          <w:sz w:val="20"/>
        </w:rPr>
        <w:t>: Photograph of black body-Outspan relationships.</w:t>
      </w:r>
      <w:bookmarkEnd w:id="441"/>
      <w:bookmarkEnd w:id="442"/>
      <w:r>
        <w:t xml:space="preserve"> </w:t>
      </w:r>
    </w:p>
    <w:p w:rsidR="00BA0F0B" w:rsidRPr="001D6EDE" w:rsidRDefault="00BA0F0B" w:rsidP="001D6EDE">
      <w:pPr>
        <w:ind w:left="426"/>
        <w:rPr>
          <w:rFonts w:ascii="Perpetua" w:hAnsi="Perpetua"/>
          <w:sz w:val="20"/>
        </w:rPr>
      </w:pPr>
      <w:r w:rsidRPr="001D6EDE">
        <w:rPr>
          <w:rFonts w:ascii="Perpetua" w:hAnsi="Perpetua"/>
          <w:sz w:val="20"/>
        </w:rPr>
        <w:t>The caption for this image in Cartwright (1977:90) reads: “The family below are not about to eat all the oranges in front of them. They were asked to show how much they liked oranges and this smiling group picture certainly carries their message to the growers!”</w:t>
      </w:r>
      <w:bookmarkEnd w:id="443"/>
      <w:bookmarkEnd w:id="444"/>
      <w:bookmarkEnd w:id="445"/>
    </w:p>
    <w:p w:rsidR="001D6EDE" w:rsidRDefault="001D6EDE" w:rsidP="00BA0F0B">
      <w:pPr>
        <w:autoSpaceDE w:val="0"/>
        <w:autoSpaceDN w:val="0"/>
        <w:adjustRightInd w:val="0"/>
        <w:spacing w:after="0" w:line="360" w:lineRule="auto"/>
        <w:jc w:val="both"/>
        <w:rPr>
          <w:rFonts w:ascii="Garamond" w:eastAsia="Times New Roman" w:hAnsi="Garamond"/>
          <w:sz w:val="24"/>
          <w:szCs w:val="24"/>
          <w:lang w:eastAsia="en-GB"/>
        </w:rPr>
      </w:pPr>
    </w:p>
    <w:p w:rsidR="00BA0F0B" w:rsidRPr="00907189" w:rsidRDefault="00BA0F0B" w:rsidP="00BA0F0B">
      <w:pPr>
        <w:autoSpaceDE w:val="0"/>
        <w:autoSpaceDN w:val="0"/>
        <w:adjustRightInd w:val="0"/>
        <w:spacing w:after="0" w:line="360" w:lineRule="auto"/>
        <w:jc w:val="both"/>
        <w:rPr>
          <w:rFonts w:ascii="Garamond" w:eastAsia="Times New Roman" w:hAnsi="Garamond"/>
          <w:sz w:val="24"/>
          <w:szCs w:val="24"/>
          <w:lang w:eastAsia="en-GB"/>
        </w:rPr>
      </w:pPr>
    </w:p>
    <w:p w:rsidR="00A820B9" w:rsidRDefault="00BA0F0B" w:rsidP="00BA0F0B">
      <w:pPr>
        <w:autoSpaceDE w:val="0"/>
        <w:autoSpaceDN w:val="0"/>
        <w:adjustRightInd w:val="0"/>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Contrast this whiteness with the socio-material construction of blackness in the reconstruction of ‘a family’ consuming Outspan</w:t>
      </w:r>
      <w:r w:rsidR="00A426A3">
        <w:rPr>
          <w:rFonts w:ascii="Garamond" w:eastAsia="Times New Roman" w:hAnsi="Garamond"/>
          <w:sz w:val="24"/>
          <w:szCs w:val="24"/>
          <w:lang w:eastAsia="en-GB"/>
        </w:rPr>
        <w:t xml:space="preserve"> (Figure 32)</w:t>
      </w:r>
      <w:r w:rsidRPr="00907189">
        <w:rPr>
          <w:rFonts w:ascii="Garamond" w:eastAsia="Times New Roman" w:hAnsi="Garamond"/>
          <w:sz w:val="24"/>
          <w:szCs w:val="24"/>
          <w:lang w:eastAsia="en-GB"/>
        </w:rPr>
        <w:t>. This is the only image, and indeed allusion, to black consumers of Outspan oranges in the book. Throughout the volume, the construction of racial identities is otherwise predictably tied to the producer/consumer dichotomy. There are three important points to note about this image: firstly,</w:t>
      </w:r>
      <w:r>
        <w:rPr>
          <w:rFonts w:ascii="Garamond" w:eastAsia="Times New Roman" w:hAnsi="Garamond"/>
          <w:sz w:val="24"/>
          <w:szCs w:val="24"/>
          <w:lang w:eastAsia="en-GB"/>
        </w:rPr>
        <w:t xml:space="preserve"> blackness is feminized, </w:t>
      </w:r>
      <w:r w:rsidR="00F07857">
        <w:rPr>
          <w:rFonts w:ascii="Garamond" w:eastAsia="Times New Roman" w:hAnsi="Garamond"/>
          <w:sz w:val="24"/>
          <w:szCs w:val="24"/>
          <w:lang w:eastAsia="en-GB"/>
        </w:rPr>
        <w:t>infantiliz</w:t>
      </w:r>
      <w:r w:rsidR="00F07857" w:rsidRPr="00907189">
        <w:rPr>
          <w:rFonts w:ascii="Garamond" w:eastAsia="Times New Roman" w:hAnsi="Garamond"/>
          <w:sz w:val="24"/>
          <w:szCs w:val="24"/>
          <w:lang w:eastAsia="en-GB"/>
        </w:rPr>
        <w:t>ed</w:t>
      </w:r>
      <w:r w:rsidRPr="00907189">
        <w:rPr>
          <w:rFonts w:ascii="Garamond" w:eastAsia="Times New Roman" w:hAnsi="Garamond"/>
          <w:sz w:val="24"/>
          <w:szCs w:val="24"/>
          <w:lang w:eastAsia="en-GB"/>
        </w:rPr>
        <w:t xml:space="preserve"> and characterized by matriarchal care; secondly, the ‘family’ are smiling through the pleasure of eating the oranges, portraying an innocent and safe blackness appreciative of the paternal care of Outspan; thirdly, the oranges are sucked and scraped with their teeth in half segments by the children, a sticky and messy way of eating oranges which is suggestive of nature over culture, and differs from a whiteness which consumes processed oranges in a variety of masculinized heterosexual social encounters.       </w:t>
      </w:r>
    </w:p>
    <w:p w:rsidR="00BA0F0B" w:rsidRPr="00907189" w:rsidRDefault="00BA0F0B" w:rsidP="00BA0F0B">
      <w:pPr>
        <w:autoSpaceDE w:val="0"/>
        <w:autoSpaceDN w:val="0"/>
        <w:adjustRightInd w:val="0"/>
        <w:spacing w:after="0" w:line="360" w:lineRule="auto"/>
        <w:jc w:val="both"/>
        <w:rPr>
          <w:rFonts w:ascii="Garamond" w:eastAsia="Times New Roman" w:hAnsi="Garamond"/>
          <w:sz w:val="24"/>
          <w:szCs w:val="24"/>
          <w:lang w:eastAsia="en-GB"/>
        </w:rPr>
      </w:pPr>
    </w:p>
    <w:p w:rsidR="00BA0F0B" w:rsidRPr="00907189" w:rsidRDefault="00BA0F0B" w:rsidP="00BA0F0B">
      <w:pPr>
        <w:autoSpaceDE w:val="0"/>
        <w:autoSpaceDN w:val="0"/>
        <w:adjustRightInd w:val="0"/>
        <w:spacing w:after="0" w:line="360" w:lineRule="auto"/>
        <w:ind w:left="284" w:right="284"/>
        <w:jc w:val="both"/>
        <w:rPr>
          <w:rFonts w:ascii="Garamond" w:hAnsi="Garamond" w:cs="AdvP7B6C"/>
        </w:rPr>
      </w:pPr>
      <w:r w:rsidRPr="00907189">
        <w:rPr>
          <w:rFonts w:ascii="Garamond" w:hAnsi="Garamond" w:cs="AdvP7B6C"/>
        </w:rPr>
        <w:t xml:space="preserve">If race is an event, an open-ended becoming made by ongoing connection rather than only exclusion </w:t>
      </w:r>
      <w:r>
        <w:rPr>
          <w:rFonts w:ascii="Garamond" w:hAnsi="Garamond" w:cs="AdvP7B6C"/>
        </w:rPr>
        <w:t xml:space="preserve">and erasure, </w:t>
      </w:r>
      <w:r w:rsidRPr="00907189">
        <w:rPr>
          <w:rFonts w:ascii="Garamond" w:hAnsi="Garamond" w:cs="AdvP7B6C"/>
        </w:rPr>
        <w:t xml:space="preserve">it suggests the need to look at what possible worlds open up </w:t>
      </w:r>
      <w:r w:rsidRPr="00907189">
        <w:rPr>
          <w:rFonts w:ascii="Garamond" w:hAnsi="Garamond" w:cs="AdvP7B6C"/>
        </w:rPr>
        <w:lastRenderedPageBreak/>
        <w:t>through the connections that both divide groups and draw them together</w:t>
      </w:r>
      <w:r>
        <w:rPr>
          <w:rFonts w:ascii="Garamond" w:hAnsi="Garamond" w:cs="AdvP7B6C"/>
        </w:rPr>
        <w:t>.</w:t>
      </w:r>
      <w:r w:rsidRPr="00907189">
        <w:rPr>
          <w:rFonts w:ascii="Garamond" w:hAnsi="Garamond" w:cs="AdvP7B6C"/>
        </w:rPr>
        <w:t xml:space="preserve">  (Slo</w:t>
      </w:r>
      <w:r>
        <w:rPr>
          <w:rFonts w:ascii="Garamond" w:hAnsi="Garamond" w:cs="AdvP7B6C"/>
        </w:rPr>
        <w:t>cum in Cook et al., 2010: 111)</w:t>
      </w:r>
    </w:p>
    <w:p w:rsidR="00BA0F0B" w:rsidRPr="00907189" w:rsidRDefault="00BA0F0B" w:rsidP="00BA0F0B">
      <w:pPr>
        <w:autoSpaceDE w:val="0"/>
        <w:autoSpaceDN w:val="0"/>
        <w:adjustRightInd w:val="0"/>
        <w:spacing w:after="0" w:line="360" w:lineRule="auto"/>
        <w:jc w:val="both"/>
        <w:rPr>
          <w:rFonts w:ascii="Garamond" w:eastAsia="Times New Roman" w:hAnsi="Garamond"/>
          <w:i/>
          <w:lang w:eastAsia="en-GB"/>
        </w:rPr>
      </w:pPr>
    </w:p>
    <w:p w:rsidR="00A820B9" w:rsidRDefault="00BA0F0B" w:rsidP="00A820B9">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In the Outspan marketing liter</w:t>
      </w:r>
      <w:r>
        <w:rPr>
          <w:rFonts w:ascii="Garamond" w:eastAsia="Times New Roman" w:hAnsi="Garamond"/>
          <w:sz w:val="24"/>
          <w:szCs w:val="24"/>
          <w:lang w:eastAsia="en-GB"/>
        </w:rPr>
        <w:t>ature</w:t>
      </w:r>
      <w:r w:rsidRPr="00907189">
        <w:rPr>
          <w:rFonts w:ascii="Garamond" w:eastAsia="Times New Roman" w:hAnsi="Garamond"/>
          <w:sz w:val="24"/>
          <w:szCs w:val="24"/>
          <w:lang w:eastAsia="en-GB"/>
        </w:rPr>
        <w:t xml:space="preserve"> particular forms of blackness and whiteness emerge materially through the presentation of differing gendered, </w:t>
      </w:r>
      <w:r>
        <w:rPr>
          <w:rFonts w:ascii="Garamond" w:eastAsia="Times New Roman" w:hAnsi="Garamond"/>
          <w:sz w:val="24"/>
          <w:szCs w:val="24"/>
          <w:lang w:eastAsia="en-GB"/>
        </w:rPr>
        <w:t>sexualiz</w:t>
      </w:r>
      <w:r w:rsidRPr="00907189">
        <w:rPr>
          <w:rFonts w:ascii="Garamond" w:eastAsia="Times New Roman" w:hAnsi="Garamond"/>
          <w:sz w:val="24"/>
          <w:szCs w:val="24"/>
          <w:lang w:eastAsia="en-GB"/>
        </w:rPr>
        <w:t>ed and familial corporeal relationships with oranges. BOA posters designed by Rob van der Aa also presented dichotomous interpretations of race, but the materiality of orange squeezing, and the allusion to the kinetic force applied by a masculine white hand onto a black child’s head,</w:t>
      </w:r>
      <w:r>
        <w:rPr>
          <w:rFonts w:ascii="Garamond" w:eastAsia="Times New Roman" w:hAnsi="Garamond"/>
          <w:sz w:val="24"/>
          <w:szCs w:val="24"/>
          <w:lang w:eastAsia="en-GB"/>
        </w:rPr>
        <w:t xml:space="preserve"> expose</w:t>
      </w:r>
      <w:r w:rsidRPr="00907189">
        <w:rPr>
          <w:rFonts w:ascii="Garamond" w:eastAsia="Times New Roman" w:hAnsi="Garamond"/>
          <w:sz w:val="24"/>
          <w:szCs w:val="24"/>
          <w:lang w:eastAsia="en-GB"/>
        </w:rPr>
        <w:t xml:space="preserve"> </w:t>
      </w:r>
      <w:r>
        <w:rPr>
          <w:rFonts w:ascii="Garamond" w:eastAsia="Times New Roman" w:hAnsi="Garamond"/>
          <w:sz w:val="24"/>
          <w:szCs w:val="24"/>
          <w:lang w:eastAsia="en-GB"/>
        </w:rPr>
        <w:t>the binary of white power and black subjugation as shocking and immoral, rather than as 'natural' and harmonious as</w:t>
      </w:r>
      <w:r w:rsidRPr="00907189">
        <w:rPr>
          <w:rFonts w:ascii="Garamond" w:eastAsia="Times New Roman" w:hAnsi="Garamond"/>
          <w:sz w:val="24"/>
          <w:szCs w:val="24"/>
          <w:lang w:eastAsia="en-GB"/>
        </w:rPr>
        <w:t xml:space="preserve"> suggested in the Outspan marketing campaigns. Under the accompanying slogan ‘Don’t Squeeze A South African dry’, the BOA mirrored the Outspan binary of black and white, but the pressing and squeezing of fruit into liquid tapped into the interpretive repertoire (Potter, 1996</w:t>
      </w:r>
      <w:r>
        <w:rPr>
          <w:rFonts w:ascii="Garamond" w:eastAsia="Times New Roman" w:hAnsi="Garamond"/>
          <w:sz w:val="24"/>
          <w:szCs w:val="24"/>
          <w:lang w:eastAsia="en-GB"/>
        </w:rPr>
        <w:t>; Rose, 2001</w:t>
      </w:r>
      <w:r w:rsidRPr="00907189">
        <w:rPr>
          <w:rFonts w:ascii="Garamond" w:eastAsia="Times New Roman" w:hAnsi="Garamond"/>
          <w:sz w:val="24"/>
          <w:szCs w:val="24"/>
          <w:lang w:eastAsia="en-GB"/>
        </w:rPr>
        <w:t>) of media reports on South African drought and famine. The construction of race in the motif was familiar, but the juxtaposition of a head for an orange produced uncanny and shocking results</w:t>
      </w:r>
      <w:r w:rsidR="00A426A3">
        <w:rPr>
          <w:rFonts w:ascii="Garamond" w:eastAsia="Times New Roman" w:hAnsi="Garamond"/>
          <w:sz w:val="24"/>
          <w:szCs w:val="24"/>
          <w:lang w:eastAsia="en-GB"/>
        </w:rPr>
        <w:t xml:space="preserve"> (see Figure 33):</w:t>
      </w:r>
      <w:r w:rsidRPr="00907189">
        <w:rPr>
          <w:rFonts w:ascii="Garamond" w:eastAsia="Times New Roman" w:hAnsi="Garamond"/>
          <w:sz w:val="24"/>
          <w:szCs w:val="24"/>
          <w:lang w:eastAsia="en-GB"/>
        </w:rPr>
        <w:t xml:space="preserve"> </w:t>
      </w:r>
    </w:p>
    <w:p w:rsidR="00BA0F0B" w:rsidRPr="00907189" w:rsidRDefault="00BA0F0B" w:rsidP="00A820B9">
      <w:pPr>
        <w:spacing w:after="0" w:line="360" w:lineRule="auto"/>
        <w:jc w:val="both"/>
        <w:rPr>
          <w:rFonts w:ascii="Garamond" w:eastAsia="Times New Roman" w:hAnsi="Garamond"/>
          <w:sz w:val="24"/>
          <w:szCs w:val="24"/>
          <w:lang w:eastAsia="en-GB"/>
        </w:rPr>
      </w:pPr>
    </w:p>
    <w:p w:rsidR="00BA0F0B" w:rsidRPr="00907189" w:rsidRDefault="00A820B9" w:rsidP="00A820B9">
      <w:pPr>
        <w:spacing w:line="360" w:lineRule="auto"/>
        <w:ind w:left="284" w:right="284"/>
        <w:jc w:val="both"/>
        <w:rPr>
          <w:rFonts w:ascii="Garamond" w:hAnsi="Garamond"/>
        </w:rPr>
      </w:pPr>
      <w:r>
        <w:rPr>
          <w:rFonts w:ascii="Garamond" w:hAnsi="Garamond"/>
        </w:rPr>
        <w:t>ESAU</w:t>
      </w:r>
      <w:r w:rsidR="00751122">
        <w:rPr>
          <w:rFonts w:ascii="Garamond" w:hAnsi="Garamond"/>
        </w:rPr>
        <w:t>: Mr R</w:t>
      </w:r>
      <w:r w:rsidR="00BA0F0B" w:rsidRPr="00907189">
        <w:rPr>
          <w:rFonts w:ascii="Garamond" w:hAnsi="Garamond"/>
        </w:rPr>
        <w:t>i</w:t>
      </w:r>
      <w:r w:rsidR="00751122">
        <w:rPr>
          <w:rFonts w:ascii="Garamond" w:hAnsi="Garamond"/>
        </w:rPr>
        <w:t>e</w:t>
      </w:r>
      <w:r w:rsidR="00BA0F0B" w:rsidRPr="00907189">
        <w:rPr>
          <w:rFonts w:ascii="Garamond" w:hAnsi="Garamond"/>
        </w:rPr>
        <w:t xml:space="preserve">mslag. He said it’s a very distasteful and indecent poster, because when his children of eight and nine saw it they couldn’t sleep at night. The idea of somebody being squeezed. </w:t>
      </w:r>
    </w:p>
    <w:p w:rsidR="00BA0F0B" w:rsidRPr="00907189" w:rsidRDefault="00A820B9" w:rsidP="00A820B9">
      <w:pPr>
        <w:spacing w:line="360" w:lineRule="auto"/>
        <w:ind w:left="284" w:right="284"/>
        <w:jc w:val="both"/>
        <w:rPr>
          <w:rFonts w:ascii="Garamond" w:hAnsi="Garamond"/>
        </w:rPr>
      </w:pPr>
      <w:r>
        <w:rPr>
          <w:rFonts w:ascii="Garamond" w:hAnsi="Garamond"/>
        </w:rPr>
        <w:t>HUGH</w:t>
      </w:r>
      <w:r w:rsidR="00BA0F0B" w:rsidRPr="00907189">
        <w:rPr>
          <w:rFonts w:ascii="Garamond" w:hAnsi="Garamond"/>
        </w:rPr>
        <w:t>: So it scared children?</w:t>
      </w:r>
    </w:p>
    <w:p w:rsidR="00BA0F0B" w:rsidRPr="00907189" w:rsidRDefault="00A820B9" w:rsidP="00A426A3">
      <w:pPr>
        <w:spacing w:after="0" w:line="360" w:lineRule="auto"/>
        <w:ind w:left="284" w:right="284"/>
        <w:jc w:val="both"/>
        <w:rPr>
          <w:rFonts w:ascii="Garamond" w:hAnsi="Garamond"/>
        </w:rPr>
      </w:pPr>
      <w:r>
        <w:rPr>
          <w:rFonts w:ascii="Garamond" w:hAnsi="Garamond"/>
        </w:rPr>
        <w:t>ESAU</w:t>
      </w:r>
      <w:r w:rsidR="00BA0F0B" w:rsidRPr="00907189">
        <w:rPr>
          <w:rFonts w:ascii="Garamond" w:hAnsi="Garamond"/>
        </w:rPr>
        <w:t>: Yes fundamentally, it was considered indecent.</w:t>
      </w:r>
    </w:p>
    <w:p w:rsidR="00A820B9" w:rsidRDefault="00A820B9" w:rsidP="00A426A3">
      <w:pPr>
        <w:spacing w:after="0" w:line="360" w:lineRule="auto"/>
        <w:jc w:val="both"/>
        <w:rPr>
          <w:rFonts w:ascii="Garamond" w:eastAsia="Times New Roman" w:hAnsi="Garamond"/>
          <w:sz w:val="24"/>
          <w:szCs w:val="24"/>
          <w:lang w:eastAsia="en-GB"/>
        </w:rPr>
      </w:pPr>
    </w:p>
    <w:p w:rsidR="00A820B9" w:rsidRDefault="00BA0F0B" w:rsidP="00A426A3">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Banned for three years and considered ‘provocative’ by many of the anti-apartheid activists out</w:t>
      </w:r>
      <w:r>
        <w:rPr>
          <w:rFonts w:ascii="Garamond" w:eastAsia="Times New Roman" w:hAnsi="Garamond"/>
          <w:sz w:val="24"/>
          <w:szCs w:val="24"/>
          <w:lang w:eastAsia="en-GB"/>
        </w:rPr>
        <w:t>side the BOA (Interview</w:t>
      </w:r>
      <w:r w:rsidRPr="00907189">
        <w:rPr>
          <w:rFonts w:ascii="Garamond" w:eastAsia="Times New Roman" w:hAnsi="Garamond"/>
          <w:sz w:val="24"/>
          <w:szCs w:val="24"/>
          <w:lang w:eastAsia="en-GB"/>
        </w:rPr>
        <w:t xml:space="preserve"> Beerends, 2011), in its theatrical excess of mutilation and dismemberment the image retains a latent power to offend (Mitchell, 2005). During interviews with the BOA’s graphic designer, I wanted to find out whose head the image belonged to: </w:t>
      </w:r>
    </w:p>
    <w:p w:rsidR="00BA0F0B" w:rsidRPr="00907189" w:rsidRDefault="00BA0F0B" w:rsidP="00A820B9">
      <w:pPr>
        <w:spacing w:after="0" w:line="360" w:lineRule="auto"/>
        <w:jc w:val="both"/>
        <w:rPr>
          <w:rFonts w:ascii="Garamond" w:eastAsia="Times New Roman" w:hAnsi="Garamond"/>
          <w:sz w:val="24"/>
          <w:szCs w:val="24"/>
          <w:lang w:eastAsia="en-GB"/>
        </w:rPr>
      </w:pPr>
    </w:p>
    <w:p w:rsidR="00BA0F0B" w:rsidRPr="00907189" w:rsidRDefault="00A820B9" w:rsidP="00A820B9">
      <w:pPr>
        <w:spacing w:line="360" w:lineRule="auto"/>
        <w:ind w:left="284" w:right="284"/>
        <w:jc w:val="both"/>
        <w:rPr>
          <w:rFonts w:ascii="Garamond" w:hAnsi="Garamond"/>
        </w:rPr>
      </w:pPr>
      <w:r>
        <w:rPr>
          <w:rFonts w:ascii="Garamond" w:hAnsi="Garamond"/>
        </w:rPr>
        <w:t>HUGH</w:t>
      </w:r>
      <w:r w:rsidR="00BA0F0B" w:rsidRPr="00907189">
        <w:rPr>
          <w:rFonts w:ascii="Garamond" w:hAnsi="Garamond"/>
        </w:rPr>
        <w:t>: How did you get the idea for the design?</w:t>
      </w:r>
    </w:p>
    <w:p w:rsidR="00BA0F0B" w:rsidRPr="00907189" w:rsidRDefault="00A820B9" w:rsidP="00A820B9">
      <w:pPr>
        <w:spacing w:line="360" w:lineRule="auto"/>
        <w:ind w:left="284" w:right="284"/>
        <w:jc w:val="both"/>
        <w:rPr>
          <w:rFonts w:ascii="Garamond" w:hAnsi="Garamond"/>
        </w:rPr>
      </w:pPr>
      <w:r>
        <w:rPr>
          <w:rFonts w:ascii="Garamond" w:hAnsi="Garamond"/>
        </w:rPr>
        <w:t>ROB</w:t>
      </w:r>
      <w:r w:rsidR="00BA0F0B" w:rsidRPr="00907189">
        <w:rPr>
          <w:rFonts w:ascii="Garamond" w:hAnsi="Garamond"/>
        </w:rPr>
        <w:t>: The slogan [Don’t Squeeze A South African Dry] was the trigger for the idea of the drawing.</w:t>
      </w:r>
    </w:p>
    <w:p w:rsidR="00BA0F0B" w:rsidRPr="00907189" w:rsidRDefault="00A820B9" w:rsidP="00A820B9">
      <w:pPr>
        <w:spacing w:line="360" w:lineRule="auto"/>
        <w:ind w:left="284" w:right="284"/>
        <w:jc w:val="both"/>
        <w:rPr>
          <w:rFonts w:ascii="Garamond" w:hAnsi="Garamond"/>
        </w:rPr>
      </w:pPr>
      <w:r>
        <w:rPr>
          <w:rFonts w:ascii="Garamond" w:hAnsi="Garamond"/>
        </w:rPr>
        <w:t>THEO</w:t>
      </w:r>
      <w:r w:rsidR="00751122">
        <w:rPr>
          <w:rFonts w:ascii="Garamond" w:hAnsi="Garamond"/>
        </w:rPr>
        <w:t>: If you want another example</w:t>
      </w:r>
      <w:r w:rsidR="00BA0F0B" w:rsidRPr="00907189">
        <w:rPr>
          <w:rFonts w:ascii="Garamond" w:hAnsi="Garamond"/>
        </w:rPr>
        <w:t xml:space="preserve"> there was a poster, you know, about apples from Chile.. They have this poster of a box of apples with faces like skulls. That came after our </w:t>
      </w:r>
      <w:r w:rsidR="00BA0F0B" w:rsidRPr="00907189">
        <w:rPr>
          <w:rFonts w:ascii="Garamond" w:hAnsi="Garamond"/>
        </w:rPr>
        <w:lastRenderedPageBreak/>
        <w:t>campaign. We got the idea, why not take our slogan literally? Don’t squeeze ‘urrghhhh!. And then we had a meeting with the rest of the BOA. It was a big success.</w:t>
      </w:r>
    </w:p>
    <w:p w:rsidR="00BA0F0B" w:rsidRPr="00907189" w:rsidRDefault="00A820B9" w:rsidP="00A820B9">
      <w:pPr>
        <w:spacing w:line="360" w:lineRule="auto"/>
        <w:ind w:left="284" w:right="284"/>
        <w:jc w:val="both"/>
        <w:rPr>
          <w:rFonts w:ascii="Garamond" w:hAnsi="Garamond"/>
        </w:rPr>
      </w:pPr>
      <w:r>
        <w:rPr>
          <w:rFonts w:ascii="Garamond" w:hAnsi="Garamond"/>
        </w:rPr>
        <w:t>ROB</w:t>
      </w:r>
      <w:r w:rsidR="00BA0F0B" w:rsidRPr="00907189">
        <w:rPr>
          <w:rFonts w:ascii="Garamond" w:hAnsi="Garamond"/>
        </w:rPr>
        <w:t xml:space="preserve">: The original picture was of a laughing child. </w:t>
      </w:r>
    </w:p>
    <w:p w:rsidR="00BA0F0B" w:rsidRPr="00907189" w:rsidRDefault="00A820B9" w:rsidP="00A820B9">
      <w:pPr>
        <w:spacing w:line="360" w:lineRule="auto"/>
        <w:ind w:left="284" w:right="284"/>
        <w:jc w:val="both"/>
        <w:rPr>
          <w:rFonts w:ascii="Garamond" w:hAnsi="Garamond"/>
        </w:rPr>
      </w:pPr>
      <w:r>
        <w:rPr>
          <w:rFonts w:ascii="Garamond" w:hAnsi="Garamond"/>
        </w:rPr>
        <w:t>THEO</w:t>
      </w:r>
      <w:r w:rsidR="00BA0F0B" w:rsidRPr="00907189">
        <w:rPr>
          <w:rFonts w:ascii="Garamond" w:hAnsi="Garamond"/>
        </w:rPr>
        <w:t>: It’s true he’s not crying but laughing.</w:t>
      </w:r>
    </w:p>
    <w:p w:rsidR="00BA0F0B" w:rsidRPr="00907189" w:rsidRDefault="00A820B9" w:rsidP="00A820B9">
      <w:pPr>
        <w:spacing w:line="360" w:lineRule="auto"/>
        <w:ind w:left="284" w:right="284"/>
        <w:jc w:val="both"/>
        <w:rPr>
          <w:rFonts w:ascii="Garamond" w:eastAsia="Times New Roman" w:hAnsi="Garamond"/>
          <w:sz w:val="24"/>
          <w:szCs w:val="24"/>
          <w:lang w:eastAsia="en-GB"/>
        </w:rPr>
      </w:pPr>
      <w:r>
        <w:rPr>
          <w:rFonts w:ascii="Garamond" w:hAnsi="Garamond"/>
        </w:rPr>
        <w:t>ROB</w:t>
      </w:r>
      <w:r w:rsidR="00BA0F0B" w:rsidRPr="00907189">
        <w:rPr>
          <w:rFonts w:ascii="Garamond" w:hAnsi="Garamond"/>
        </w:rPr>
        <w:t>: Laughing in the playground.</w:t>
      </w:r>
    </w:p>
    <w:p w:rsidR="00F83103" w:rsidRDefault="00BA0F0B" w:rsidP="00BA0F0B">
      <w:pPr>
        <w:spacing w:line="360" w:lineRule="auto"/>
        <w:jc w:val="both"/>
        <w:rPr>
          <w:rFonts w:ascii="Garamond" w:hAnsi="Garamond"/>
          <w:sz w:val="24"/>
          <w:szCs w:val="24"/>
        </w:rPr>
      </w:pPr>
      <w:r>
        <w:rPr>
          <w:rFonts w:ascii="Garamond" w:eastAsia="Times New Roman" w:hAnsi="Garamond"/>
          <w:sz w:val="24"/>
          <w:szCs w:val="24"/>
          <w:lang w:eastAsia="en-GB"/>
        </w:rPr>
        <w:t>V</w:t>
      </w:r>
      <w:r w:rsidRPr="00907189">
        <w:rPr>
          <w:rFonts w:ascii="Garamond" w:eastAsia="Times New Roman" w:hAnsi="Garamond"/>
          <w:sz w:val="24"/>
          <w:szCs w:val="24"/>
          <w:lang w:eastAsia="en-GB"/>
        </w:rPr>
        <w:t>an der Aa transplanted</w:t>
      </w:r>
      <w:r>
        <w:rPr>
          <w:rFonts w:ascii="Garamond" w:eastAsia="Times New Roman" w:hAnsi="Garamond"/>
          <w:sz w:val="24"/>
          <w:szCs w:val="24"/>
          <w:lang w:eastAsia="en-GB"/>
        </w:rPr>
        <w:t xml:space="preserve"> a photographed head of an un-identified </w:t>
      </w:r>
      <w:r w:rsidRPr="00907189">
        <w:rPr>
          <w:rFonts w:ascii="Garamond" w:eastAsia="Times New Roman" w:hAnsi="Garamond"/>
          <w:sz w:val="24"/>
          <w:szCs w:val="24"/>
          <w:lang w:eastAsia="en-GB"/>
        </w:rPr>
        <w:t xml:space="preserve">boy playing amongst other children in a school playground, and placed it in the frontline of the anti-apartheid campaign. From here, what was </w:t>
      </w:r>
      <w:r w:rsidR="00A426A3">
        <w:rPr>
          <w:rFonts w:ascii="Garamond" w:eastAsia="Times New Roman" w:hAnsi="Garamond"/>
          <w:sz w:val="24"/>
          <w:szCs w:val="24"/>
          <w:lang w:eastAsia="en-GB"/>
        </w:rPr>
        <w:t>truthfully an expression of joy</w:t>
      </w:r>
      <w:r w:rsidRPr="00907189">
        <w:rPr>
          <w:rFonts w:ascii="Garamond" w:eastAsia="Times New Roman" w:hAnsi="Garamond"/>
          <w:sz w:val="24"/>
          <w:szCs w:val="24"/>
          <w:lang w:eastAsia="en-GB"/>
        </w:rPr>
        <w:t xml:space="preserve"> became an avatar for subjective and excruciating pain administered by the collared </w:t>
      </w:r>
      <w:r>
        <w:rPr>
          <w:rFonts w:ascii="Garamond" w:eastAsia="Times New Roman" w:hAnsi="Garamond"/>
          <w:sz w:val="24"/>
          <w:szCs w:val="24"/>
          <w:lang w:eastAsia="en-GB"/>
        </w:rPr>
        <w:t xml:space="preserve">(and </w:t>
      </w:r>
      <w:r w:rsidRPr="00907189">
        <w:rPr>
          <w:rFonts w:ascii="Garamond" w:eastAsia="Times New Roman" w:hAnsi="Garamond"/>
          <w:sz w:val="24"/>
          <w:szCs w:val="24"/>
          <w:lang w:eastAsia="en-GB"/>
        </w:rPr>
        <w:t xml:space="preserve">objectified) hand of ‘APARTHEID’. But the hand does what many hands do when making fresh orange juice; the </w:t>
      </w:r>
      <w:r>
        <w:rPr>
          <w:rFonts w:ascii="Garamond" w:hAnsi="Garamond"/>
          <w:sz w:val="24"/>
          <w:szCs w:val="24"/>
        </w:rPr>
        <w:t>image mobilizes an individualiz</w:t>
      </w:r>
      <w:r w:rsidRPr="00907189">
        <w:rPr>
          <w:rFonts w:ascii="Garamond" w:hAnsi="Garamond"/>
          <w:sz w:val="24"/>
          <w:szCs w:val="24"/>
        </w:rPr>
        <w:t>ed face of suffer</w:t>
      </w:r>
      <w:r>
        <w:rPr>
          <w:rFonts w:ascii="Garamond" w:hAnsi="Garamond"/>
          <w:sz w:val="24"/>
          <w:szCs w:val="24"/>
        </w:rPr>
        <w:t>ing at the hand of a universaliz</w:t>
      </w:r>
      <w:r w:rsidRPr="00907189">
        <w:rPr>
          <w:rFonts w:ascii="Garamond" w:hAnsi="Garamond"/>
          <w:sz w:val="24"/>
          <w:szCs w:val="24"/>
        </w:rPr>
        <w:t>ed process for making juice from an orange.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F83103">
        <w:tc>
          <w:tcPr>
            <w:tcW w:w="4258" w:type="dxa"/>
          </w:tcPr>
          <w:p w:rsidR="00F83103" w:rsidRPr="00F83103" w:rsidRDefault="00F83103" w:rsidP="00F83103">
            <w:pPr>
              <w:spacing w:line="360" w:lineRule="auto"/>
              <w:jc w:val="center"/>
              <w:rPr>
                <w:rFonts w:ascii="Garamond" w:eastAsia="Times New Roman" w:hAnsi="Garamond"/>
                <w:sz w:val="24"/>
                <w:szCs w:val="24"/>
                <w:lang w:eastAsia="en-GB"/>
              </w:rPr>
            </w:pPr>
            <w:r w:rsidRPr="00F83103">
              <w:rPr>
                <w:rFonts w:ascii="Garamond" w:eastAsia="Times New Roman" w:hAnsi="Garamond"/>
                <w:noProof/>
                <w:sz w:val="24"/>
                <w:szCs w:val="24"/>
                <w:lang w:eastAsia="en-GB"/>
              </w:rPr>
              <w:drawing>
                <wp:inline distT="0" distB="0" distL="0" distR="0">
                  <wp:extent cx="2120900" cy="3190894"/>
                  <wp:effectExtent l="25400" t="0" r="0" b="0"/>
                  <wp:docPr id="10" name="Picture 23" descr="Description: http://search.iisg.nl/search/search?action=get&amp;id=30051002868427&amp;col=images&amp;fieldname=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search.iisg.nl/search/search?action=get&amp;id=30051002868427&amp;col=images&amp;fieldname=resource"/>
                          <pic:cNvPicPr>
                            <a:picLocks noChangeAspect="1" noChangeArrowheads="1"/>
                          </pic:cNvPicPr>
                        </pic:nvPicPr>
                        <pic:blipFill>
                          <a:blip r:embed="rId57" cstate="print"/>
                          <a:srcRect/>
                          <a:stretch>
                            <a:fillRect/>
                          </a:stretch>
                        </pic:blipFill>
                        <pic:spPr bwMode="auto">
                          <a:xfrm>
                            <a:off x="0" y="0"/>
                            <a:ext cx="2134200" cy="3210904"/>
                          </a:xfrm>
                          <a:prstGeom prst="rect">
                            <a:avLst/>
                          </a:prstGeom>
                          <a:noFill/>
                          <a:ln w="9525">
                            <a:noFill/>
                            <a:miter lim="800000"/>
                            <a:headEnd/>
                            <a:tailEnd/>
                          </a:ln>
                        </pic:spPr>
                      </pic:pic>
                    </a:graphicData>
                  </a:graphic>
                </wp:inline>
              </w:drawing>
            </w:r>
          </w:p>
        </w:tc>
        <w:tc>
          <w:tcPr>
            <w:tcW w:w="4258" w:type="dxa"/>
          </w:tcPr>
          <w:p w:rsidR="00DB6347" w:rsidRDefault="00DB6347" w:rsidP="00F83103">
            <w:pPr>
              <w:pStyle w:val="Caption"/>
              <w:rPr>
                <w:rFonts w:ascii="Perpetua" w:hAnsi="Perpetua"/>
                <w:color w:val="auto"/>
                <w:sz w:val="20"/>
              </w:rPr>
            </w:pPr>
          </w:p>
          <w:p w:rsidR="00DB6347" w:rsidRDefault="00DB6347" w:rsidP="00F83103">
            <w:pPr>
              <w:pStyle w:val="Caption"/>
              <w:rPr>
                <w:rFonts w:ascii="Perpetua" w:hAnsi="Perpetua"/>
                <w:color w:val="auto"/>
                <w:sz w:val="20"/>
              </w:rPr>
            </w:pPr>
          </w:p>
          <w:p w:rsidR="00DB6347" w:rsidRDefault="00DB6347" w:rsidP="00F83103">
            <w:pPr>
              <w:pStyle w:val="Caption"/>
              <w:rPr>
                <w:rFonts w:ascii="Perpetua" w:hAnsi="Perpetua"/>
                <w:color w:val="auto"/>
                <w:sz w:val="20"/>
              </w:rPr>
            </w:pPr>
          </w:p>
          <w:p w:rsidR="00DB6347" w:rsidRDefault="00DB6347" w:rsidP="00F83103">
            <w:pPr>
              <w:pStyle w:val="Caption"/>
              <w:rPr>
                <w:rFonts w:ascii="Perpetua" w:hAnsi="Perpetua"/>
                <w:color w:val="auto"/>
                <w:sz w:val="20"/>
              </w:rPr>
            </w:pPr>
          </w:p>
          <w:p w:rsidR="001D6EDE" w:rsidRDefault="00A96BB2" w:rsidP="00A96BB2">
            <w:pPr>
              <w:pStyle w:val="Caption"/>
              <w:rPr>
                <w:rFonts w:ascii="Garamond" w:eastAsia="Times New Roman" w:hAnsi="Garamond"/>
                <w:sz w:val="24"/>
                <w:szCs w:val="24"/>
                <w:lang w:eastAsia="en-GB"/>
              </w:rPr>
            </w:pPr>
            <w:bookmarkStart w:id="446" w:name="_Toc263509030"/>
            <w:bookmarkStart w:id="447" w:name="_Toc263510817"/>
            <w:bookmarkStart w:id="448" w:name="_Toc244508233"/>
            <w:bookmarkStart w:id="449" w:name="_Toc244577295"/>
            <w:bookmarkStart w:id="450" w:name="_Toc263495764"/>
            <w:r w:rsidRPr="00A96BB2">
              <w:rPr>
                <w:rFonts w:ascii="Perpetua" w:hAnsi="Perpetua"/>
                <w:b w:val="0"/>
                <w:color w:val="auto"/>
                <w:sz w:val="20"/>
              </w:rPr>
              <w:t xml:space="preserve">Figure </w:t>
            </w:r>
            <w:r w:rsidR="00DF2DF8" w:rsidRPr="00A96BB2">
              <w:rPr>
                <w:rFonts w:ascii="Perpetua" w:hAnsi="Perpetua"/>
                <w:b w:val="0"/>
                <w:color w:val="auto"/>
                <w:sz w:val="20"/>
              </w:rPr>
              <w:fldChar w:fldCharType="begin"/>
            </w:r>
            <w:r w:rsidRPr="00A96BB2">
              <w:rPr>
                <w:rFonts w:ascii="Perpetua" w:hAnsi="Perpetua"/>
                <w:b w:val="0"/>
                <w:color w:val="auto"/>
                <w:sz w:val="20"/>
              </w:rPr>
              <w:instrText xml:space="preserve"> SEQ Figure \* ARABIC </w:instrText>
            </w:r>
            <w:r w:rsidR="00DF2DF8" w:rsidRPr="00A96BB2">
              <w:rPr>
                <w:rFonts w:ascii="Perpetua" w:hAnsi="Perpetua"/>
                <w:b w:val="0"/>
                <w:color w:val="auto"/>
                <w:sz w:val="20"/>
              </w:rPr>
              <w:fldChar w:fldCharType="separate"/>
            </w:r>
            <w:r w:rsidR="002B3E92">
              <w:rPr>
                <w:rFonts w:ascii="Perpetua" w:hAnsi="Perpetua"/>
                <w:b w:val="0"/>
                <w:noProof/>
                <w:color w:val="auto"/>
                <w:sz w:val="20"/>
              </w:rPr>
              <w:t>33</w:t>
            </w:r>
            <w:r w:rsidR="00DF2DF8" w:rsidRPr="00A96BB2">
              <w:rPr>
                <w:rFonts w:ascii="Perpetua" w:hAnsi="Perpetua"/>
                <w:b w:val="0"/>
                <w:color w:val="auto"/>
                <w:sz w:val="20"/>
              </w:rPr>
              <w:fldChar w:fldCharType="end"/>
            </w:r>
            <w:r w:rsidRPr="00A96BB2">
              <w:rPr>
                <w:rFonts w:ascii="Perpetua" w:hAnsi="Perpetua"/>
                <w:b w:val="0"/>
                <w:color w:val="auto"/>
                <w:sz w:val="20"/>
              </w:rPr>
              <w:t>: BOA Outspan boycott poster.</w:t>
            </w:r>
            <w:bookmarkEnd w:id="446"/>
            <w:bookmarkEnd w:id="447"/>
            <w:r>
              <w:rPr>
                <w:rFonts w:ascii="Garamond" w:eastAsia="Times New Roman" w:hAnsi="Garamond"/>
                <w:sz w:val="24"/>
                <w:szCs w:val="24"/>
                <w:lang w:eastAsia="en-GB"/>
              </w:rPr>
              <w:t xml:space="preserve"> </w:t>
            </w:r>
          </w:p>
          <w:p w:rsidR="00F83103" w:rsidRPr="001D6EDE" w:rsidRDefault="00504CFD" w:rsidP="001D6EDE">
            <w:pPr>
              <w:rPr>
                <w:rFonts w:ascii="Perpetua" w:hAnsi="Perpetua"/>
                <w:sz w:val="20"/>
              </w:rPr>
            </w:pPr>
            <w:r>
              <w:rPr>
                <w:rFonts w:ascii="Perpetua" w:hAnsi="Perpetua"/>
                <w:sz w:val="20"/>
              </w:rPr>
              <w:t>Translation</w:t>
            </w:r>
            <w:r w:rsidR="001D6EDE">
              <w:rPr>
                <w:rFonts w:ascii="Perpetua" w:hAnsi="Perpetua"/>
                <w:sz w:val="20"/>
              </w:rPr>
              <w:t>: “</w:t>
            </w:r>
            <w:r w:rsidR="00F83103" w:rsidRPr="001D6EDE">
              <w:rPr>
                <w:rFonts w:ascii="Perpetua" w:hAnsi="Perpetua"/>
                <w:sz w:val="20"/>
              </w:rPr>
              <w:t>Outspan blood oranges. Don</w:t>
            </w:r>
            <w:r>
              <w:rPr>
                <w:rFonts w:ascii="Perpetua" w:hAnsi="Perpetua"/>
                <w:sz w:val="20"/>
              </w:rPr>
              <w:t xml:space="preserve">’t Squeeze A South African Dry”. </w:t>
            </w:r>
            <w:r w:rsidR="00F83103" w:rsidRPr="001D6EDE">
              <w:rPr>
                <w:rFonts w:ascii="Perpetua" w:hAnsi="Perpetua"/>
                <w:sz w:val="20"/>
              </w:rPr>
              <w:t>Copyright IISH.</w:t>
            </w:r>
            <w:bookmarkEnd w:id="448"/>
            <w:bookmarkEnd w:id="449"/>
            <w:bookmarkEnd w:id="450"/>
          </w:p>
          <w:p w:rsidR="00F83103" w:rsidRDefault="00F83103" w:rsidP="00A96BB2">
            <w:pPr>
              <w:keepNext/>
              <w:spacing w:line="360" w:lineRule="auto"/>
              <w:jc w:val="both"/>
              <w:rPr>
                <w:rFonts w:ascii="Garamond" w:eastAsia="Times New Roman" w:hAnsi="Garamond"/>
                <w:sz w:val="24"/>
                <w:szCs w:val="24"/>
                <w:lang w:eastAsia="en-GB"/>
              </w:rPr>
            </w:pPr>
          </w:p>
        </w:tc>
      </w:tr>
    </w:tbl>
    <w:p w:rsidR="00BA0F0B" w:rsidRPr="00907189" w:rsidRDefault="00BA0F0B" w:rsidP="00BA0F0B">
      <w:pPr>
        <w:spacing w:line="360" w:lineRule="auto"/>
        <w:jc w:val="both"/>
        <w:rPr>
          <w:rFonts w:ascii="Garamond" w:hAnsi="Garamond"/>
          <w:sz w:val="24"/>
          <w:szCs w:val="24"/>
        </w:rPr>
      </w:pPr>
      <w:r w:rsidRPr="00907189">
        <w:rPr>
          <w:rFonts w:ascii="Garamond" w:hAnsi="Garamond"/>
          <w:sz w:val="24"/>
          <w:szCs w:val="24"/>
        </w:rPr>
        <w:t>The image gives life to emotive interventions in corporeal interactions with oranges. In his discussion of offensive images, Mitchell (2005) attributes sentience, expression and transparency amongst their repertoire of power:</w:t>
      </w:r>
    </w:p>
    <w:p w:rsidR="00BA0F0B" w:rsidRPr="00907189" w:rsidRDefault="00BA0F0B" w:rsidP="00BA0F0B">
      <w:pPr>
        <w:spacing w:line="360" w:lineRule="auto"/>
        <w:ind w:left="284" w:right="284"/>
        <w:jc w:val="both"/>
        <w:rPr>
          <w:rFonts w:ascii="Garamond" w:hAnsi="Garamond"/>
        </w:rPr>
      </w:pPr>
      <w:r w:rsidRPr="00907189">
        <w:rPr>
          <w:rFonts w:ascii="Garamond" w:hAnsi="Garamond"/>
        </w:rPr>
        <w:t>Whatever is done to the image is somehow done to what it stands for…Indeed images are sometimes treated as pseudopersons – not merely as sentient creatures that can feel pain and pleasure but as responsible and responsive human beings. Images of this sort seem to look back at us, to speak to us, even be capable of suffering harm or of magically transmitting harm when violence is done to them</w:t>
      </w:r>
      <w:r>
        <w:rPr>
          <w:rFonts w:ascii="Garamond" w:hAnsi="Garamond"/>
        </w:rPr>
        <w:t>.</w:t>
      </w:r>
      <w:r w:rsidRPr="00907189">
        <w:rPr>
          <w:rFonts w:ascii="Garamond" w:hAnsi="Garamond"/>
        </w:rPr>
        <w:t xml:space="preserve"> </w:t>
      </w:r>
      <w:r>
        <w:rPr>
          <w:rFonts w:ascii="Garamond" w:hAnsi="Garamond"/>
        </w:rPr>
        <w:t xml:space="preserve"> (Mitchell, 2005: 127)</w:t>
      </w:r>
    </w:p>
    <w:p w:rsidR="00BA0F0B" w:rsidRDefault="00BA0F0B" w:rsidP="00BA0F0B">
      <w:pPr>
        <w:spacing w:line="360" w:lineRule="auto"/>
        <w:jc w:val="both"/>
        <w:rPr>
          <w:rFonts w:ascii="Garamond" w:hAnsi="Garamond"/>
          <w:sz w:val="24"/>
          <w:szCs w:val="24"/>
        </w:rPr>
      </w:pPr>
      <w:r w:rsidRPr="00907189">
        <w:rPr>
          <w:rFonts w:ascii="Garamond" w:hAnsi="Garamond"/>
          <w:sz w:val="24"/>
          <w:szCs w:val="24"/>
        </w:rPr>
        <w:lastRenderedPageBreak/>
        <w:t xml:space="preserve">The </w:t>
      </w:r>
      <w:r>
        <w:rPr>
          <w:rFonts w:ascii="Garamond" w:hAnsi="Garamond"/>
          <w:sz w:val="24"/>
          <w:szCs w:val="24"/>
        </w:rPr>
        <w:t>poster did not receive widespread support from the Dutch AAMs. Connie Braam the leader of the AABN, found the logo and the accompanying Outspan boycott not 'appetizing':</w:t>
      </w:r>
    </w:p>
    <w:p w:rsidR="00A426A3" w:rsidRDefault="00BA0F0B" w:rsidP="00A426A3">
      <w:pPr>
        <w:spacing w:after="0" w:line="360" w:lineRule="auto"/>
        <w:ind w:left="284" w:right="284"/>
        <w:jc w:val="both"/>
        <w:rPr>
          <w:rFonts w:ascii="Garamond" w:hAnsi="Garamond"/>
          <w:sz w:val="24"/>
          <w:szCs w:val="24"/>
        </w:rPr>
      </w:pPr>
      <w:r w:rsidRPr="002650CB">
        <w:rPr>
          <w:rFonts w:ascii="Garamond" w:hAnsi="Garamond"/>
        </w:rPr>
        <w:t>We have nothing against a boycott, on the</w:t>
      </w:r>
      <w:r>
        <w:rPr>
          <w:rFonts w:ascii="Garamond" w:hAnsi="Garamond"/>
        </w:rPr>
        <w:t xml:space="preserve"> contrary, but we were against</w:t>
      </w:r>
      <w:r w:rsidRPr="002650CB">
        <w:rPr>
          <w:rFonts w:ascii="Garamond" w:hAnsi="Garamond"/>
        </w:rPr>
        <w:t xml:space="preserve"> </w:t>
      </w:r>
      <w:r>
        <w:rPr>
          <w:rFonts w:ascii="Garamond" w:hAnsi="Garamond"/>
        </w:rPr>
        <w:t>consumer action. The point is: y</w:t>
      </w:r>
      <w:r w:rsidRPr="002650CB">
        <w:rPr>
          <w:rFonts w:ascii="Garamond" w:hAnsi="Garamond"/>
        </w:rPr>
        <w:t xml:space="preserve">ou present shopkeepers with problems. What do these people have to do with apartheid? But meanwhile they are used as a try </w:t>
      </w:r>
      <w:r>
        <w:rPr>
          <w:rFonts w:ascii="Garamond" w:hAnsi="Garamond"/>
        </w:rPr>
        <w:t xml:space="preserve">out for </w:t>
      </w:r>
      <w:r w:rsidRPr="002650CB">
        <w:rPr>
          <w:rFonts w:ascii="Garamond" w:hAnsi="Garamond"/>
        </w:rPr>
        <w:t>your strength machine: gree</w:t>
      </w:r>
      <w:r>
        <w:rPr>
          <w:rFonts w:ascii="Garamond" w:hAnsi="Garamond"/>
        </w:rPr>
        <w:t>ngrocers</w:t>
      </w:r>
      <w:r w:rsidRPr="002650CB">
        <w:rPr>
          <w:rFonts w:ascii="Garamond" w:hAnsi="Garamond"/>
        </w:rPr>
        <w:t xml:space="preserve"> windows ar</w:t>
      </w:r>
      <w:r>
        <w:rPr>
          <w:rFonts w:ascii="Garamond" w:hAnsi="Garamond"/>
        </w:rPr>
        <w:t>e smashed, petrol stations have their rubber tubes</w:t>
      </w:r>
      <w:r w:rsidRPr="002650CB">
        <w:rPr>
          <w:rFonts w:ascii="Garamond" w:hAnsi="Garamond"/>
        </w:rPr>
        <w:t xml:space="preserve"> cu</w:t>
      </w:r>
      <w:r>
        <w:rPr>
          <w:rFonts w:ascii="Garamond" w:hAnsi="Garamond"/>
        </w:rPr>
        <w:t>t. You put the responsibility in</w:t>
      </w:r>
      <w:r w:rsidRPr="002650CB">
        <w:rPr>
          <w:rFonts w:ascii="Garamond" w:hAnsi="Garamond"/>
        </w:rPr>
        <w:t xml:space="preserve"> a place where it does not belong. All in all we didn’t find the Outspan Campaign pleasant. Also that poster with that head on a citrus squeezer I never found appetizing. Perhaps it was very successful, but on this basis we didn’t want that success. (Braam in Muskens, 2013: 2</w:t>
      </w:r>
      <w:r>
        <w:rPr>
          <w:rFonts w:ascii="Garamond" w:hAnsi="Garamond"/>
        </w:rPr>
        <w:t>, translated from Dutch</w:t>
      </w:r>
      <w:r w:rsidRPr="002650CB">
        <w:rPr>
          <w:rFonts w:ascii="Garamond" w:hAnsi="Garamond"/>
        </w:rPr>
        <w:t>)</w:t>
      </w:r>
      <w:r>
        <w:rPr>
          <w:rFonts w:ascii="Garamond" w:hAnsi="Garamond"/>
          <w:sz w:val="24"/>
          <w:szCs w:val="24"/>
        </w:rPr>
        <w:t xml:space="preserve"> </w:t>
      </w:r>
    </w:p>
    <w:p w:rsidR="00BA0F0B" w:rsidRDefault="00BA0F0B" w:rsidP="00A426A3">
      <w:pPr>
        <w:spacing w:after="0" w:line="360" w:lineRule="auto"/>
        <w:ind w:left="284" w:right="284"/>
        <w:jc w:val="both"/>
        <w:rPr>
          <w:rFonts w:ascii="Garamond" w:hAnsi="Garamond"/>
          <w:sz w:val="24"/>
          <w:szCs w:val="24"/>
        </w:rPr>
      </w:pPr>
    </w:p>
    <w:p w:rsidR="00A426A3" w:rsidRDefault="00BA0F0B" w:rsidP="00A426A3">
      <w:pPr>
        <w:spacing w:after="0" w:line="360" w:lineRule="auto"/>
        <w:jc w:val="both"/>
        <w:rPr>
          <w:rFonts w:ascii="Garamond" w:hAnsi="Garamond"/>
          <w:sz w:val="24"/>
          <w:szCs w:val="24"/>
        </w:rPr>
      </w:pPr>
      <w:r>
        <w:rPr>
          <w:rFonts w:ascii="Garamond" w:hAnsi="Garamond"/>
          <w:sz w:val="24"/>
          <w:szCs w:val="24"/>
        </w:rPr>
        <w:t>Initially the BOA wanted to initiate the Outspan boycott in full co-operation with the AABN. However, as the extract above illuminates, the largest Dutch AAM were reluctant to conduct 'hard' actions that extended complicity with apartheid into the realms of consumption and European places.</w:t>
      </w:r>
    </w:p>
    <w:p w:rsidR="00A426A3" w:rsidRDefault="00A426A3" w:rsidP="00A426A3">
      <w:pPr>
        <w:spacing w:after="0" w:line="360" w:lineRule="auto"/>
        <w:jc w:val="both"/>
        <w:rPr>
          <w:rFonts w:ascii="Garamond" w:hAnsi="Garamond"/>
          <w:sz w:val="24"/>
          <w:szCs w:val="24"/>
        </w:rPr>
      </w:pPr>
    </w:p>
    <w:p w:rsidR="00F83103" w:rsidRDefault="00BA0F0B" w:rsidP="00A426A3">
      <w:pPr>
        <w:spacing w:after="0" w:line="360" w:lineRule="auto"/>
        <w:jc w:val="both"/>
        <w:rPr>
          <w:rFonts w:ascii="Garamond" w:hAnsi="Garamond"/>
          <w:sz w:val="24"/>
          <w:szCs w:val="24"/>
        </w:rPr>
      </w:pPr>
      <w:r>
        <w:rPr>
          <w:rFonts w:ascii="Garamond" w:hAnsi="Garamond"/>
          <w:sz w:val="24"/>
          <w:szCs w:val="24"/>
        </w:rPr>
        <w:t xml:space="preserve">The BOA poster makes a visual argument of </w:t>
      </w:r>
      <w:r w:rsidRPr="00907189">
        <w:rPr>
          <w:rFonts w:ascii="Garamond" w:hAnsi="Garamond"/>
          <w:sz w:val="24"/>
          <w:szCs w:val="24"/>
        </w:rPr>
        <w:t>European</w:t>
      </w:r>
      <w:r>
        <w:rPr>
          <w:rFonts w:ascii="Garamond" w:hAnsi="Garamond"/>
          <w:sz w:val="24"/>
          <w:szCs w:val="24"/>
        </w:rPr>
        <w:t xml:space="preserve"> complicity with</w:t>
      </w:r>
      <w:r w:rsidRPr="00907189">
        <w:rPr>
          <w:rFonts w:ascii="Garamond" w:hAnsi="Garamond"/>
          <w:sz w:val="24"/>
          <w:szCs w:val="24"/>
        </w:rPr>
        <w:t xml:space="preserve"> apartheid through the purchasing and consumption of Outspan citrus. Oranges were effective tools for the BOA to induce gut feelings of guilt and complicity. The vibrant matter of the orange (Bennett, 2010)</w:t>
      </w:r>
      <w:r w:rsidRPr="00907189">
        <w:rPr>
          <w:rStyle w:val="FootnoteReference"/>
          <w:rFonts w:ascii="Garamond" w:hAnsi="Garamond"/>
          <w:sz w:val="24"/>
          <w:szCs w:val="24"/>
        </w:rPr>
        <w:footnoteReference w:id="90"/>
      </w:r>
      <w:r w:rsidRPr="00907189">
        <w:rPr>
          <w:rFonts w:ascii="Garamond" w:hAnsi="Garamond"/>
          <w:sz w:val="24"/>
          <w:szCs w:val="24"/>
        </w:rPr>
        <w:t xml:space="preserve"> - with its fleshy water drenched interior and hard exterior prone to rapid dehydration once separated from the flesh - made it an obvious contender to mimic the environmental conditioning of human bodies; in its husk to provide a metonym for drought or thirst and metaphor for bone, and in its segments to provide a metonym for quenching and metaphors for human flesh and blood. What is more, the essential quotidian violence (Probyn, 2000) required to eat or drink an orange (squeezing, dissecting, peeling, segmenting, sucking, grating) was adroitly applied by the BOA to the social and spatial squeezing of the BOA labourer and the famine victim, and the dissection and segmentation of the entire non-white South African population. By implication and literal anthropophagy, the European labourer then consumed the fruit of this violence, “this harvest of shame” (BOA, 1973). </w:t>
      </w:r>
    </w:p>
    <w:p w:rsidR="00BA0F0B" w:rsidRPr="00907189" w:rsidRDefault="00BA0F0B" w:rsidP="00BA0F0B">
      <w:pPr>
        <w:spacing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F83103">
        <w:tc>
          <w:tcPr>
            <w:tcW w:w="4258" w:type="dxa"/>
          </w:tcPr>
          <w:p w:rsidR="00F83103" w:rsidRPr="00F83103" w:rsidRDefault="00F83103" w:rsidP="00BA0F0B">
            <w:pPr>
              <w:spacing w:line="360" w:lineRule="auto"/>
              <w:jc w:val="both"/>
              <w:rPr>
                <w:rFonts w:ascii="Garamond" w:hAnsi="Garamond"/>
                <w:sz w:val="24"/>
                <w:szCs w:val="24"/>
              </w:rPr>
            </w:pPr>
            <w:r w:rsidRPr="00F83103">
              <w:rPr>
                <w:rFonts w:ascii="Garamond" w:hAnsi="Garamond"/>
                <w:noProof/>
                <w:sz w:val="24"/>
                <w:szCs w:val="24"/>
                <w:lang w:eastAsia="en-GB"/>
              </w:rPr>
              <w:lastRenderedPageBreak/>
              <w:drawing>
                <wp:inline distT="0" distB="0" distL="0" distR="0">
                  <wp:extent cx="2094682" cy="2886028"/>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2103572" cy="2898276"/>
                          </a:xfrm>
                          <a:prstGeom prst="rect">
                            <a:avLst/>
                          </a:prstGeom>
                          <a:noFill/>
                          <a:ln w="9525">
                            <a:noFill/>
                            <a:miter lim="800000"/>
                            <a:headEnd/>
                            <a:tailEnd/>
                          </a:ln>
                        </pic:spPr>
                      </pic:pic>
                    </a:graphicData>
                  </a:graphic>
                </wp:inline>
              </w:drawing>
            </w:r>
          </w:p>
        </w:tc>
        <w:tc>
          <w:tcPr>
            <w:tcW w:w="4258" w:type="dxa"/>
          </w:tcPr>
          <w:p w:rsidR="00F4135C" w:rsidRDefault="00F4135C" w:rsidP="00F83103">
            <w:pPr>
              <w:pStyle w:val="Caption"/>
              <w:rPr>
                <w:rFonts w:ascii="Perpetua" w:hAnsi="Perpetua"/>
                <w:color w:val="auto"/>
                <w:sz w:val="20"/>
              </w:rPr>
            </w:pPr>
          </w:p>
          <w:p w:rsidR="00F4135C" w:rsidRDefault="00F4135C" w:rsidP="00F83103">
            <w:pPr>
              <w:pStyle w:val="Caption"/>
              <w:rPr>
                <w:rFonts w:ascii="Perpetua" w:hAnsi="Perpetua"/>
                <w:color w:val="auto"/>
                <w:sz w:val="20"/>
              </w:rPr>
            </w:pPr>
          </w:p>
          <w:p w:rsidR="00F4135C" w:rsidRDefault="00F4135C" w:rsidP="00F83103">
            <w:pPr>
              <w:pStyle w:val="Caption"/>
              <w:rPr>
                <w:rFonts w:ascii="Perpetua" w:hAnsi="Perpetua"/>
                <w:color w:val="auto"/>
                <w:sz w:val="20"/>
              </w:rPr>
            </w:pPr>
          </w:p>
          <w:p w:rsidR="00F4135C" w:rsidRDefault="00F4135C" w:rsidP="00F83103">
            <w:pPr>
              <w:pStyle w:val="Caption"/>
              <w:rPr>
                <w:rFonts w:ascii="Perpetua" w:hAnsi="Perpetua"/>
                <w:color w:val="auto"/>
                <w:sz w:val="20"/>
              </w:rPr>
            </w:pPr>
          </w:p>
          <w:p w:rsidR="00504CFD" w:rsidRDefault="007A00C8" w:rsidP="00F83103">
            <w:pPr>
              <w:pStyle w:val="Caption"/>
              <w:rPr>
                <w:rFonts w:ascii="Garamond" w:eastAsia="Times New Roman" w:hAnsi="Garamond"/>
                <w:sz w:val="24"/>
                <w:szCs w:val="24"/>
                <w:lang w:eastAsia="en-GB"/>
              </w:rPr>
            </w:pPr>
            <w:bookmarkStart w:id="451" w:name="_Toc263509031"/>
            <w:bookmarkStart w:id="452" w:name="_Toc263510818"/>
            <w:bookmarkStart w:id="453" w:name="_Toc244508234"/>
            <w:bookmarkStart w:id="454" w:name="_Toc244577296"/>
            <w:bookmarkStart w:id="455" w:name="_Toc263495765"/>
            <w:r w:rsidRPr="007A00C8">
              <w:rPr>
                <w:rFonts w:ascii="Perpetua" w:hAnsi="Perpetua"/>
                <w:b w:val="0"/>
                <w:color w:val="auto"/>
                <w:sz w:val="20"/>
              </w:rPr>
              <w:t xml:space="preserve">Figure </w:t>
            </w:r>
            <w:r w:rsidR="00DF2DF8" w:rsidRPr="007A00C8">
              <w:rPr>
                <w:rFonts w:ascii="Perpetua" w:hAnsi="Perpetua"/>
                <w:b w:val="0"/>
                <w:color w:val="auto"/>
                <w:sz w:val="20"/>
              </w:rPr>
              <w:fldChar w:fldCharType="begin"/>
            </w:r>
            <w:r w:rsidRPr="007A00C8">
              <w:rPr>
                <w:rFonts w:ascii="Perpetua" w:hAnsi="Perpetua"/>
                <w:b w:val="0"/>
                <w:color w:val="auto"/>
                <w:sz w:val="20"/>
              </w:rPr>
              <w:instrText xml:space="preserve"> SEQ Figure \* ARABIC </w:instrText>
            </w:r>
            <w:r w:rsidR="00DF2DF8" w:rsidRPr="007A00C8">
              <w:rPr>
                <w:rFonts w:ascii="Perpetua" w:hAnsi="Perpetua"/>
                <w:b w:val="0"/>
                <w:color w:val="auto"/>
                <w:sz w:val="20"/>
              </w:rPr>
              <w:fldChar w:fldCharType="separate"/>
            </w:r>
            <w:r w:rsidR="002B3E92">
              <w:rPr>
                <w:rFonts w:ascii="Perpetua" w:hAnsi="Perpetua"/>
                <w:b w:val="0"/>
                <w:noProof/>
                <w:color w:val="auto"/>
                <w:sz w:val="20"/>
              </w:rPr>
              <w:t>34</w:t>
            </w:r>
            <w:r w:rsidR="00DF2DF8" w:rsidRPr="007A00C8">
              <w:rPr>
                <w:rFonts w:ascii="Perpetua" w:hAnsi="Perpetua"/>
                <w:b w:val="0"/>
                <w:color w:val="auto"/>
                <w:sz w:val="20"/>
              </w:rPr>
              <w:fldChar w:fldCharType="end"/>
            </w:r>
            <w:r w:rsidRPr="007A00C8">
              <w:rPr>
                <w:rFonts w:ascii="Perpetua" w:hAnsi="Perpetua"/>
                <w:b w:val="0"/>
                <w:color w:val="auto"/>
                <w:sz w:val="20"/>
              </w:rPr>
              <w:t>: BOA poster from 1973 depicting famine from the 'Bantustans'.</w:t>
            </w:r>
            <w:bookmarkEnd w:id="451"/>
            <w:bookmarkEnd w:id="452"/>
            <w:r>
              <w:rPr>
                <w:rFonts w:ascii="Garamond" w:eastAsia="Times New Roman" w:hAnsi="Garamond"/>
                <w:sz w:val="24"/>
                <w:szCs w:val="24"/>
                <w:lang w:eastAsia="en-GB"/>
              </w:rPr>
              <w:t xml:space="preserve"> </w:t>
            </w:r>
          </w:p>
          <w:p w:rsidR="00F83103" w:rsidRPr="00504CFD" w:rsidRDefault="007A00C8" w:rsidP="00504CFD">
            <w:pPr>
              <w:rPr>
                <w:rFonts w:ascii="Perpetua" w:hAnsi="Perpetua"/>
                <w:sz w:val="20"/>
              </w:rPr>
            </w:pPr>
            <w:r w:rsidRPr="00504CFD">
              <w:rPr>
                <w:rFonts w:ascii="Perpetua" w:hAnsi="Perpetua"/>
                <w:sz w:val="20"/>
              </w:rPr>
              <w:t>Tran</w:t>
            </w:r>
            <w:r w:rsidR="00504CFD">
              <w:rPr>
                <w:rFonts w:ascii="Perpetua" w:hAnsi="Perpetua"/>
                <w:sz w:val="20"/>
              </w:rPr>
              <w:t>slation</w:t>
            </w:r>
            <w:r w:rsidRPr="00504CFD">
              <w:rPr>
                <w:rFonts w:ascii="Perpetua" w:hAnsi="Perpetua"/>
                <w:sz w:val="20"/>
              </w:rPr>
              <w:t>: “</w:t>
            </w:r>
            <w:r w:rsidR="00F83103" w:rsidRPr="00504CFD">
              <w:rPr>
                <w:rFonts w:ascii="Perpetua" w:hAnsi="Perpetua"/>
                <w:sz w:val="20"/>
              </w:rPr>
              <w:t>Your advantage is their disadvantage. So do not buy Outspan Oranges. Don't Squeeze a South African Dry!"</w:t>
            </w:r>
            <w:bookmarkEnd w:id="453"/>
            <w:bookmarkEnd w:id="454"/>
            <w:bookmarkEnd w:id="455"/>
            <w:r w:rsidR="00504CFD" w:rsidRPr="00504CFD">
              <w:rPr>
                <w:rFonts w:ascii="Perpetua" w:hAnsi="Perpetua"/>
                <w:sz w:val="20"/>
              </w:rPr>
              <w:t xml:space="preserve">. </w:t>
            </w:r>
            <w:r w:rsidR="00504CFD">
              <w:rPr>
                <w:rFonts w:ascii="Perpetua" w:hAnsi="Perpetua"/>
                <w:sz w:val="20"/>
              </w:rPr>
              <w:t>Image c</w:t>
            </w:r>
            <w:r w:rsidR="00504CFD" w:rsidRPr="00504CFD">
              <w:rPr>
                <w:rFonts w:ascii="Perpetua" w:hAnsi="Perpetua"/>
                <w:sz w:val="20"/>
              </w:rPr>
              <w:t>ourtesy of IISH.</w:t>
            </w:r>
          </w:p>
          <w:p w:rsidR="00F83103" w:rsidRDefault="00F83103" w:rsidP="00A96BB2">
            <w:pPr>
              <w:keepNext/>
              <w:spacing w:line="360" w:lineRule="auto"/>
              <w:jc w:val="both"/>
              <w:rPr>
                <w:rFonts w:ascii="Garamond" w:hAnsi="Garamond"/>
                <w:sz w:val="24"/>
                <w:szCs w:val="24"/>
              </w:rPr>
            </w:pPr>
          </w:p>
        </w:tc>
      </w:tr>
    </w:tbl>
    <w:p w:rsidR="004A7172" w:rsidRDefault="004A7172" w:rsidP="00BA0F0B">
      <w:pPr>
        <w:spacing w:line="360" w:lineRule="auto"/>
        <w:jc w:val="both"/>
        <w:rPr>
          <w:rFonts w:ascii="Garamond" w:eastAsia="Times New Roman" w:hAnsi="Garamond"/>
          <w:sz w:val="24"/>
          <w:szCs w:val="24"/>
          <w:lang w:eastAsia="en-GB"/>
        </w:rPr>
      </w:pPr>
    </w:p>
    <w:p w:rsidR="00BA0F0B" w:rsidRPr="00907189" w:rsidRDefault="00BA0F0B" w:rsidP="00BA0F0B">
      <w:pPr>
        <w:spacing w:line="360" w:lineRule="auto"/>
        <w:jc w:val="both"/>
        <w:rPr>
          <w:rFonts w:ascii="Garamond" w:eastAsia="Times New Roman" w:hAnsi="Garamond"/>
          <w:sz w:val="24"/>
          <w:szCs w:val="24"/>
          <w:lang w:eastAsia="en-GB"/>
        </w:rPr>
      </w:pPr>
      <w:r>
        <w:rPr>
          <w:rFonts w:ascii="Garamond" w:eastAsia="Times New Roman" w:hAnsi="Garamond"/>
          <w:sz w:val="24"/>
          <w:szCs w:val="24"/>
          <w:lang w:eastAsia="en-GB"/>
        </w:rPr>
        <w:t>The third</w:t>
      </w:r>
      <w:r w:rsidRPr="00907189">
        <w:rPr>
          <w:rFonts w:ascii="Garamond" w:eastAsia="Times New Roman" w:hAnsi="Garamond"/>
          <w:sz w:val="24"/>
          <w:szCs w:val="24"/>
          <w:lang w:eastAsia="en-GB"/>
        </w:rPr>
        <w:t xml:space="preserve"> page of </w:t>
      </w:r>
      <w:r w:rsidRPr="00907189">
        <w:rPr>
          <w:rFonts w:ascii="Garamond" w:eastAsia="Times New Roman" w:hAnsi="Garamond"/>
          <w:i/>
          <w:sz w:val="24"/>
          <w:szCs w:val="24"/>
          <w:lang w:eastAsia="en-GB"/>
        </w:rPr>
        <w:t xml:space="preserve">Bouwstenen Voor Apartheid </w:t>
      </w:r>
      <w:r w:rsidRPr="00907189">
        <w:rPr>
          <w:rFonts w:ascii="Garamond" w:eastAsia="Times New Roman" w:hAnsi="Garamond"/>
          <w:sz w:val="24"/>
          <w:szCs w:val="24"/>
          <w:lang w:eastAsia="en-GB"/>
        </w:rPr>
        <w:t xml:space="preserve">quotes a poem by Barry Higgs, a South African exile in London. Introducing Higgs' poem, du Plessis writes: </w:t>
      </w:r>
      <w:r w:rsidRPr="00907189">
        <w:rPr>
          <w:rFonts w:ascii="Garamond" w:eastAsia="Times New Roman" w:hAnsi="Garamond"/>
          <w:i/>
          <w:sz w:val="24"/>
          <w:szCs w:val="24"/>
          <w:lang w:eastAsia="en-GB"/>
        </w:rPr>
        <w:t>“</w:t>
      </w:r>
      <w:r>
        <w:rPr>
          <w:rFonts w:ascii="Garamond" w:eastAsia="Times New Roman" w:hAnsi="Garamond"/>
          <w:sz w:val="24"/>
          <w:szCs w:val="24"/>
          <w:lang w:eastAsia="en-GB"/>
        </w:rPr>
        <w:t xml:space="preserve">this is </w:t>
      </w:r>
      <w:r w:rsidRPr="00907189">
        <w:rPr>
          <w:rFonts w:ascii="Garamond" w:hAnsi="Garamond"/>
          <w:sz w:val="24"/>
          <w:szCs w:val="24"/>
        </w:rPr>
        <w:t>how a black South African reacts when he sees South African Outspan oranges</w:t>
      </w:r>
      <w:r>
        <w:rPr>
          <w:rFonts w:ascii="Garamond" w:hAnsi="Garamond"/>
          <w:sz w:val="24"/>
          <w:szCs w:val="24"/>
        </w:rPr>
        <w:t xml:space="preserve"> in </w:t>
      </w:r>
      <w:r w:rsidRPr="00907189">
        <w:rPr>
          <w:rFonts w:ascii="Garamond" w:hAnsi="Garamond"/>
          <w:sz w:val="24"/>
          <w:szCs w:val="24"/>
        </w:rPr>
        <w:t>European stores</w:t>
      </w:r>
      <w:r w:rsidR="007D3EE3">
        <w:rPr>
          <w:rFonts w:ascii="Garamond" w:hAnsi="Garamond"/>
          <w:sz w:val="24"/>
          <w:szCs w:val="24"/>
        </w:rPr>
        <w:t>" (1972:3</w:t>
      </w:r>
      <w:r>
        <w:rPr>
          <w:rFonts w:ascii="Garamond" w:hAnsi="Garamond"/>
          <w:sz w:val="24"/>
          <w:szCs w:val="24"/>
        </w:rPr>
        <w:t>):</w:t>
      </w:r>
    </w:p>
    <w:p w:rsidR="00BA0F0B" w:rsidRPr="00907189" w:rsidRDefault="00BA0F0B" w:rsidP="007D3EE3">
      <w:pPr>
        <w:spacing w:line="360" w:lineRule="auto"/>
        <w:ind w:left="284" w:right="284"/>
        <w:jc w:val="right"/>
        <w:rPr>
          <w:rFonts w:ascii="Garamond" w:hAnsi="Garamond"/>
        </w:rPr>
      </w:pPr>
      <w:r w:rsidRPr="00907189">
        <w:rPr>
          <w:rFonts w:ascii="Garamond" w:hAnsi="Garamond"/>
          <w:color w:val="000000"/>
          <w:sz w:val="23"/>
          <w:szCs w:val="23"/>
        </w:rPr>
        <w:t>Hands Off.</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Black hands had picked this orange, sent express,</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The juice still sparkling in the golden fruit –</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While those dry fingers continents away:</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Could they still pick, or had they faded out?</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sz w:val="23"/>
          <w:szCs w:val="23"/>
        </w:rPr>
      </w:pP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For, standing on a barren London street,</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Pr>
          <w:rFonts w:ascii="Garamond" w:hAnsi="Garamond"/>
          <w:color w:val="000000"/>
        </w:rPr>
        <w:t xml:space="preserve">I thought: </w:t>
      </w:r>
      <w:r w:rsidRPr="00907189">
        <w:rPr>
          <w:rFonts w:ascii="Garamond" w:hAnsi="Garamond"/>
          <w:color w:val="000000"/>
        </w:rPr>
        <w:t>Black hands have picked this fruit for me,</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But a grasping hand has whipped the effort on</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 xml:space="preserve">and white fists </w:t>
      </w:r>
      <w:r>
        <w:rPr>
          <w:rFonts w:ascii="Garamond" w:hAnsi="Garamond"/>
          <w:color w:val="000000"/>
        </w:rPr>
        <w:t>with steel guns guard the tree.</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So guilt lay in my hands that day, like blood,</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and from the grocer´s stall the gruesome load</w:t>
      </w: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Of bloody, battered cheaper – by-the-dozen</w:t>
      </w:r>
    </w:p>
    <w:p w:rsidR="00F34D83"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Dripped bright</w:t>
      </w:r>
      <w:r>
        <w:rPr>
          <w:rFonts w:ascii="Garamond" w:hAnsi="Garamond"/>
          <w:color w:val="000000"/>
        </w:rPr>
        <w:t xml:space="preserve"> and dying to the London road.</w:t>
      </w:r>
      <w:r w:rsidR="00F34D83">
        <w:rPr>
          <w:rFonts w:ascii="Garamond" w:hAnsi="Garamond"/>
          <w:color w:val="000000"/>
        </w:rPr>
        <w:t xml:space="preserve"> </w:t>
      </w:r>
    </w:p>
    <w:p w:rsidR="00F34D83" w:rsidRDefault="00F34D83" w:rsidP="007D3EE3">
      <w:pPr>
        <w:autoSpaceDE w:val="0"/>
        <w:autoSpaceDN w:val="0"/>
        <w:adjustRightInd w:val="0"/>
        <w:spacing w:after="0" w:line="360" w:lineRule="auto"/>
        <w:ind w:left="284" w:right="284"/>
        <w:jc w:val="right"/>
        <w:rPr>
          <w:rFonts w:ascii="Garamond" w:hAnsi="Garamond"/>
          <w:color w:val="000000"/>
        </w:rPr>
      </w:pPr>
    </w:p>
    <w:p w:rsidR="00BA0F0B" w:rsidRPr="00907189" w:rsidRDefault="00BA0F0B" w:rsidP="007D3EE3">
      <w:pPr>
        <w:autoSpaceDE w:val="0"/>
        <w:autoSpaceDN w:val="0"/>
        <w:adjustRightInd w:val="0"/>
        <w:spacing w:after="0" w:line="360" w:lineRule="auto"/>
        <w:ind w:left="284" w:right="284"/>
        <w:jc w:val="right"/>
        <w:rPr>
          <w:rFonts w:ascii="Garamond" w:hAnsi="Garamond"/>
          <w:color w:val="000000"/>
        </w:rPr>
      </w:pPr>
      <w:r w:rsidRPr="00907189">
        <w:rPr>
          <w:rFonts w:ascii="Garamond" w:hAnsi="Garamond"/>
          <w:color w:val="000000"/>
        </w:rPr>
        <w:t>(</w:t>
      </w:r>
      <w:r>
        <w:rPr>
          <w:rFonts w:ascii="Garamond" w:hAnsi="Garamond"/>
          <w:color w:val="000000"/>
        </w:rPr>
        <w:t>Translated from Dutch, Outspan: Bouwestenen Voor Apartheid</w:t>
      </w:r>
      <w:r w:rsidRPr="00907189">
        <w:rPr>
          <w:rFonts w:ascii="Garamond" w:hAnsi="Garamond"/>
          <w:color w:val="000000"/>
        </w:rPr>
        <w:t>, 1972: 3).</w:t>
      </w:r>
    </w:p>
    <w:p w:rsidR="00BA0F0B" w:rsidRPr="00907189" w:rsidRDefault="00BA0F0B" w:rsidP="00BA0F0B">
      <w:pPr>
        <w:autoSpaceDE w:val="0"/>
        <w:autoSpaceDN w:val="0"/>
        <w:adjustRightInd w:val="0"/>
        <w:spacing w:after="0" w:line="360" w:lineRule="auto"/>
        <w:jc w:val="both"/>
        <w:rPr>
          <w:rFonts w:ascii="Garamond" w:hAnsi="Garamond"/>
          <w:color w:val="000000"/>
        </w:rPr>
      </w:pPr>
      <w:r w:rsidRPr="00907189">
        <w:rPr>
          <w:rFonts w:ascii="Garamond" w:hAnsi="Garamond"/>
          <w:color w:val="000000"/>
        </w:rPr>
        <w:t xml:space="preserve"> </w:t>
      </w:r>
    </w:p>
    <w:p w:rsidR="00BA0F0B" w:rsidRPr="00907189" w:rsidRDefault="00BA0F0B" w:rsidP="00F34D83">
      <w:pPr>
        <w:pStyle w:val="Default"/>
        <w:spacing w:line="360" w:lineRule="auto"/>
        <w:jc w:val="both"/>
        <w:rPr>
          <w:rFonts w:ascii="Garamond" w:hAnsi="Garamond"/>
        </w:rPr>
      </w:pPr>
      <w:r w:rsidRPr="00907189">
        <w:rPr>
          <w:rFonts w:ascii="Garamond" w:hAnsi="Garamond"/>
        </w:rPr>
        <w:lastRenderedPageBreak/>
        <w:t>Higgs' poem draws on the use of somatic markers to link effective feelings of guilt and shame with blood and oranges. The guilt and shame is found within the orange; the demand for the fruit actively produces the condition of suffering. This is the work of a classic boycott topos</w:t>
      </w:r>
      <w:r>
        <w:rPr>
          <w:rFonts w:ascii="Garamond" w:hAnsi="Garamond"/>
        </w:rPr>
        <w:t xml:space="preserve"> which "reverses consumption into production" (Morton, 2000: 175).</w:t>
      </w:r>
      <w:r w:rsidRPr="00907189">
        <w:rPr>
          <w:rFonts w:ascii="Garamond" w:hAnsi="Garamond"/>
        </w:rPr>
        <w:t xml:space="preserve"> </w:t>
      </w:r>
      <w:r>
        <w:rPr>
          <w:rFonts w:ascii="Garamond" w:hAnsi="Garamond"/>
        </w:rPr>
        <w:t>The romanticiz</w:t>
      </w:r>
      <w:r w:rsidRPr="00907189">
        <w:rPr>
          <w:rFonts w:ascii="Garamond" w:hAnsi="Garamond"/>
        </w:rPr>
        <w:t>e</w:t>
      </w:r>
      <w:r>
        <w:rPr>
          <w:rFonts w:ascii="Garamond" w:hAnsi="Garamond"/>
        </w:rPr>
        <w:t>d blood-sugar topos of the anti</w:t>
      </w:r>
      <w:r w:rsidRPr="00907189">
        <w:rPr>
          <w:rFonts w:ascii="Garamond" w:hAnsi="Garamond"/>
        </w:rPr>
        <w:t xml:space="preserve">slavery </w:t>
      </w:r>
      <w:r>
        <w:rPr>
          <w:rFonts w:ascii="Garamond" w:hAnsi="Garamond"/>
        </w:rPr>
        <w:t>movement from the 1790s attempted</w:t>
      </w:r>
      <w:r w:rsidRPr="00907189">
        <w:rPr>
          <w:rFonts w:ascii="Garamond" w:hAnsi="Garamond"/>
        </w:rPr>
        <w:t xml:space="preserve"> to make literal the blood of slaves inside West Indian sugar. </w:t>
      </w:r>
      <w:r w:rsidRPr="00907189">
        <w:rPr>
          <w:rFonts w:ascii="Garamond" w:eastAsia="Times New Roman" w:hAnsi="Garamond"/>
          <w:kern w:val="28"/>
          <w:lang w:val="en-US" w:eastAsia="en-GB"/>
        </w:rPr>
        <w:t>The bl</w:t>
      </w:r>
      <w:r>
        <w:rPr>
          <w:rFonts w:ascii="Garamond" w:eastAsia="Times New Roman" w:hAnsi="Garamond"/>
          <w:kern w:val="28"/>
          <w:lang w:val="en-US" w:eastAsia="en-GB"/>
        </w:rPr>
        <w:t>ood-sugar topos, Morton writes,</w:t>
      </w:r>
    </w:p>
    <w:p w:rsidR="00BA0F0B" w:rsidRDefault="00BA0F0B" w:rsidP="00F34D83">
      <w:pPr>
        <w:widowControl w:val="0"/>
        <w:overflowPunct w:val="0"/>
        <w:autoSpaceDE w:val="0"/>
        <w:autoSpaceDN w:val="0"/>
        <w:adjustRightInd w:val="0"/>
        <w:spacing w:after="0" w:line="360" w:lineRule="auto"/>
        <w:ind w:left="284" w:right="284"/>
        <w:jc w:val="both"/>
        <w:rPr>
          <w:rFonts w:ascii="Garamond" w:eastAsia="Times New Roman" w:hAnsi="Garamond"/>
          <w:kern w:val="28"/>
          <w:sz w:val="24"/>
          <w:szCs w:val="24"/>
          <w:lang w:val="en-US" w:eastAsia="en-GB"/>
        </w:rPr>
      </w:pPr>
    </w:p>
    <w:p w:rsidR="00F34D83" w:rsidRDefault="00BA0F0B" w:rsidP="00F34D83">
      <w:pPr>
        <w:widowControl w:val="0"/>
        <w:overflowPunct w:val="0"/>
        <w:autoSpaceDE w:val="0"/>
        <w:autoSpaceDN w:val="0"/>
        <w:adjustRightInd w:val="0"/>
        <w:spacing w:after="0" w:line="360" w:lineRule="auto"/>
        <w:ind w:left="284" w:right="284"/>
        <w:jc w:val="both"/>
        <w:rPr>
          <w:rFonts w:ascii="Garamond" w:eastAsia="Times New Roman" w:hAnsi="Garamond"/>
          <w:kern w:val="28"/>
          <w:lang w:val="en-US" w:eastAsia="en-GB"/>
        </w:rPr>
      </w:pPr>
      <w:r w:rsidRPr="00907189">
        <w:rPr>
          <w:rFonts w:ascii="Garamond" w:eastAsia="Times New Roman" w:hAnsi="Garamond"/>
          <w:kern w:val="28"/>
          <w:lang w:val="en-US" w:eastAsia="en-GB"/>
        </w:rPr>
        <w:t>is straightforward in its moral shock: imagine, gently bred citizens, as you sit quaffing your sweet tea (or coffee, rum or chocolate), how it’s sweetness is derived from suffering, how sugar is derived from the blood of slaves… but its unveiling process draws attention to the materiality of the very veil that has been torn away</w:t>
      </w:r>
      <w:r>
        <w:rPr>
          <w:rFonts w:ascii="Garamond" w:eastAsia="Times New Roman" w:hAnsi="Garamond"/>
          <w:kern w:val="28"/>
          <w:lang w:val="en-US" w:eastAsia="en-GB"/>
        </w:rPr>
        <w:t>.</w:t>
      </w:r>
      <w:r w:rsidRPr="00907189">
        <w:rPr>
          <w:rFonts w:ascii="Garamond" w:eastAsia="Times New Roman" w:hAnsi="Garamond"/>
          <w:kern w:val="28"/>
          <w:lang w:val="en-US" w:eastAsia="en-GB"/>
        </w:rPr>
        <w:t xml:space="preserve">  (2000: 175)</w:t>
      </w:r>
    </w:p>
    <w:p w:rsidR="00BA0F0B" w:rsidRPr="00907189" w:rsidRDefault="00BA0F0B" w:rsidP="00F34D83">
      <w:pPr>
        <w:widowControl w:val="0"/>
        <w:overflowPunct w:val="0"/>
        <w:autoSpaceDE w:val="0"/>
        <w:autoSpaceDN w:val="0"/>
        <w:adjustRightInd w:val="0"/>
        <w:spacing w:after="0" w:line="360" w:lineRule="auto"/>
        <w:ind w:left="284" w:right="284"/>
        <w:jc w:val="both"/>
        <w:rPr>
          <w:rFonts w:ascii="Garamond" w:eastAsia="Times New Roman" w:hAnsi="Garamond"/>
          <w:kern w:val="28"/>
          <w:lang w:val="en-US" w:eastAsia="en-GB"/>
        </w:rPr>
      </w:pPr>
    </w:p>
    <w:p w:rsidR="00F34D83" w:rsidRDefault="00BA0F0B" w:rsidP="00F34D83">
      <w:pPr>
        <w:pStyle w:val="Default"/>
        <w:spacing w:line="360" w:lineRule="auto"/>
        <w:jc w:val="both"/>
        <w:rPr>
          <w:rFonts w:ascii="Garamond" w:eastAsia="Times New Roman" w:hAnsi="Garamond"/>
          <w:color w:val="auto"/>
          <w:kern w:val="28"/>
          <w:lang w:val="en-US" w:eastAsia="en-GB"/>
        </w:rPr>
      </w:pPr>
      <w:r w:rsidRPr="00907189">
        <w:rPr>
          <w:rFonts w:ascii="Garamond" w:eastAsia="Times New Roman" w:hAnsi="Garamond"/>
          <w:color w:val="auto"/>
          <w:kern w:val="28"/>
          <w:lang w:val="en-US" w:eastAsia="en-GB"/>
        </w:rPr>
        <w:t xml:space="preserve">If the blood-sugar topos worked to make literal the bourgeois tea party production of slavery, the BOA’s blood-orange topos worked to make literal the European consumer’s production of </w:t>
      </w:r>
      <w:r>
        <w:rPr>
          <w:rFonts w:ascii="Garamond" w:eastAsia="Times New Roman" w:hAnsi="Garamond"/>
          <w:color w:val="auto"/>
          <w:kern w:val="28"/>
          <w:lang w:val="en-US" w:eastAsia="en-GB"/>
        </w:rPr>
        <w:t>apartheid</w:t>
      </w:r>
      <w:r w:rsidRPr="00907189">
        <w:rPr>
          <w:rFonts w:ascii="Garamond" w:eastAsia="Times New Roman" w:hAnsi="Garamond"/>
          <w:color w:val="auto"/>
          <w:kern w:val="28"/>
          <w:lang w:val="en-US" w:eastAsia="en-GB"/>
        </w:rPr>
        <w:t xml:space="preserve">. </w:t>
      </w:r>
      <w:r>
        <w:rPr>
          <w:rFonts w:ascii="Garamond" w:eastAsia="Times New Roman" w:hAnsi="Garamond"/>
          <w:color w:val="auto"/>
          <w:kern w:val="28"/>
          <w:lang w:val="en-US" w:eastAsia="en-GB"/>
        </w:rPr>
        <w:t>If you juiced</w:t>
      </w:r>
      <w:r w:rsidRPr="00907189">
        <w:rPr>
          <w:rFonts w:ascii="Garamond" w:eastAsia="Times New Roman" w:hAnsi="Garamond"/>
          <w:color w:val="auto"/>
          <w:kern w:val="28"/>
          <w:lang w:val="en-US" w:eastAsia="en-GB"/>
        </w:rPr>
        <w:t xml:space="preserve"> the vitamin, fructose, and sun drenched vit</w:t>
      </w:r>
      <w:r>
        <w:rPr>
          <w:rFonts w:ascii="Garamond" w:eastAsia="Times New Roman" w:hAnsi="Garamond"/>
          <w:color w:val="auto"/>
          <w:kern w:val="28"/>
          <w:lang w:val="en-US" w:eastAsia="en-GB"/>
        </w:rPr>
        <w:t>ality of oranges, the BOA suggested</w:t>
      </w:r>
      <w:r w:rsidRPr="00907189">
        <w:rPr>
          <w:rFonts w:ascii="Garamond" w:eastAsia="Times New Roman" w:hAnsi="Garamond"/>
          <w:color w:val="auto"/>
          <w:kern w:val="28"/>
          <w:lang w:val="en-US" w:eastAsia="en-GB"/>
        </w:rPr>
        <w:t xml:space="preserve">, </w:t>
      </w:r>
      <w:r>
        <w:rPr>
          <w:rFonts w:ascii="Garamond" w:eastAsia="Times New Roman" w:hAnsi="Garamond"/>
          <w:color w:val="auto"/>
          <w:kern w:val="28"/>
          <w:lang w:val="en-US" w:eastAsia="en-GB"/>
        </w:rPr>
        <w:t>you would squeeze out the blood of black</w:t>
      </w:r>
      <w:r w:rsidRPr="00907189">
        <w:rPr>
          <w:rFonts w:ascii="Garamond" w:eastAsia="Times New Roman" w:hAnsi="Garamond"/>
          <w:color w:val="auto"/>
          <w:kern w:val="28"/>
          <w:lang w:val="en-US" w:eastAsia="en-GB"/>
        </w:rPr>
        <w:t xml:space="preserve"> labourers</w:t>
      </w:r>
      <w:r>
        <w:rPr>
          <w:rFonts w:ascii="Garamond" w:eastAsia="Times New Roman" w:hAnsi="Garamond"/>
          <w:color w:val="auto"/>
          <w:kern w:val="28"/>
          <w:lang w:val="en-US" w:eastAsia="en-GB"/>
        </w:rPr>
        <w:t xml:space="preserve"> working on South African citrus farms</w:t>
      </w:r>
      <w:r w:rsidRPr="00907189">
        <w:rPr>
          <w:rFonts w:ascii="Garamond" w:eastAsia="Times New Roman" w:hAnsi="Garamond"/>
          <w:color w:val="auto"/>
          <w:kern w:val="28"/>
          <w:lang w:val="en-US" w:eastAsia="en-GB"/>
        </w:rPr>
        <w:t>.</w:t>
      </w:r>
    </w:p>
    <w:p w:rsidR="00F34D83" w:rsidRDefault="00F34D83" w:rsidP="00F34D83">
      <w:pPr>
        <w:pStyle w:val="Default"/>
        <w:spacing w:line="360" w:lineRule="auto"/>
        <w:jc w:val="both"/>
        <w:rPr>
          <w:rFonts w:ascii="Garamond" w:eastAsia="Times New Roman" w:hAnsi="Garamond"/>
          <w:color w:val="auto"/>
          <w:kern w:val="28"/>
          <w:lang w:val="en-US" w:eastAsia="en-GB"/>
        </w:rPr>
      </w:pPr>
    </w:p>
    <w:p w:rsidR="00BA0F0B" w:rsidRPr="0002426D" w:rsidRDefault="00BA0F0B" w:rsidP="00F34D83">
      <w:pPr>
        <w:pStyle w:val="Default"/>
        <w:spacing w:line="360" w:lineRule="auto"/>
        <w:jc w:val="both"/>
        <w:rPr>
          <w:rFonts w:ascii="Garamond" w:eastAsia="Times New Roman" w:hAnsi="Garamond"/>
          <w:b/>
          <w:color w:val="auto"/>
          <w:kern w:val="28"/>
          <w:sz w:val="22"/>
          <w:lang w:val="en-US" w:eastAsia="en-GB"/>
        </w:rPr>
      </w:pPr>
      <w:r w:rsidRPr="0002426D">
        <w:rPr>
          <w:rFonts w:ascii="Garamond" w:eastAsia="Times New Roman" w:hAnsi="Garamond"/>
          <w:b/>
          <w:i/>
          <w:sz w:val="22"/>
          <w:lang w:eastAsia="en-GB"/>
        </w:rPr>
        <w:t>Unmaking appetites</w:t>
      </w:r>
    </w:p>
    <w:p w:rsidR="00F34D83" w:rsidRDefault="00F34D83" w:rsidP="00F34D83">
      <w:pPr>
        <w:spacing w:after="0" w:line="360" w:lineRule="auto"/>
        <w:ind w:left="284" w:right="284"/>
        <w:jc w:val="both"/>
        <w:rPr>
          <w:rFonts w:ascii="Garamond" w:eastAsia="Times New Roman" w:hAnsi="Garamond"/>
          <w:lang w:eastAsia="en-GB"/>
        </w:rPr>
      </w:pPr>
    </w:p>
    <w:p w:rsidR="00F34D83" w:rsidRDefault="00BA0F0B" w:rsidP="00F34D83">
      <w:pPr>
        <w:spacing w:after="0" w:line="360" w:lineRule="auto"/>
        <w:ind w:left="284" w:right="284"/>
        <w:jc w:val="both"/>
        <w:rPr>
          <w:rFonts w:ascii="Garamond" w:eastAsia="Times New Roman" w:hAnsi="Garamond"/>
          <w:lang w:eastAsia="en-GB"/>
        </w:rPr>
      </w:pPr>
      <w:r w:rsidRPr="00907189">
        <w:rPr>
          <w:rFonts w:ascii="Garamond" w:eastAsia="Times New Roman" w:hAnsi="Garamond"/>
          <w:lang w:eastAsia="en-GB"/>
        </w:rPr>
        <w:t>An appetite is an emotionally flavoured hunger…An appetite, or desire, for a certain food may exist independently of a feeling for hunger, and a hunger may exist without having much of an appetite</w:t>
      </w:r>
      <w:r>
        <w:rPr>
          <w:rFonts w:ascii="Garamond" w:eastAsia="Times New Roman" w:hAnsi="Garamond"/>
          <w:lang w:eastAsia="en-GB"/>
        </w:rPr>
        <w:t>. (Lupton, 1997: 33)</w:t>
      </w:r>
    </w:p>
    <w:p w:rsidR="00BA0F0B" w:rsidRPr="00907189" w:rsidRDefault="00BA0F0B" w:rsidP="00F34D83">
      <w:pPr>
        <w:spacing w:after="0" w:line="360" w:lineRule="auto"/>
        <w:ind w:left="284" w:right="284"/>
        <w:jc w:val="both"/>
        <w:rPr>
          <w:rFonts w:ascii="Garamond" w:eastAsia="Times New Roman" w:hAnsi="Garamond"/>
          <w:lang w:eastAsia="en-GB"/>
        </w:rPr>
      </w:pPr>
    </w:p>
    <w:p w:rsidR="005B48FD" w:rsidRDefault="00BA0F0B" w:rsidP="00F34D83">
      <w:pPr>
        <w:spacing w:after="0" w:line="360" w:lineRule="auto"/>
        <w:jc w:val="both"/>
        <w:rPr>
          <w:rFonts w:ascii="Garamond" w:eastAsia="Times New Roman" w:hAnsi="Garamond"/>
          <w:sz w:val="24"/>
          <w:szCs w:val="24"/>
          <w:lang w:eastAsia="en-GB"/>
        </w:rPr>
      </w:pPr>
      <w:r w:rsidRPr="00907189">
        <w:rPr>
          <w:rFonts w:ascii="Garamond" w:eastAsia="Times New Roman" w:hAnsi="Garamond"/>
          <w:sz w:val="24"/>
          <w:szCs w:val="24"/>
          <w:lang w:eastAsia="en-GB"/>
        </w:rPr>
        <w:t>The BOA developed more complex ways of linking consuming and producing bodies than through white on black anthropophagy alone. The organization unmade appet</w:t>
      </w:r>
      <w:r>
        <w:rPr>
          <w:rFonts w:ascii="Garamond" w:eastAsia="Times New Roman" w:hAnsi="Garamond"/>
          <w:sz w:val="24"/>
          <w:szCs w:val="24"/>
          <w:lang w:eastAsia="en-GB"/>
        </w:rPr>
        <w:t>ites for oranges through mobiliz</w:t>
      </w:r>
      <w:r w:rsidRPr="00907189">
        <w:rPr>
          <w:rFonts w:ascii="Garamond" w:eastAsia="Times New Roman" w:hAnsi="Garamond"/>
          <w:sz w:val="24"/>
          <w:szCs w:val="24"/>
          <w:lang w:eastAsia="en-GB"/>
        </w:rPr>
        <w:t xml:space="preserve">ing abjection, disgust and fears of contamination in the consumption of oranges of ‘shame’. </w:t>
      </w:r>
    </w:p>
    <w:p w:rsidR="0002426D" w:rsidRDefault="0002426D" w:rsidP="00BA0F0B">
      <w:pPr>
        <w:spacing w:line="360" w:lineRule="auto"/>
        <w:jc w:val="both"/>
        <w:rPr>
          <w:rFonts w:ascii="Garamond" w:eastAsia="Times New Roman" w:hAnsi="Garamond"/>
          <w:sz w:val="24"/>
          <w:szCs w:val="24"/>
          <w:lang w:eastAsia="en-GB"/>
        </w:rPr>
      </w:pPr>
    </w:p>
    <w:p w:rsidR="0002426D" w:rsidRDefault="0002426D" w:rsidP="00BA0F0B">
      <w:pPr>
        <w:spacing w:line="360" w:lineRule="auto"/>
        <w:jc w:val="both"/>
        <w:rPr>
          <w:rFonts w:ascii="Garamond" w:eastAsia="Times New Roman" w:hAnsi="Garamond"/>
          <w:sz w:val="24"/>
          <w:szCs w:val="24"/>
          <w:lang w:eastAsia="en-GB"/>
        </w:rPr>
      </w:pPr>
    </w:p>
    <w:p w:rsidR="0002426D" w:rsidRDefault="0002426D" w:rsidP="00BA0F0B">
      <w:pPr>
        <w:spacing w:line="360" w:lineRule="auto"/>
        <w:jc w:val="both"/>
        <w:rPr>
          <w:rFonts w:ascii="Garamond" w:eastAsia="Times New Roman" w:hAnsi="Garamond"/>
          <w:sz w:val="24"/>
          <w:szCs w:val="24"/>
          <w:lang w:eastAsia="en-GB"/>
        </w:rPr>
      </w:pPr>
    </w:p>
    <w:p w:rsidR="0002426D" w:rsidRDefault="0002426D" w:rsidP="00BA0F0B">
      <w:pPr>
        <w:spacing w:line="360" w:lineRule="auto"/>
        <w:jc w:val="both"/>
        <w:rPr>
          <w:rFonts w:ascii="Garamond" w:eastAsia="Times New Roman" w:hAnsi="Garamond"/>
          <w:sz w:val="24"/>
          <w:szCs w:val="24"/>
          <w:lang w:eastAsia="en-GB"/>
        </w:rPr>
      </w:pPr>
    </w:p>
    <w:p w:rsidR="0002426D" w:rsidRDefault="0002426D" w:rsidP="00BA0F0B">
      <w:pPr>
        <w:spacing w:line="360" w:lineRule="auto"/>
        <w:jc w:val="both"/>
        <w:rPr>
          <w:rFonts w:ascii="Garamond" w:eastAsia="Times New Roman" w:hAnsi="Garamond"/>
          <w:sz w:val="24"/>
          <w:szCs w:val="24"/>
          <w:lang w:eastAsia="en-GB"/>
        </w:rPr>
      </w:pPr>
    </w:p>
    <w:p w:rsidR="00BA0F0B" w:rsidRPr="00907189" w:rsidRDefault="00BA0F0B" w:rsidP="00BA0F0B">
      <w:pPr>
        <w:spacing w:line="360" w:lineRule="auto"/>
        <w:jc w:val="both"/>
        <w:rPr>
          <w:rFonts w:ascii="Garamond" w:eastAsia="Times New Roman" w:hAnsi="Garamond"/>
          <w:sz w:val="24"/>
          <w:szCs w:val="24"/>
          <w:lang w:eastAsia="en-GB"/>
        </w:rPr>
      </w:pPr>
    </w:p>
    <w:tbl>
      <w:tblPr>
        <w:tblStyle w:val="TableGrid"/>
        <w:tblW w:w="87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371"/>
        <w:gridCol w:w="4371"/>
      </w:tblGrid>
      <w:tr w:rsidR="005B48FD">
        <w:trPr>
          <w:trHeight w:val="5160"/>
        </w:trPr>
        <w:tc>
          <w:tcPr>
            <w:tcW w:w="4371" w:type="dxa"/>
          </w:tcPr>
          <w:p w:rsidR="005B48FD" w:rsidRPr="005B48FD" w:rsidRDefault="005B48FD" w:rsidP="00BA0F0B">
            <w:pPr>
              <w:spacing w:line="360" w:lineRule="auto"/>
              <w:jc w:val="both"/>
              <w:rPr>
                <w:rFonts w:ascii="Garamond" w:eastAsia="Times New Roman" w:hAnsi="Garamond"/>
                <w:sz w:val="24"/>
                <w:szCs w:val="24"/>
                <w:lang w:eastAsia="en-GB"/>
              </w:rPr>
            </w:pPr>
            <w:r w:rsidRPr="005B48FD">
              <w:rPr>
                <w:rFonts w:ascii="Garamond" w:eastAsia="Times New Roman" w:hAnsi="Garamond"/>
                <w:noProof/>
                <w:sz w:val="24"/>
                <w:szCs w:val="24"/>
                <w:lang w:eastAsia="en-GB"/>
              </w:rPr>
              <w:drawing>
                <wp:inline distT="0" distB="0" distL="0" distR="0">
                  <wp:extent cx="2115418" cy="3115733"/>
                  <wp:effectExtent l="2540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2128850" cy="3135517"/>
                          </a:xfrm>
                          <a:prstGeom prst="rect">
                            <a:avLst/>
                          </a:prstGeom>
                          <a:noFill/>
                          <a:ln w="9525">
                            <a:noFill/>
                            <a:miter lim="800000"/>
                            <a:headEnd/>
                            <a:tailEnd/>
                          </a:ln>
                        </pic:spPr>
                      </pic:pic>
                    </a:graphicData>
                  </a:graphic>
                </wp:inline>
              </w:drawing>
            </w:r>
          </w:p>
        </w:tc>
        <w:tc>
          <w:tcPr>
            <w:tcW w:w="4371" w:type="dxa"/>
          </w:tcPr>
          <w:p w:rsidR="00504CFD" w:rsidRDefault="007A00C8" w:rsidP="00751122">
            <w:pPr>
              <w:pStyle w:val="Caption"/>
              <w:rPr>
                <w:rFonts w:ascii="Perpetua" w:hAnsi="Perpetua"/>
                <w:b w:val="0"/>
                <w:color w:val="auto"/>
                <w:sz w:val="20"/>
              </w:rPr>
            </w:pPr>
            <w:bookmarkStart w:id="456" w:name="_Toc263509032"/>
            <w:bookmarkStart w:id="457" w:name="_Toc263510819"/>
            <w:bookmarkStart w:id="458" w:name="_Toc244508235"/>
            <w:bookmarkStart w:id="459" w:name="_Toc244577297"/>
            <w:bookmarkStart w:id="460" w:name="_Toc263495766"/>
            <w:r w:rsidRPr="007A00C8">
              <w:rPr>
                <w:rFonts w:ascii="Perpetua" w:hAnsi="Perpetua"/>
                <w:b w:val="0"/>
                <w:color w:val="auto"/>
                <w:sz w:val="20"/>
              </w:rPr>
              <w:t xml:space="preserve">Figure </w:t>
            </w:r>
            <w:r w:rsidR="00DF2DF8" w:rsidRPr="007A00C8">
              <w:rPr>
                <w:rFonts w:ascii="Perpetua" w:hAnsi="Perpetua"/>
                <w:b w:val="0"/>
                <w:color w:val="auto"/>
                <w:sz w:val="20"/>
              </w:rPr>
              <w:fldChar w:fldCharType="begin"/>
            </w:r>
            <w:r w:rsidRPr="007A00C8">
              <w:rPr>
                <w:rFonts w:ascii="Perpetua" w:hAnsi="Perpetua"/>
                <w:b w:val="0"/>
                <w:color w:val="auto"/>
                <w:sz w:val="20"/>
              </w:rPr>
              <w:instrText xml:space="preserve"> SEQ Figure \* ARABIC </w:instrText>
            </w:r>
            <w:r w:rsidR="00DF2DF8" w:rsidRPr="007A00C8">
              <w:rPr>
                <w:rFonts w:ascii="Perpetua" w:hAnsi="Perpetua"/>
                <w:b w:val="0"/>
                <w:color w:val="auto"/>
                <w:sz w:val="20"/>
              </w:rPr>
              <w:fldChar w:fldCharType="separate"/>
            </w:r>
            <w:r w:rsidR="002B3E92">
              <w:rPr>
                <w:rFonts w:ascii="Perpetua" w:hAnsi="Perpetua"/>
                <w:b w:val="0"/>
                <w:noProof/>
                <w:color w:val="auto"/>
                <w:sz w:val="20"/>
              </w:rPr>
              <w:t>35</w:t>
            </w:r>
            <w:r w:rsidR="00DF2DF8" w:rsidRPr="007A00C8">
              <w:rPr>
                <w:rFonts w:ascii="Perpetua" w:hAnsi="Perpetua"/>
                <w:b w:val="0"/>
                <w:color w:val="auto"/>
                <w:sz w:val="20"/>
              </w:rPr>
              <w:fldChar w:fldCharType="end"/>
            </w:r>
            <w:r w:rsidRPr="007A00C8">
              <w:rPr>
                <w:rFonts w:ascii="Perpetua" w:hAnsi="Perpetua"/>
                <w:b w:val="0"/>
                <w:color w:val="auto"/>
                <w:sz w:val="20"/>
              </w:rPr>
              <w:t>: Pre-bodywork BOA anti-Outspan poster, 1972.</w:t>
            </w:r>
            <w:bookmarkEnd w:id="456"/>
            <w:bookmarkEnd w:id="457"/>
          </w:p>
          <w:p w:rsidR="005B48FD" w:rsidRPr="00504CFD" w:rsidRDefault="007A00C8" w:rsidP="00504CFD">
            <w:pPr>
              <w:rPr>
                <w:rFonts w:ascii="Perpetua" w:hAnsi="Perpetua"/>
                <w:sz w:val="20"/>
              </w:rPr>
            </w:pPr>
            <w:r w:rsidRPr="00504CFD">
              <w:rPr>
                <w:rFonts w:ascii="Perpetua" w:hAnsi="Perpetua"/>
                <w:sz w:val="20"/>
              </w:rPr>
              <w:t>Translation:</w:t>
            </w:r>
            <w:r w:rsidR="005B48FD" w:rsidRPr="00504CFD">
              <w:rPr>
                <w:rFonts w:ascii="Perpetua" w:hAnsi="Perpetua"/>
                <w:sz w:val="20"/>
              </w:rPr>
              <w:t xml:space="preserve"> "Saving your pennies against apartheid". Note how without articulating the embodied process of squeezing the poster is devoid of power to shock. The orange doesn't emote until it is in touch with other objects or people. Boycot Outspa</w:t>
            </w:r>
            <w:r w:rsidR="00751122" w:rsidRPr="00504CFD">
              <w:rPr>
                <w:rFonts w:ascii="Perpetua" w:hAnsi="Perpetua"/>
                <w:sz w:val="20"/>
              </w:rPr>
              <w:t xml:space="preserve">n Aktie (Leiden, </w:t>
            </w:r>
            <w:r w:rsidR="005B48FD" w:rsidRPr="00504CFD">
              <w:rPr>
                <w:rFonts w:ascii="Perpetua" w:hAnsi="Perpetua"/>
                <w:sz w:val="20"/>
              </w:rPr>
              <w:t>1972). Boycot Outspan sinaasappels. Image courtesy of IISH</w:t>
            </w:r>
            <w:bookmarkEnd w:id="458"/>
            <w:bookmarkEnd w:id="459"/>
            <w:bookmarkEnd w:id="460"/>
          </w:p>
        </w:tc>
      </w:tr>
    </w:tbl>
    <w:p w:rsidR="004A7172" w:rsidRDefault="004A7172" w:rsidP="00BA0F0B">
      <w:pPr>
        <w:spacing w:line="360" w:lineRule="auto"/>
        <w:rPr>
          <w:rFonts w:ascii="Garamond" w:eastAsia="Times New Roman" w:hAnsi="Garamond"/>
          <w:sz w:val="24"/>
          <w:szCs w:val="24"/>
          <w:lang w:eastAsia="en-GB"/>
        </w:rPr>
      </w:pPr>
    </w:p>
    <w:p w:rsidR="00BA0F0B" w:rsidRPr="00907189" w:rsidRDefault="00BA0F0B" w:rsidP="00BA0F0B">
      <w:pPr>
        <w:spacing w:line="360" w:lineRule="auto"/>
        <w:rPr>
          <w:rFonts w:ascii="Garamond" w:eastAsia="Times New Roman" w:hAnsi="Garamond"/>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5B48FD">
        <w:tc>
          <w:tcPr>
            <w:tcW w:w="4258" w:type="dxa"/>
          </w:tcPr>
          <w:p w:rsidR="00504CFD" w:rsidRDefault="007A00C8" w:rsidP="007A00C8">
            <w:pPr>
              <w:pStyle w:val="Caption"/>
              <w:rPr>
                <w:rFonts w:ascii="Garamond" w:eastAsia="Times New Roman" w:hAnsi="Garamond"/>
                <w:lang w:eastAsia="en-GB"/>
              </w:rPr>
            </w:pPr>
            <w:bookmarkStart w:id="461" w:name="_Toc263509033"/>
            <w:bookmarkStart w:id="462" w:name="_Toc263510820"/>
            <w:bookmarkStart w:id="463" w:name="_Toc244508236"/>
            <w:bookmarkStart w:id="464" w:name="_Toc244577298"/>
            <w:bookmarkStart w:id="465" w:name="_Toc263495767"/>
            <w:r w:rsidRPr="007A00C8">
              <w:rPr>
                <w:rFonts w:ascii="Perpetua" w:hAnsi="Perpetua"/>
                <w:b w:val="0"/>
                <w:color w:val="auto"/>
                <w:sz w:val="20"/>
              </w:rPr>
              <w:t xml:space="preserve">Figure </w:t>
            </w:r>
            <w:r w:rsidR="00DF2DF8" w:rsidRPr="007A00C8">
              <w:rPr>
                <w:rFonts w:ascii="Perpetua" w:hAnsi="Perpetua"/>
                <w:b w:val="0"/>
                <w:color w:val="auto"/>
                <w:sz w:val="20"/>
              </w:rPr>
              <w:fldChar w:fldCharType="begin"/>
            </w:r>
            <w:r w:rsidRPr="007A00C8">
              <w:rPr>
                <w:rFonts w:ascii="Perpetua" w:hAnsi="Perpetua"/>
                <w:b w:val="0"/>
                <w:color w:val="auto"/>
                <w:sz w:val="20"/>
              </w:rPr>
              <w:instrText xml:space="preserve"> SEQ Figure \* ARABIC </w:instrText>
            </w:r>
            <w:r w:rsidR="00DF2DF8" w:rsidRPr="007A00C8">
              <w:rPr>
                <w:rFonts w:ascii="Perpetua" w:hAnsi="Perpetua"/>
                <w:b w:val="0"/>
                <w:color w:val="auto"/>
                <w:sz w:val="20"/>
              </w:rPr>
              <w:fldChar w:fldCharType="separate"/>
            </w:r>
            <w:r w:rsidR="002B3E92">
              <w:rPr>
                <w:rFonts w:ascii="Perpetua" w:hAnsi="Perpetua"/>
                <w:b w:val="0"/>
                <w:noProof/>
                <w:color w:val="auto"/>
                <w:sz w:val="20"/>
              </w:rPr>
              <w:t>36</w:t>
            </w:r>
            <w:r w:rsidR="00DF2DF8" w:rsidRPr="007A00C8">
              <w:rPr>
                <w:rFonts w:ascii="Perpetua" w:hAnsi="Perpetua"/>
                <w:b w:val="0"/>
                <w:color w:val="auto"/>
                <w:sz w:val="20"/>
              </w:rPr>
              <w:fldChar w:fldCharType="end"/>
            </w:r>
            <w:r w:rsidR="00751122">
              <w:rPr>
                <w:rFonts w:ascii="Perpetua" w:hAnsi="Perpetua"/>
                <w:b w:val="0"/>
                <w:color w:val="auto"/>
                <w:sz w:val="20"/>
              </w:rPr>
              <w:t>: BOA poster, 1975, adapted from the CAO.</w:t>
            </w:r>
            <w:bookmarkEnd w:id="461"/>
            <w:bookmarkEnd w:id="462"/>
            <w:r>
              <w:rPr>
                <w:rFonts w:ascii="Garamond" w:eastAsia="Times New Roman" w:hAnsi="Garamond"/>
                <w:lang w:eastAsia="en-GB"/>
              </w:rPr>
              <w:t xml:space="preserve"> </w:t>
            </w:r>
          </w:p>
          <w:p w:rsidR="005B48FD" w:rsidRPr="00504CFD" w:rsidRDefault="007A00C8" w:rsidP="00504CFD">
            <w:pPr>
              <w:rPr>
                <w:rFonts w:ascii="Perpetua" w:hAnsi="Perpetua"/>
                <w:sz w:val="20"/>
              </w:rPr>
            </w:pPr>
            <w:r w:rsidRPr="00504CFD">
              <w:rPr>
                <w:rFonts w:ascii="Perpetua" w:hAnsi="Perpetua"/>
                <w:sz w:val="20"/>
              </w:rPr>
              <w:t>Translation: “</w:t>
            </w:r>
            <w:r w:rsidR="005B48FD" w:rsidRPr="00504CFD">
              <w:rPr>
                <w:rFonts w:ascii="Perpetua" w:hAnsi="Perpetua"/>
                <w:sz w:val="20"/>
              </w:rPr>
              <w:t>No to Out</w:t>
            </w:r>
            <w:r w:rsidRPr="00504CFD">
              <w:rPr>
                <w:rFonts w:ascii="Perpetua" w:hAnsi="Perpetua"/>
                <w:sz w:val="20"/>
              </w:rPr>
              <w:t>span oranges from South Africa”.</w:t>
            </w:r>
            <w:r w:rsidR="005B48FD" w:rsidRPr="00504CFD">
              <w:rPr>
                <w:rFonts w:ascii="Perpetua" w:hAnsi="Perpetua"/>
                <w:sz w:val="20"/>
              </w:rPr>
              <w:t xml:space="preserve"> This poster focuses on solidarity with trapped black labour. Instead of presenting black suffering, the poster speaks of black power; the orange husk appears a fragile container for collective unrest. The implication was that by shunning Outspan, consumers could unleash the latent force of Amandla (power to the people).</w:t>
            </w:r>
            <w:bookmarkEnd w:id="463"/>
            <w:bookmarkEnd w:id="464"/>
            <w:bookmarkEnd w:id="465"/>
            <w:r w:rsidR="005B48FD" w:rsidRPr="00504CFD">
              <w:rPr>
                <w:rFonts w:ascii="Perpetua" w:hAnsi="Perpetua"/>
                <w:sz w:val="20"/>
              </w:rPr>
              <w:t xml:space="preserve"> </w:t>
            </w:r>
          </w:p>
          <w:p w:rsidR="005B48FD" w:rsidRDefault="005B48FD" w:rsidP="00BA0F0B">
            <w:pPr>
              <w:spacing w:line="360" w:lineRule="auto"/>
              <w:jc w:val="both"/>
              <w:rPr>
                <w:rFonts w:ascii="Garamond" w:eastAsia="Times New Roman" w:hAnsi="Garamond"/>
                <w:sz w:val="24"/>
                <w:szCs w:val="24"/>
                <w:lang w:eastAsia="en-GB"/>
              </w:rPr>
            </w:pPr>
          </w:p>
        </w:tc>
        <w:tc>
          <w:tcPr>
            <w:tcW w:w="4258" w:type="dxa"/>
          </w:tcPr>
          <w:p w:rsidR="005B48FD" w:rsidRPr="005B48FD" w:rsidRDefault="005B48FD" w:rsidP="007A00C8">
            <w:pPr>
              <w:keepNext/>
              <w:spacing w:line="360" w:lineRule="auto"/>
              <w:jc w:val="both"/>
              <w:rPr>
                <w:rFonts w:ascii="Garamond" w:eastAsia="Times New Roman" w:hAnsi="Garamond"/>
                <w:sz w:val="24"/>
                <w:szCs w:val="24"/>
                <w:lang w:eastAsia="en-GB"/>
              </w:rPr>
            </w:pPr>
            <w:r w:rsidRPr="005B48FD">
              <w:rPr>
                <w:rFonts w:ascii="Garamond" w:eastAsia="Times New Roman" w:hAnsi="Garamond"/>
                <w:noProof/>
                <w:sz w:val="24"/>
                <w:szCs w:val="24"/>
                <w:lang w:eastAsia="en-GB"/>
              </w:rPr>
              <w:drawing>
                <wp:inline distT="0" distB="0" distL="0" distR="0">
                  <wp:extent cx="2348974" cy="3238500"/>
                  <wp:effectExtent l="19050" t="0" r="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2356567" cy="3248968"/>
                          </a:xfrm>
                          <a:prstGeom prst="rect">
                            <a:avLst/>
                          </a:prstGeom>
                          <a:noFill/>
                          <a:ln w="9525">
                            <a:noFill/>
                            <a:miter lim="800000"/>
                            <a:headEnd/>
                            <a:tailEnd/>
                          </a:ln>
                        </pic:spPr>
                      </pic:pic>
                    </a:graphicData>
                  </a:graphic>
                </wp:inline>
              </w:drawing>
            </w:r>
          </w:p>
        </w:tc>
      </w:tr>
    </w:tbl>
    <w:p w:rsidR="00BA0F0B" w:rsidRPr="00907189" w:rsidRDefault="00BA0F0B" w:rsidP="00BA0F0B">
      <w:pPr>
        <w:spacing w:line="360" w:lineRule="auto"/>
        <w:jc w:val="center"/>
        <w:rPr>
          <w:rFonts w:ascii="Garamond" w:eastAsia="Times New Roman" w:hAnsi="Garamond"/>
          <w:sz w:val="24"/>
          <w:szCs w:val="24"/>
          <w:lang w:eastAsia="en-GB"/>
        </w:rPr>
      </w:pPr>
      <w:r w:rsidRPr="00907189">
        <w:rPr>
          <w:rFonts w:ascii="Garamond" w:hAnsi="Garamond"/>
          <w:i/>
          <w:noProof/>
          <w:lang w:eastAsia="en-GB"/>
        </w:rPr>
        <w:lastRenderedPageBreak/>
        <w:drawing>
          <wp:inline distT="0" distB="0" distL="0" distR="0">
            <wp:extent cx="2403517" cy="2535776"/>
            <wp:effectExtent l="76200" t="25400" r="111083" b="55024"/>
            <wp:docPr id="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srcRect/>
                    <a:stretch>
                      <a:fillRect/>
                    </a:stretch>
                  </pic:blipFill>
                  <pic:spPr bwMode="auto">
                    <a:xfrm>
                      <a:off x="0" y="0"/>
                      <a:ext cx="2403517" cy="2535776"/>
                    </a:xfrm>
                    <a:prstGeom prst="rect">
                      <a:avLst/>
                    </a:prstGeom>
                    <a:ln w="2222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sidRPr="00907189">
        <w:rPr>
          <w:rFonts w:ascii="Garamond" w:eastAsia="Times New Roman" w:hAnsi="Garamond"/>
          <w:noProof/>
          <w:sz w:val="24"/>
          <w:szCs w:val="24"/>
          <w:lang w:eastAsia="en-GB"/>
        </w:rPr>
        <w:drawing>
          <wp:inline distT="0" distB="0" distL="0" distR="0">
            <wp:extent cx="2396702" cy="2553809"/>
            <wp:effectExtent l="76200" t="25400" r="92498" b="62391"/>
            <wp:docPr id="78" name="Picture 1" descr="http://hughcrosfield.files.wordpress.com/2012/10/orange-bew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ughcrosfield.files.wordpress.com/2012/10/orange-beware.png"/>
                    <pic:cNvPicPr>
                      <a:picLocks noChangeAspect="1" noChangeArrowheads="1"/>
                    </pic:cNvPicPr>
                  </pic:nvPicPr>
                  <pic:blipFill>
                    <a:blip r:embed="rId62" cstate="print"/>
                    <a:srcRect/>
                    <a:stretch>
                      <a:fillRect/>
                    </a:stretch>
                  </pic:blipFill>
                  <pic:spPr bwMode="auto">
                    <a:xfrm>
                      <a:off x="0" y="0"/>
                      <a:ext cx="2407238" cy="2565036"/>
                    </a:xfrm>
                    <a:prstGeom prst="rect">
                      <a:avLst/>
                    </a:prstGeom>
                    <a:ln w="63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BA0F0B" w:rsidRPr="00907189" w:rsidRDefault="00BA0F0B" w:rsidP="00BA0F0B">
      <w:pPr>
        <w:autoSpaceDE w:val="0"/>
        <w:autoSpaceDN w:val="0"/>
        <w:adjustRightInd w:val="0"/>
        <w:spacing w:after="0" w:line="360" w:lineRule="auto"/>
        <w:jc w:val="both"/>
        <w:rPr>
          <w:rFonts w:ascii="Garamond" w:hAnsi="Garamond"/>
          <w:i/>
        </w:rPr>
      </w:pPr>
    </w:p>
    <w:p w:rsidR="00504CFD" w:rsidRDefault="007A00C8" w:rsidP="007A00C8">
      <w:pPr>
        <w:pStyle w:val="Caption"/>
      </w:pPr>
      <w:bookmarkStart w:id="466" w:name="_Toc263509034"/>
      <w:bookmarkStart w:id="467" w:name="_Toc263510821"/>
      <w:bookmarkStart w:id="468" w:name="_Toc263495768"/>
      <w:bookmarkStart w:id="469" w:name="_Toc244508237"/>
      <w:bookmarkStart w:id="470" w:name="_Toc244577299"/>
      <w:r w:rsidRPr="007A00C8">
        <w:rPr>
          <w:rFonts w:ascii="Perpetua" w:hAnsi="Perpetua"/>
          <w:b w:val="0"/>
          <w:color w:val="auto"/>
          <w:sz w:val="20"/>
        </w:rPr>
        <w:t xml:space="preserve">Figure </w:t>
      </w:r>
      <w:r w:rsidR="00DF2DF8" w:rsidRPr="007A00C8">
        <w:rPr>
          <w:rFonts w:ascii="Perpetua" w:hAnsi="Perpetua"/>
          <w:b w:val="0"/>
          <w:color w:val="auto"/>
          <w:sz w:val="20"/>
        </w:rPr>
        <w:fldChar w:fldCharType="begin"/>
      </w:r>
      <w:r w:rsidRPr="007A00C8">
        <w:rPr>
          <w:rFonts w:ascii="Perpetua" w:hAnsi="Perpetua"/>
          <w:b w:val="0"/>
          <w:color w:val="auto"/>
          <w:sz w:val="20"/>
        </w:rPr>
        <w:instrText xml:space="preserve"> SEQ Figure \* ARABIC </w:instrText>
      </w:r>
      <w:r w:rsidR="00DF2DF8" w:rsidRPr="007A00C8">
        <w:rPr>
          <w:rFonts w:ascii="Perpetua" w:hAnsi="Perpetua"/>
          <w:b w:val="0"/>
          <w:color w:val="auto"/>
          <w:sz w:val="20"/>
        </w:rPr>
        <w:fldChar w:fldCharType="separate"/>
      </w:r>
      <w:r w:rsidR="002B3E92">
        <w:rPr>
          <w:rFonts w:ascii="Perpetua" w:hAnsi="Perpetua"/>
          <w:b w:val="0"/>
          <w:noProof/>
          <w:color w:val="auto"/>
          <w:sz w:val="20"/>
        </w:rPr>
        <w:t>37</w:t>
      </w:r>
      <w:r w:rsidR="00DF2DF8" w:rsidRPr="007A00C8">
        <w:rPr>
          <w:rFonts w:ascii="Perpetua" w:hAnsi="Perpetua"/>
          <w:b w:val="0"/>
          <w:color w:val="auto"/>
          <w:sz w:val="20"/>
        </w:rPr>
        <w:fldChar w:fldCharType="end"/>
      </w:r>
      <w:r w:rsidRPr="007A00C8">
        <w:rPr>
          <w:rFonts w:ascii="Perpetua" w:hAnsi="Perpetua"/>
          <w:b w:val="0"/>
          <w:color w:val="auto"/>
          <w:sz w:val="20"/>
        </w:rPr>
        <w:t xml:space="preserve">: Left: Adhesive stickers, 'Warning! Product of Apartheid'. Right: photograph taken of image from </w:t>
      </w:r>
      <w:r w:rsidRPr="007A00C8">
        <w:rPr>
          <w:rFonts w:ascii="Perpetua" w:hAnsi="Perpetua"/>
          <w:b w:val="0"/>
          <w:i/>
          <w:color w:val="auto"/>
          <w:sz w:val="20"/>
        </w:rPr>
        <w:t>The New Internationalist</w:t>
      </w:r>
      <w:r w:rsidRPr="007A00C8">
        <w:rPr>
          <w:rFonts w:ascii="Perpetua" w:hAnsi="Perpetua"/>
          <w:b w:val="0"/>
          <w:color w:val="auto"/>
          <w:sz w:val="20"/>
        </w:rPr>
        <w:t>, 1976, of ‘contaminated’ orange with sticker.</w:t>
      </w:r>
      <w:bookmarkEnd w:id="466"/>
      <w:bookmarkEnd w:id="467"/>
      <w:r>
        <w:t xml:space="preserve"> </w:t>
      </w:r>
    </w:p>
    <w:p w:rsidR="00BA0F0B" w:rsidRPr="00504CFD" w:rsidRDefault="00BA0F0B" w:rsidP="00504CFD">
      <w:pPr>
        <w:rPr>
          <w:rFonts w:ascii="Perpetua" w:hAnsi="Perpetua"/>
          <w:sz w:val="20"/>
        </w:rPr>
      </w:pPr>
      <w:r w:rsidRPr="00504CFD">
        <w:rPr>
          <w:rFonts w:ascii="Perpetua" w:hAnsi="Perpetua"/>
          <w:sz w:val="20"/>
        </w:rPr>
        <w:t xml:space="preserve">Tens of thousands </w:t>
      </w:r>
      <w:r w:rsidR="007A00C8" w:rsidRPr="00504CFD">
        <w:rPr>
          <w:rFonts w:ascii="Perpetua" w:hAnsi="Perpetua"/>
          <w:sz w:val="20"/>
        </w:rPr>
        <w:t xml:space="preserve">of </w:t>
      </w:r>
      <w:r w:rsidR="00504CFD">
        <w:rPr>
          <w:rFonts w:ascii="Perpetua" w:hAnsi="Perpetua"/>
          <w:sz w:val="20"/>
        </w:rPr>
        <w:t>adhesive stickers</w:t>
      </w:r>
      <w:r w:rsidRPr="00504CFD">
        <w:rPr>
          <w:rFonts w:ascii="Perpetua" w:hAnsi="Perpetua"/>
          <w:sz w:val="20"/>
        </w:rPr>
        <w:t xml:space="preserve"> were distributed t</w:t>
      </w:r>
      <w:r w:rsidR="000B6D76" w:rsidRPr="00504CFD">
        <w:rPr>
          <w:rFonts w:ascii="Perpetua" w:hAnsi="Perpetua"/>
          <w:sz w:val="20"/>
        </w:rPr>
        <w:t>o the Dutch public through the Inspan Girls</w:t>
      </w:r>
      <w:r w:rsidRPr="00504CFD">
        <w:rPr>
          <w:rFonts w:ascii="Perpetua" w:hAnsi="Perpetua"/>
          <w:sz w:val="20"/>
        </w:rPr>
        <w:t xml:space="preserve"> and the 165 Dutch Third World Stores</w:t>
      </w:r>
      <w:bookmarkEnd w:id="468"/>
      <w:bookmarkEnd w:id="469"/>
      <w:bookmarkEnd w:id="470"/>
      <w:r w:rsidR="00504CFD" w:rsidRPr="00504CFD">
        <w:rPr>
          <w:rFonts w:ascii="Perpetua" w:hAnsi="Perpetua"/>
          <w:sz w:val="20"/>
        </w:rPr>
        <w:t>. Image Courtesy of the IISH.</w:t>
      </w:r>
    </w:p>
    <w:p w:rsidR="00BA0F0B" w:rsidRPr="00907189" w:rsidRDefault="00BA0F0B" w:rsidP="00BA0F0B">
      <w:pPr>
        <w:spacing w:line="360" w:lineRule="auto"/>
        <w:jc w:val="both"/>
        <w:rPr>
          <w:rFonts w:ascii="Garamond" w:eastAsia="Times New Roman" w:hAnsi="Garamond"/>
          <w:sz w:val="24"/>
          <w:szCs w:val="24"/>
          <w:lang w:eastAsia="en-GB"/>
        </w:rPr>
      </w:pPr>
    </w:p>
    <w:p w:rsidR="000325E3" w:rsidRPr="00E45DAD" w:rsidRDefault="00BA0F0B" w:rsidP="000325E3">
      <w:pPr>
        <w:spacing w:after="0" w:line="360" w:lineRule="auto"/>
        <w:jc w:val="both"/>
        <w:rPr>
          <w:rFonts w:ascii="Garamond" w:eastAsia="Times New Roman" w:hAnsi="Garamond"/>
          <w:sz w:val="24"/>
          <w:szCs w:val="24"/>
          <w:lang w:eastAsia="en-GB"/>
        </w:rPr>
      </w:pPr>
      <w:r w:rsidRPr="00E45DAD">
        <w:rPr>
          <w:rFonts w:ascii="Garamond" w:eastAsia="Times New Roman" w:hAnsi="Garamond"/>
          <w:sz w:val="24"/>
          <w:szCs w:val="24"/>
          <w:lang w:eastAsia="en-GB"/>
        </w:rPr>
        <w:t xml:space="preserve">In September 1972 the first edition of </w:t>
      </w:r>
      <w:r w:rsidRPr="00E45DAD">
        <w:rPr>
          <w:rFonts w:ascii="Garamond" w:eastAsia="Times New Roman" w:hAnsi="Garamond"/>
          <w:i/>
          <w:sz w:val="24"/>
          <w:szCs w:val="24"/>
          <w:lang w:eastAsia="en-GB"/>
        </w:rPr>
        <w:t xml:space="preserve">Outspan: Bouwstenen voor Apartheid </w:t>
      </w:r>
      <w:r w:rsidRPr="00E45DAD">
        <w:rPr>
          <w:rFonts w:ascii="Garamond" w:eastAsia="Times New Roman" w:hAnsi="Garamond"/>
          <w:sz w:val="24"/>
          <w:szCs w:val="24"/>
          <w:lang w:eastAsia="en-GB"/>
        </w:rPr>
        <w:t>was released. The text was the first of many BOA interventions in the Dutch moral economies of everyday consumption. The book’s black cover adorned with large orange text contained a declaration of complicity to the Dutch public:</w:t>
      </w:r>
    </w:p>
    <w:p w:rsidR="00BA0F0B" w:rsidRPr="00E45DAD" w:rsidRDefault="00BA0F0B" w:rsidP="000325E3">
      <w:pPr>
        <w:spacing w:after="0" w:line="360" w:lineRule="auto"/>
        <w:jc w:val="both"/>
        <w:rPr>
          <w:rFonts w:ascii="Garamond" w:eastAsia="Times New Roman" w:hAnsi="Garamond"/>
          <w:i/>
          <w:lang w:eastAsia="en-GB"/>
        </w:rPr>
      </w:pPr>
    </w:p>
    <w:p w:rsidR="000325E3" w:rsidRPr="00E45DAD" w:rsidRDefault="00BA0F0B" w:rsidP="000325E3">
      <w:pPr>
        <w:spacing w:after="0" w:line="360" w:lineRule="auto"/>
        <w:ind w:left="284" w:right="284"/>
        <w:jc w:val="both"/>
        <w:rPr>
          <w:rFonts w:ascii="Garamond" w:eastAsia="Times New Roman" w:hAnsi="Garamond"/>
          <w:lang w:eastAsia="en-GB"/>
        </w:rPr>
      </w:pPr>
      <w:r w:rsidRPr="00E45DAD">
        <w:rPr>
          <w:rFonts w:ascii="Garamond" w:eastAsia="Times New Roman" w:hAnsi="Garamond"/>
          <w:lang w:eastAsia="en-GB"/>
        </w:rPr>
        <w:t xml:space="preserve">The BOA demonstrates that even the picking and packing of oranges takes place in complete conformity with the totalitarian laws of apartheid… Under the slogan “Don’t squeeze a South African Dry” we want to ensure that nobody can say ‘we did not know’. Everywhere one can see elderly women, children and prisoners working to produce this ‘harvest of shame' (Translation from Dutch, </w:t>
      </w:r>
      <w:r w:rsidRPr="00E45DAD">
        <w:rPr>
          <w:rFonts w:ascii="Garamond" w:eastAsia="Times New Roman" w:hAnsi="Garamond"/>
          <w:i/>
          <w:lang w:eastAsia="en-GB"/>
        </w:rPr>
        <w:t xml:space="preserve">Outspan: Bouwstenen Voor Apartheid, </w:t>
      </w:r>
      <w:r w:rsidRPr="00E45DAD">
        <w:rPr>
          <w:rFonts w:ascii="Garamond" w:eastAsia="Times New Roman" w:hAnsi="Garamond"/>
          <w:lang w:eastAsia="en-GB"/>
        </w:rPr>
        <w:t>1972: 6).</w:t>
      </w:r>
      <w:r w:rsidRPr="00E45DAD">
        <w:rPr>
          <w:rStyle w:val="FootnoteReference"/>
          <w:rFonts w:ascii="Garamond" w:eastAsia="Times New Roman" w:hAnsi="Garamond"/>
          <w:lang w:eastAsia="en-GB"/>
        </w:rPr>
        <w:t xml:space="preserve"> </w:t>
      </w:r>
      <w:r w:rsidRPr="00E45DAD">
        <w:rPr>
          <w:rStyle w:val="FootnoteReference"/>
          <w:rFonts w:ascii="Garamond" w:eastAsia="Times New Roman" w:hAnsi="Garamond"/>
          <w:lang w:eastAsia="en-GB"/>
        </w:rPr>
        <w:footnoteReference w:id="91"/>
      </w:r>
    </w:p>
    <w:p w:rsidR="00BA0F0B" w:rsidRPr="00E45DAD" w:rsidRDefault="00BA0F0B" w:rsidP="000325E3">
      <w:pPr>
        <w:spacing w:after="0" w:line="360" w:lineRule="auto"/>
        <w:ind w:left="284" w:right="284"/>
        <w:jc w:val="both"/>
        <w:rPr>
          <w:rFonts w:ascii="Garamond" w:hAnsi="Garamond"/>
        </w:rPr>
      </w:pPr>
    </w:p>
    <w:p w:rsidR="000325E3" w:rsidRPr="00E45DAD" w:rsidRDefault="00BA0F0B" w:rsidP="000325E3">
      <w:pPr>
        <w:spacing w:after="0" w:line="360" w:lineRule="auto"/>
        <w:jc w:val="both"/>
        <w:rPr>
          <w:rFonts w:ascii="Garamond" w:eastAsia="Times New Roman" w:hAnsi="Garamond"/>
          <w:sz w:val="24"/>
          <w:szCs w:val="24"/>
          <w:lang w:eastAsia="en-GB"/>
        </w:rPr>
      </w:pPr>
      <w:r w:rsidRPr="00E45DAD">
        <w:rPr>
          <w:rFonts w:ascii="Garamond" w:hAnsi="Garamond"/>
          <w:sz w:val="24"/>
          <w:szCs w:val="24"/>
        </w:rPr>
        <w:t xml:space="preserve">To eat food with pleasure one must have an appetite (Lupton, 1997; Roe, 2006). Appetites can be a fickle and pernickety business, and are easily unmade. </w:t>
      </w:r>
      <w:r w:rsidRPr="00E45DAD">
        <w:rPr>
          <w:rFonts w:ascii="Garamond" w:eastAsia="Times New Roman" w:hAnsi="Garamond"/>
          <w:sz w:val="24"/>
          <w:szCs w:val="24"/>
          <w:lang w:eastAsia="en-GB"/>
        </w:rPr>
        <w:t xml:space="preserve">The orange export crop is described as a ‘harvest of shame’, oranges are ‘bricks for apartheid’ and the fruit is ‘soiled’, ‘infected’ and ‘leaves a bad taste in the mouth’. Moral positions on the </w:t>
      </w:r>
      <w:r w:rsidRPr="00E45DAD">
        <w:rPr>
          <w:rFonts w:ascii="Garamond" w:eastAsia="Times New Roman" w:hAnsi="Garamond"/>
          <w:sz w:val="24"/>
          <w:szCs w:val="24"/>
          <w:lang w:eastAsia="en-GB"/>
        </w:rPr>
        <w:lastRenderedPageBreak/>
        <w:t>conditions of orange production are clearly conflated with how the orange should taste (a process of connectivity important to the creation of Dutch citizen-consumers, see Mol, 2013).</w:t>
      </w:r>
      <w:r w:rsidRPr="00E45DAD">
        <w:rPr>
          <w:rStyle w:val="FootnoteReference"/>
          <w:rFonts w:ascii="Garamond" w:eastAsia="Times New Roman" w:hAnsi="Garamond"/>
          <w:sz w:val="24"/>
          <w:szCs w:val="24"/>
          <w:lang w:eastAsia="en-GB"/>
        </w:rPr>
        <w:t xml:space="preserve"> </w:t>
      </w:r>
      <w:r w:rsidRPr="00E45DAD">
        <w:rPr>
          <w:rStyle w:val="FootnoteReference"/>
          <w:rFonts w:ascii="Garamond" w:eastAsia="Times New Roman" w:hAnsi="Garamond"/>
          <w:sz w:val="24"/>
          <w:szCs w:val="24"/>
          <w:lang w:eastAsia="en-GB"/>
        </w:rPr>
        <w:footnoteReference w:id="92"/>
      </w:r>
      <w:r w:rsidRPr="00E45DAD">
        <w:rPr>
          <w:rFonts w:ascii="Garamond" w:eastAsia="Times New Roman" w:hAnsi="Garamond"/>
          <w:sz w:val="24"/>
          <w:szCs w:val="24"/>
          <w:lang w:eastAsia="en-GB"/>
        </w:rPr>
        <w:t xml:space="preserve"> Allusions to disease and contamination place the South African orange outside the realms of safe food; as such they can be interpreted as dirty matter, fruit out of place (Douglas, 1960; Sibley, 1995), liable to create fee</w:t>
      </w:r>
      <w:r w:rsidR="000325E3" w:rsidRPr="00E45DAD">
        <w:rPr>
          <w:rFonts w:ascii="Garamond" w:eastAsia="Times New Roman" w:hAnsi="Garamond"/>
          <w:sz w:val="24"/>
          <w:szCs w:val="24"/>
          <w:lang w:eastAsia="en-GB"/>
        </w:rPr>
        <w:t>lings of anxiety and abjection.</w:t>
      </w:r>
    </w:p>
    <w:p w:rsidR="00BA0F0B" w:rsidRPr="00E45DAD" w:rsidRDefault="00BA0F0B" w:rsidP="000325E3">
      <w:pPr>
        <w:spacing w:after="0" w:line="360" w:lineRule="auto"/>
        <w:jc w:val="both"/>
        <w:rPr>
          <w:rFonts w:ascii="Garamond" w:eastAsia="Times New Roman" w:hAnsi="Garamond"/>
          <w:sz w:val="24"/>
          <w:szCs w:val="24"/>
          <w:lang w:eastAsia="en-GB"/>
        </w:rPr>
      </w:pPr>
    </w:p>
    <w:p w:rsidR="000325E3" w:rsidRPr="00E45DAD" w:rsidRDefault="00BA0F0B" w:rsidP="000325E3">
      <w:pPr>
        <w:autoSpaceDE w:val="0"/>
        <w:autoSpaceDN w:val="0"/>
        <w:adjustRightInd w:val="0"/>
        <w:spacing w:after="0" w:line="360" w:lineRule="auto"/>
        <w:ind w:left="284" w:right="284"/>
        <w:jc w:val="both"/>
        <w:rPr>
          <w:rFonts w:ascii="Garamond" w:eastAsia="Times New Roman" w:hAnsi="Garamond"/>
          <w:lang w:eastAsia="en-GB"/>
        </w:rPr>
      </w:pPr>
      <w:r w:rsidRPr="00E45DAD">
        <w:rPr>
          <w:rFonts w:ascii="Garamond" w:eastAsia="Times New Roman" w:hAnsi="Garamond"/>
          <w:lang w:eastAsia="en-GB"/>
        </w:rPr>
        <w:t>If a potential food is culturally classified as inedible or polluting, disgust is aroused quite irrespective of the nutritional quality of the food because it is morally or conceptually impure. Contamination can be purely symbolic.</w:t>
      </w:r>
      <w:r w:rsidR="000325E3" w:rsidRPr="00E45DAD">
        <w:rPr>
          <w:rFonts w:ascii="Garamond" w:eastAsia="Times New Roman" w:hAnsi="Garamond"/>
          <w:lang w:eastAsia="en-GB"/>
        </w:rPr>
        <w:t xml:space="preserve"> (Lupton, 1997: 112)</w:t>
      </w:r>
    </w:p>
    <w:p w:rsidR="000325E3" w:rsidRPr="00E45DAD" w:rsidRDefault="000325E3" w:rsidP="000325E3">
      <w:pPr>
        <w:autoSpaceDE w:val="0"/>
        <w:autoSpaceDN w:val="0"/>
        <w:adjustRightInd w:val="0"/>
        <w:spacing w:after="0" w:line="360" w:lineRule="auto"/>
        <w:ind w:left="284" w:right="284"/>
        <w:jc w:val="both"/>
        <w:rPr>
          <w:rFonts w:ascii="Garamond" w:eastAsia="Times New Roman" w:hAnsi="Garamond"/>
          <w:lang w:eastAsia="en-GB"/>
        </w:rPr>
      </w:pPr>
    </w:p>
    <w:p w:rsidR="000325E3" w:rsidRPr="00E45DAD" w:rsidRDefault="00BA0F0B" w:rsidP="00BA0F0B">
      <w:pPr>
        <w:autoSpaceDE w:val="0"/>
        <w:autoSpaceDN w:val="0"/>
        <w:adjustRightInd w:val="0"/>
        <w:spacing w:after="0" w:line="360" w:lineRule="auto"/>
        <w:jc w:val="both"/>
        <w:rPr>
          <w:rFonts w:ascii="Garamond" w:hAnsi="Garamond"/>
          <w:sz w:val="24"/>
          <w:szCs w:val="24"/>
        </w:rPr>
      </w:pPr>
      <w:r w:rsidRPr="00E45DAD">
        <w:rPr>
          <w:rFonts w:ascii="Garamond" w:eastAsia="Times New Roman" w:hAnsi="Garamond"/>
          <w:sz w:val="24"/>
          <w:szCs w:val="24"/>
          <w:lang w:eastAsia="en-GB"/>
        </w:rPr>
        <w:t xml:space="preserve">Through the bodywork of the BOA, oranges bought this threat to selfhood into proximate places; kitchens, restaurants and parties. </w:t>
      </w:r>
      <w:r w:rsidRPr="00E45DAD">
        <w:rPr>
          <w:rFonts w:ascii="Garamond" w:hAnsi="Garamond"/>
          <w:sz w:val="24"/>
          <w:szCs w:val="24"/>
        </w:rPr>
        <w:t>On multiple scales, eating food is about self-preservation and necessity with hunger and thirst, and is indicative of a learned and conditioned psychological and somatic appetite (Lupton, 1997) subject to the aesthetics of taste and associations, and the anxieties and comforts of boundary formation and transgression (Kristeva, 1984). Appetites for South African oranges in local contexts were sharply contrasted by the BOA with the needs of hunger and thirst in areas of citrus production, and the relative water content of consumer/producer bodies was foregrounded. An appetite for South African oranges, the BOA implied, meant sucking or draining nutrients from brittle bodies.</w:t>
      </w:r>
    </w:p>
    <w:p w:rsidR="000325E3" w:rsidRPr="00E45DAD" w:rsidRDefault="000325E3" w:rsidP="00BA0F0B">
      <w:pPr>
        <w:autoSpaceDE w:val="0"/>
        <w:autoSpaceDN w:val="0"/>
        <w:adjustRightInd w:val="0"/>
        <w:spacing w:after="0" w:line="360" w:lineRule="auto"/>
        <w:jc w:val="both"/>
        <w:rPr>
          <w:rFonts w:ascii="Garamond" w:hAnsi="Garamond"/>
          <w:sz w:val="24"/>
          <w:szCs w:val="24"/>
        </w:rPr>
      </w:pPr>
    </w:p>
    <w:p w:rsidR="000325E3" w:rsidRPr="00E45DAD" w:rsidRDefault="00BA0F0B" w:rsidP="00BA0F0B">
      <w:pPr>
        <w:autoSpaceDE w:val="0"/>
        <w:autoSpaceDN w:val="0"/>
        <w:adjustRightInd w:val="0"/>
        <w:spacing w:after="0" w:line="360" w:lineRule="auto"/>
        <w:jc w:val="both"/>
        <w:rPr>
          <w:rFonts w:ascii="Garamond" w:eastAsia="Times New Roman" w:hAnsi="Garamond"/>
          <w:sz w:val="24"/>
          <w:szCs w:val="24"/>
          <w:lang w:eastAsia="en-GB"/>
        </w:rPr>
      </w:pPr>
      <w:r w:rsidRPr="00E45DAD">
        <w:rPr>
          <w:rFonts w:ascii="Garamond" w:hAnsi="Garamond"/>
          <w:sz w:val="24"/>
          <w:szCs w:val="24"/>
        </w:rPr>
        <w:t xml:space="preserve">Food is made from things through its production, embodied practice and consumption rituals (Roe, 2006). The BOA engaged in practices which reversed the socio-material processes which turn things into food. One action outside the third world shop in Veenedaal involved the throwing of Outspan oranges at a giant map of South Africa (du Plessis, 2009). The visual anthropophagy of the BOA imagery, and the emotive somatic markers which connected orange juice to blood, drought, famine and disease rendered Outspan oranges as socially derisive. The process of juicing an orange was culture jammed to the extent of public indecency. </w:t>
      </w:r>
      <w:r w:rsidRPr="00E45DAD">
        <w:rPr>
          <w:rFonts w:ascii="Garamond" w:eastAsia="Times New Roman" w:hAnsi="Garamond"/>
          <w:sz w:val="24"/>
          <w:szCs w:val="24"/>
          <w:lang w:eastAsia="en-GB"/>
        </w:rPr>
        <w:t xml:space="preserve">Through oranges the BOA ruptured the social boundaries of conventional white understandings of apartheid and selfhood (Douglas, 1960). Gut feelings are perhaps felt so keenly because the intestines are where we are most intimately exposed to the ‘other’ in its molecular formation; guts are literally the final frontier of selfhood where food is either absorbed or excreted. When apartheid </w:t>
      </w:r>
      <w:r w:rsidRPr="00E45DAD">
        <w:rPr>
          <w:rFonts w:ascii="Garamond" w:eastAsia="Times New Roman" w:hAnsi="Garamond"/>
          <w:sz w:val="24"/>
          <w:szCs w:val="24"/>
          <w:lang w:eastAsia="en-GB"/>
        </w:rPr>
        <w:lastRenderedPageBreak/>
        <w:t>could be ingested, what did that do for the official Dutch binary of anti-apartheid activism in Holland and racism in South Africa?</w:t>
      </w:r>
    </w:p>
    <w:p w:rsidR="000325E3" w:rsidRPr="00E45DAD" w:rsidRDefault="000325E3" w:rsidP="00BA0F0B">
      <w:pPr>
        <w:autoSpaceDE w:val="0"/>
        <w:autoSpaceDN w:val="0"/>
        <w:adjustRightInd w:val="0"/>
        <w:spacing w:after="0" w:line="360" w:lineRule="auto"/>
        <w:jc w:val="both"/>
        <w:rPr>
          <w:rFonts w:ascii="Garamond" w:eastAsia="Times New Roman" w:hAnsi="Garamond"/>
          <w:sz w:val="24"/>
          <w:szCs w:val="24"/>
          <w:lang w:eastAsia="en-GB"/>
        </w:rPr>
      </w:pPr>
    </w:p>
    <w:p w:rsidR="000325E3" w:rsidRPr="00E45DAD" w:rsidRDefault="00BA0F0B" w:rsidP="000325E3">
      <w:pPr>
        <w:autoSpaceDE w:val="0"/>
        <w:autoSpaceDN w:val="0"/>
        <w:adjustRightInd w:val="0"/>
        <w:spacing w:after="0" w:line="360" w:lineRule="auto"/>
        <w:jc w:val="both"/>
        <w:rPr>
          <w:rFonts w:ascii="Garamond" w:eastAsia="Times New Roman" w:hAnsi="Garamond"/>
          <w:sz w:val="24"/>
          <w:szCs w:val="24"/>
          <w:lang w:eastAsia="en-GB"/>
        </w:rPr>
      </w:pPr>
      <w:r w:rsidRPr="00E45DAD">
        <w:rPr>
          <w:rFonts w:ascii="Garamond" w:eastAsia="Times New Roman" w:hAnsi="Garamond"/>
          <w:sz w:val="24"/>
          <w:szCs w:val="24"/>
          <w:lang w:eastAsia="en-GB"/>
        </w:rPr>
        <w:t>The implications on racial identity formation of this de-fooding process is ambiguous; black anthropophagy and violence to black bodies in relation to orange consumption could be laden with the danger of a wholesale abjection of not only the commodity, but also the body to which the commodity is attached. Instead of provoking a relational discourse of identity formation, the fear for selfhood contained in abjection, and its propensity to be mapped onto bodies (Sibley, 1995) could have provoked the opposite effect on the European consumer, and caused a retreat to parochial interpretations of race. On the other hand, the BOA’s embracing of abjection and defiled bodies may have resulted in their demystification and familiarization amongst consumers (Longhurst, 1997). The abject lacks confrontation in public and academic discourse (ibid., 1997), and has potential t</w:t>
      </w:r>
      <w:r w:rsidR="000325E3" w:rsidRPr="00E45DAD">
        <w:rPr>
          <w:rFonts w:ascii="Garamond" w:eastAsia="Times New Roman" w:hAnsi="Garamond"/>
          <w:sz w:val="24"/>
          <w:szCs w:val="24"/>
          <w:lang w:eastAsia="en-GB"/>
        </w:rPr>
        <w:t>o disrupt official cultures.</w:t>
      </w:r>
    </w:p>
    <w:p w:rsidR="000325E3" w:rsidRPr="00E45DAD" w:rsidRDefault="000325E3" w:rsidP="000325E3">
      <w:pPr>
        <w:autoSpaceDE w:val="0"/>
        <w:autoSpaceDN w:val="0"/>
        <w:adjustRightInd w:val="0"/>
        <w:spacing w:after="0" w:line="360" w:lineRule="auto"/>
        <w:jc w:val="both"/>
        <w:rPr>
          <w:rFonts w:ascii="Garamond" w:eastAsia="Times New Roman" w:hAnsi="Garamond"/>
          <w:sz w:val="24"/>
          <w:szCs w:val="24"/>
          <w:lang w:eastAsia="en-GB"/>
        </w:rPr>
      </w:pPr>
    </w:p>
    <w:p w:rsidR="000325E3" w:rsidRPr="00E45DAD" w:rsidRDefault="00BA0F0B" w:rsidP="00DB6347">
      <w:pPr>
        <w:pStyle w:val="Heading2"/>
      </w:pPr>
      <w:bookmarkStart w:id="471" w:name="_Toc244469602"/>
      <w:bookmarkStart w:id="472" w:name="_Toc244508058"/>
      <w:bookmarkStart w:id="473" w:name="_Toc244535752"/>
      <w:bookmarkStart w:id="474" w:name="_Toc244578384"/>
      <w:bookmarkStart w:id="475" w:name="_Toc244578768"/>
      <w:bookmarkStart w:id="476" w:name="_Toc263452019"/>
      <w:bookmarkStart w:id="477" w:name="_Toc263510937"/>
      <w:r w:rsidRPr="00E45DAD">
        <w:t>Conclusions</w:t>
      </w:r>
      <w:bookmarkEnd w:id="471"/>
      <w:bookmarkEnd w:id="472"/>
      <w:bookmarkEnd w:id="473"/>
      <w:bookmarkEnd w:id="474"/>
      <w:bookmarkEnd w:id="475"/>
      <w:bookmarkEnd w:id="476"/>
      <w:bookmarkEnd w:id="477"/>
    </w:p>
    <w:p w:rsidR="000325E3" w:rsidRPr="00E45DAD" w:rsidRDefault="000325E3" w:rsidP="000325E3">
      <w:pPr>
        <w:spacing w:after="0" w:line="360" w:lineRule="auto"/>
        <w:rPr>
          <w:rFonts w:ascii="Garamond" w:hAnsi="Garamond"/>
          <w:sz w:val="24"/>
        </w:rPr>
      </w:pPr>
    </w:p>
    <w:p w:rsidR="000325E3" w:rsidRPr="0002426D" w:rsidRDefault="00BA0F0B" w:rsidP="0021647D">
      <w:pPr>
        <w:spacing w:after="0" w:line="360" w:lineRule="auto"/>
        <w:jc w:val="both"/>
        <w:rPr>
          <w:rFonts w:ascii="Garamond" w:hAnsi="Garamond"/>
          <w:b/>
          <w:i/>
        </w:rPr>
      </w:pPr>
      <w:r w:rsidRPr="0002426D">
        <w:rPr>
          <w:rFonts w:ascii="Garamond" w:hAnsi="Garamond"/>
          <w:b/>
          <w:i/>
        </w:rPr>
        <w:t>Concrete and fantastic combinations</w:t>
      </w:r>
    </w:p>
    <w:p w:rsidR="000325E3" w:rsidRPr="00E45DAD" w:rsidRDefault="000325E3" w:rsidP="0021647D">
      <w:pPr>
        <w:spacing w:after="0" w:line="360" w:lineRule="auto"/>
        <w:jc w:val="both"/>
        <w:rPr>
          <w:rFonts w:ascii="Garamond" w:hAnsi="Garamond"/>
          <w:sz w:val="24"/>
        </w:rPr>
      </w:pPr>
    </w:p>
    <w:p w:rsidR="000325E3" w:rsidRPr="00E45DAD" w:rsidRDefault="00BA0F0B" w:rsidP="0021647D">
      <w:pPr>
        <w:spacing w:after="0" w:line="360" w:lineRule="auto"/>
        <w:ind w:left="284" w:right="284"/>
        <w:jc w:val="both"/>
        <w:rPr>
          <w:rFonts w:ascii="Garamond" w:hAnsi="Garamond"/>
        </w:rPr>
      </w:pPr>
      <w:r w:rsidRPr="00E45DAD">
        <w:rPr>
          <w:rFonts w:ascii="Garamond" w:hAnsi="Garamond"/>
        </w:rPr>
        <w:t>Because in this street the juices slow to a standstill, the commodity proliferates along the margins and enters into fantastic combinations, like the tissue in tumo</w:t>
      </w:r>
      <w:r w:rsidR="000325E3" w:rsidRPr="00E45DAD">
        <w:rPr>
          <w:rFonts w:ascii="Garamond" w:hAnsi="Garamond"/>
        </w:rPr>
        <w:t>rs. (Benjamin, 1999 [1982]: 42)</w:t>
      </w:r>
    </w:p>
    <w:p w:rsidR="000325E3" w:rsidRPr="00E45DAD" w:rsidRDefault="000325E3"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rPr>
      </w:pPr>
      <w:r w:rsidRPr="00E45DAD">
        <w:rPr>
          <w:rFonts w:ascii="Garamond" w:hAnsi="Garamond"/>
          <w:sz w:val="24"/>
        </w:rPr>
        <w:t>Walter Benjamin's fragmented Arcades Project is, among many things, an ode to the transformations of commodities “once escaped from the hand of the producer” (references). Commodities in Benjamin's arcades are "actors on a phantom stage", replete wit</w:t>
      </w:r>
      <w:r w:rsidR="00751122">
        <w:rPr>
          <w:rFonts w:ascii="Garamond" w:hAnsi="Garamond"/>
          <w:sz w:val="24"/>
        </w:rPr>
        <w:t>h "autonomy and human features".</w:t>
      </w:r>
      <w:r w:rsidR="00751122" w:rsidRPr="00751122">
        <w:rPr>
          <w:rStyle w:val="FootnoteReference"/>
          <w:rFonts w:ascii="Garamond" w:hAnsi="Garamond"/>
          <w:sz w:val="24"/>
        </w:rPr>
        <w:footnoteReference w:id="93"/>
      </w:r>
      <w:r w:rsidR="00751122">
        <w:rPr>
          <w:rFonts w:ascii="Garamond" w:hAnsi="Garamond"/>
          <w:sz w:val="24"/>
        </w:rPr>
        <w:t xml:space="preserve"> </w:t>
      </w:r>
      <w:r w:rsidRPr="00E45DAD">
        <w:rPr>
          <w:rFonts w:ascii="Garamond" w:hAnsi="Garamond"/>
          <w:sz w:val="24"/>
        </w:rPr>
        <w:t>For Benjamin, following Marx, commodities have magical properties. Consumer boycott bodywork draws from these properties, and works in the cracks</w:t>
      </w:r>
      <w:r w:rsidRPr="00E45DAD">
        <w:rPr>
          <w:rFonts w:ascii="Garamond" w:hAnsi="Garamond"/>
          <w:noProof/>
          <w:sz w:val="24"/>
        </w:rPr>
        <w:t xml:space="preserve"> between the commodity fetish and its material manifestations (performing a type of 'Magical Marxism'- see Merrifield, 2011). This is what the BOA did so effectively with oranges. </w:t>
      </w:r>
      <w:r w:rsidRPr="00E45DAD">
        <w:rPr>
          <w:rFonts w:ascii="Garamond" w:hAnsi="Garamond"/>
          <w:sz w:val="24"/>
        </w:rPr>
        <w:t xml:space="preserve">The BOA recognized that the citrus boycott could not significantly impair the apartheid state economically. But the organization harnessed how the orange “could step forth as material immaterial thing” (Mehring, 1908 in Benjamin 1999: 197); how it could be “tangible and concrete” (du Plessis, 1972: 2) on the one </w:t>
      </w:r>
      <w:r w:rsidRPr="00E45DAD">
        <w:rPr>
          <w:rFonts w:ascii="Garamond" w:hAnsi="Garamond"/>
          <w:sz w:val="24"/>
        </w:rPr>
        <w:lastRenderedPageBreak/>
        <w:t>hand, and how it doesn't properly exist until it is in touch with other objects or people on the other. Mehring hits the nail on the head: in this chapter I have tried to show that it wasn't simply the orange-as-commodity that gave the BOA's campaigns potency, but equally it was the orange as a source of action, as what, Latour (2009) terms as an actant, that added "something new to the assemblage" (Bryant, 2013)</w:t>
      </w:r>
      <w:r w:rsidR="000325E3" w:rsidRPr="00E45DAD">
        <w:rPr>
          <w:rFonts w:ascii="Garamond" w:hAnsi="Garamond"/>
          <w:sz w:val="24"/>
        </w:rPr>
        <w:t>.</w:t>
      </w:r>
      <w:r w:rsidRPr="00E45DAD">
        <w:rPr>
          <w:rStyle w:val="FootnoteReference"/>
          <w:rFonts w:ascii="Garamond" w:hAnsi="Garamond"/>
          <w:sz w:val="24"/>
          <w:szCs w:val="24"/>
        </w:rPr>
        <w:footnoteReference w:id="94"/>
      </w:r>
    </w:p>
    <w:p w:rsidR="0021647D" w:rsidRPr="00E45DAD" w:rsidRDefault="0021647D"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rPr>
      </w:pPr>
      <w:r w:rsidRPr="00E45DAD">
        <w:rPr>
          <w:rFonts w:ascii="Garamond" w:hAnsi="Garamond"/>
          <w:sz w:val="24"/>
        </w:rPr>
        <w:t>The slogan 'Don't squeeze a South African dry' was the trigger for the idea of the drawing. We tried to take the phrase literally. I thought of the orange, and then...yuck (interview van der Aa, 2011)</w:t>
      </w:r>
      <w:r w:rsidR="000325E3" w:rsidRPr="00E45DAD">
        <w:rPr>
          <w:rFonts w:ascii="Garamond" w:hAnsi="Garamond"/>
          <w:sz w:val="24"/>
        </w:rPr>
        <w:t xml:space="preserve">. </w:t>
      </w:r>
      <w:r w:rsidRPr="00E45DAD">
        <w:rPr>
          <w:rFonts w:ascii="Garamond" w:hAnsi="Garamond"/>
          <w:sz w:val="24"/>
        </w:rPr>
        <w:t>The orange’s vital and fleshy properties added anthropophagy to the BOA's idea of 'squeezing the South African dry.' The orange as vibrant matter (Bennett, 2010), wed fantastically with the BOA's explicit aim to agitate anti-apartheid activism. The activist-orange relationship became a malignant growth in the global circuits of white apartheid capital. At times the BOA utilized the orange, and other times the orange, with its commodity relations and material properties, led the BOA down unexpected paths.</w:t>
      </w:r>
    </w:p>
    <w:p w:rsidR="0021647D" w:rsidRPr="00E45DAD" w:rsidRDefault="0021647D" w:rsidP="0021647D">
      <w:pPr>
        <w:spacing w:after="0" w:line="360" w:lineRule="auto"/>
        <w:jc w:val="both"/>
        <w:rPr>
          <w:rFonts w:ascii="Garamond" w:hAnsi="Garamond"/>
          <w:sz w:val="24"/>
        </w:rPr>
      </w:pPr>
    </w:p>
    <w:p w:rsidR="0021647D" w:rsidRPr="0002426D" w:rsidRDefault="00BA0F0B" w:rsidP="0021647D">
      <w:pPr>
        <w:spacing w:after="0" w:line="360" w:lineRule="auto"/>
        <w:jc w:val="both"/>
        <w:rPr>
          <w:rFonts w:ascii="Garamond" w:hAnsi="Garamond"/>
          <w:b/>
        </w:rPr>
      </w:pPr>
      <w:r w:rsidRPr="0002426D">
        <w:rPr>
          <w:rFonts w:ascii="Garamond" w:hAnsi="Garamond"/>
          <w:b/>
          <w:i/>
        </w:rPr>
        <w:t>Hijacking Outspan</w:t>
      </w:r>
    </w:p>
    <w:p w:rsidR="0021647D" w:rsidRPr="00E45DAD" w:rsidRDefault="0021647D"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rPr>
      </w:pPr>
      <w:r w:rsidRPr="00E45DAD">
        <w:rPr>
          <w:rFonts w:ascii="Garamond" w:hAnsi="Garamond"/>
          <w:sz w:val="24"/>
        </w:rPr>
        <w:t>The extensive media mobilization and boycotting practices involved in the citrus boycott became convergence sites for registering anti-apartheid disapproval and discontent across a range of scales.  BOA bodywork sutured the politics of apartheid and race to the embodied practices and routines of eating oranges. Parallel to the 165 participating Third World Stores across Holland, Outspan's circuits of distribution, marketing and consumption became the BOA’s most extensive network. With the BOA's actions and ideology dispersed through substantial regional, national and international media coverage, topological boundaries were made to seem almost irrelevant (Rosati, 2007). The labour abuses of apartheid followed citrus into ports and depots, supermarkets and restaurants, and onto juicers and plates. In short, the BOA’s exposure to the public became comprehensive through hijacking the scalar interactions of Outspan citrus distribution, display and consumption.  Stevedores, shop-keepers, 'third-world' activists, Catholic and Protestant ministers, journalists, lawyers, politicians, artists and trade-unionists were among the boycott's many champions.</w:t>
      </w:r>
    </w:p>
    <w:p w:rsidR="0021647D" w:rsidRPr="00E45DAD" w:rsidRDefault="0021647D" w:rsidP="0021647D">
      <w:pPr>
        <w:spacing w:after="0" w:line="360" w:lineRule="auto"/>
        <w:jc w:val="both"/>
        <w:rPr>
          <w:rFonts w:ascii="Garamond" w:hAnsi="Garamond"/>
          <w:sz w:val="24"/>
        </w:rPr>
      </w:pPr>
    </w:p>
    <w:p w:rsidR="0021647D" w:rsidRPr="0002426D" w:rsidRDefault="00BA0F0B" w:rsidP="0021647D">
      <w:pPr>
        <w:spacing w:after="0" w:line="360" w:lineRule="auto"/>
        <w:jc w:val="both"/>
        <w:rPr>
          <w:rFonts w:ascii="Garamond" w:hAnsi="Garamond"/>
          <w:b/>
          <w:sz w:val="24"/>
        </w:rPr>
      </w:pPr>
      <w:r w:rsidRPr="0002426D">
        <w:rPr>
          <w:rFonts w:ascii="Garamond" w:hAnsi="Garamond"/>
          <w:b/>
          <w:i/>
        </w:rPr>
        <w:lastRenderedPageBreak/>
        <w:t>Implications of bodywork</w:t>
      </w:r>
    </w:p>
    <w:p w:rsidR="0021647D" w:rsidRPr="00E45DAD" w:rsidRDefault="0021647D"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rPr>
      </w:pPr>
      <w:r w:rsidRPr="00E45DAD">
        <w:rPr>
          <w:rFonts w:ascii="Garamond" w:eastAsia="Times New Roman" w:hAnsi="Garamond"/>
          <w:sz w:val="24"/>
          <w:szCs w:val="24"/>
          <w:lang w:eastAsia="en-GB"/>
        </w:rPr>
        <w:t>Although the BOA’s imagery suggested simplistic solutions to undoing discriminatory binaries, the BOA</w:t>
      </w:r>
      <w:r w:rsidRPr="00E45DAD">
        <w:rPr>
          <w:rFonts w:ascii="Garamond" w:hAnsi="Garamond"/>
          <w:sz w:val="24"/>
          <w:szCs w:val="24"/>
        </w:rPr>
        <w:t xml:space="preserve"> articulated a moral ethics of anti-apartheid consumption that extended beyond personal and familial concerns for a healthy, vital and beautiful (white) body (Bell </w:t>
      </w:r>
      <w:r w:rsidR="00F152DB">
        <w:rPr>
          <w:rFonts w:ascii="Garamond" w:hAnsi="Garamond"/>
          <w:sz w:val="24"/>
          <w:szCs w:val="24"/>
        </w:rPr>
        <w:t>and</w:t>
      </w:r>
      <w:r w:rsidRPr="00E45DAD">
        <w:rPr>
          <w:rFonts w:ascii="Garamond" w:hAnsi="Garamond"/>
          <w:sz w:val="24"/>
          <w:szCs w:val="24"/>
        </w:rPr>
        <w:t xml:space="preserve"> Valentine, 1997; Lupton 1997; Probyn, 2000), and implicated consumers in a reflexive process of identity formation. </w:t>
      </w:r>
      <w:r w:rsidRPr="00E45DAD">
        <w:rPr>
          <w:rFonts w:ascii="Garamond" w:eastAsia="Times New Roman" w:hAnsi="Garamond"/>
          <w:sz w:val="24"/>
          <w:szCs w:val="24"/>
          <w:lang w:eastAsia="en-GB"/>
        </w:rPr>
        <w:t>BOA publications adroitly twisted the consumer body- Outspan relationship from an individualized politics of self-enhancement to an equally individualized bodily relationship with apartheid, and then anti-apartheid activism. Boycott action models focused on pressure directed at the top of the commodity chain in Holland (directed at supermarkets, stevedores and distributors), and at the ‘base’ where local groups against Outspan were formed in towns across the country (</w:t>
      </w:r>
      <w:r w:rsidRPr="00E45DAD">
        <w:rPr>
          <w:rFonts w:ascii="Garamond" w:eastAsia="Times New Roman" w:hAnsi="Garamond"/>
          <w:i/>
          <w:sz w:val="24"/>
          <w:szCs w:val="24"/>
          <w:lang w:eastAsia="en-GB"/>
        </w:rPr>
        <w:t>BOA Bulletin</w:t>
      </w:r>
      <w:r w:rsidRPr="00E45DAD">
        <w:rPr>
          <w:rFonts w:ascii="Garamond" w:eastAsia="Times New Roman" w:hAnsi="Garamond"/>
          <w:sz w:val="24"/>
          <w:szCs w:val="24"/>
          <w:lang w:eastAsia="en-GB"/>
        </w:rPr>
        <w:t>, 1974). Boycotting Outspan citrus, wearing BOA T-shirts and occasionally participating in BOA demonstrations and store pickets meant that the ‘lowest threshold’ could participate in an individualized lifestyle politics characteristic of late modernity (Giddens, 1991; Bauman, 2000; 2007; Thörne, 2009). Reacting to the challenges of European modernity and the more place specific demands of a Dutch society split into zuilen (Moberg, 1961), t</w:t>
      </w:r>
      <w:r w:rsidRPr="00E45DAD">
        <w:rPr>
          <w:rFonts w:ascii="Garamond" w:hAnsi="Garamond"/>
          <w:sz w:val="24"/>
          <w:szCs w:val="24"/>
        </w:rPr>
        <w:t xml:space="preserve">he BOA argued that purchasing, eating or drinking Outspan citrus had profound cultural implications for consumers (Slater, 2002). </w:t>
      </w:r>
      <w:r w:rsidRPr="00E45DAD">
        <w:rPr>
          <w:rFonts w:ascii="Garamond" w:eastAsia="Times New Roman" w:hAnsi="Garamond"/>
          <w:sz w:val="24"/>
          <w:szCs w:val="24"/>
          <w:lang w:eastAsia="en-GB"/>
        </w:rPr>
        <w:t xml:space="preserve"> </w:t>
      </w:r>
      <w:r w:rsidRPr="00E45DAD">
        <w:rPr>
          <w:rFonts w:ascii="Garamond" w:hAnsi="Garamond"/>
          <w:sz w:val="24"/>
          <w:szCs w:val="24"/>
        </w:rPr>
        <w:t>The BOA perceived the Dutch public to be willing and able to engage in identity politics and perceptual change once informed. To the organization, the anti-consumer of apartheid was certainly not the cultural dupe often imagined in other anti-consumption movements (Littler, 2005). Uni</w:t>
      </w:r>
      <w:r w:rsidR="002706A8">
        <w:rPr>
          <w:rFonts w:ascii="Garamond" w:hAnsi="Garamond"/>
          <w:sz w:val="24"/>
          <w:szCs w:val="24"/>
        </w:rPr>
        <w:t>quely among the other Dutch AAM</w:t>
      </w:r>
      <w:r w:rsidRPr="00E45DAD">
        <w:rPr>
          <w:rFonts w:ascii="Garamond" w:hAnsi="Garamond"/>
          <w:sz w:val="24"/>
          <w:szCs w:val="24"/>
        </w:rPr>
        <w:t>s, and unusually for a boycott movement concerned with apartheid, the BOA prioritized this proximate change (‘the home front’)</w:t>
      </w:r>
      <w:r w:rsidRPr="00E45DAD">
        <w:rPr>
          <w:rStyle w:val="FootnoteReference"/>
          <w:rFonts w:ascii="Garamond" w:hAnsi="Garamond"/>
          <w:sz w:val="24"/>
          <w:szCs w:val="24"/>
        </w:rPr>
        <w:footnoteReference w:id="95"/>
      </w:r>
      <w:r w:rsidRPr="00E45DAD">
        <w:rPr>
          <w:rFonts w:ascii="Garamond" w:hAnsi="Garamond"/>
          <w:sz w:val="24"/>
          <w:szCs w:val="24"/>
        </w:rPr>
        <w:t xml:space="preserve"> over influencing outcomes in South Africa.</w:t>
      </w:r>
    </w:p>
    <w:p w:rsidR="0021647D" w:rsidRPr="00E45DAD" w:rsidRDefault="0021647D" w:rsidP="0021647D">
      <w:pPr>
        <w:spacing w:after="0" w:line="360" w:lineRule="auto"/>
        <w:jc w:val="both"/>
        <w:rPr>
          <w:rFonts w:ascii="Garamond" w:hAnsi="Garamond"/>
          <w:sz w:val="24"/>
        </w:rPr>
      </w:pPr>
    </w:p>
    <w:p w:rsidR="0021647D" w:rsidRPr="0002426D" w:rsidRDefault="00BA0F0B" w:rsidP="0021647D">
      <w:pPr>
        <w:spacing w:after="0" w:line="360" w:lineRule="auto"/>
        <w:jc w:val="both"/>
        <w:rPr>
          <w:rFonts w:ascii="Garamond" w:hAnsi="Garamond"/>
          <w:b/>
        </w:rPr>
      </w:pPr>
      <w:r w:rsidRPr="0002426D">
        <w:rPr>
          <w:rFonts w:ascii="Garamond" w:hAnsi="Garamond"/>
          <w:b/>
          <w:i/>
          <w:szCs w:val="24"/>
        </w:rPr>
        <w:t>Creating reflexive whiteness</w:t>
      </w:r>
    </w:p>
    <w:p w:rsidR="0021647D" w:rsidRPr="00E45DAD" w:rsidRDefault="0021647D"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rPr>
      </w:pPr>
      <w:r w:rsidRPr="00E45DAD">
        <w:rPr>
          <w:rFonts w:ascii="Garamond" w:hAnsi="Garamond"/>
          <w:sz w:val="24"/>
          <w:szCs w:val="24"/>
        </w:rPr>
        <w:t xml:space="preserve">During the Outspan boycott the BOA intervened in the production of white identities by utilizing emotion and attempting to influence perception. In the dismembered body-commodity constellations in their imagery and slogans, the BOA induced a visceral abjection of oranges and their associated fooding processes. Depending on interpretive </w:t>
      </w:r>
      <w:r w:rsidRPr="00E45DAD">
        <w:rPr>
          <w:rFonts w:ascii="Garamond" w:hAnsi="Garamond"/>
          <w:sz w:val="24"/>
          <w:szCs w:val="24"/>
        </w:rPr>
        <w:lastRenderedPageBreak/>
        <w:t xml:space="preserve">and placed contexts, the guilt of association with white on black anthropophagy could provoke curiosity, collective responsibility and solidarity, or a retreat to entrenched attitudes of black abjection. To limit the latter and encourage identification and solidarity with the 'squeezed apartheid labourer', the organization encouraged consumers to "see themselves whitely" (Hooker, 2009: 6) by showing them how their privileged position as consumers of oranges contributed to structures of inequality and black oppression. The base emotions of disgust, shock and shame asked of consumers by the anthropophagic bodywork, were accompanied by educational media and a 'grassroots' campaign that sought to situate Dutch consumers in temporal and spatial relationships to colonialism, slavery, and black South Africa.  </w:t>
      </w:r>
    </w:p>
    <w:p w:rsidR="0021647D" w:rsidRPr="00E45DAD" w:rsidRDefault="0021647D" w:rsidP="0021647D">
      <w:pPr>
        <w:spacing w:after="0" w:line="360" w:lineRule="auto"/>
        <w:jc w:val="both"/>
        <w:rPr>
          <w:rFonts w:ascii="Garamond" w:hAnsi="Garamond"/>
          <w:sz w:val="24"/>
        </w:rPr>
      </w:pPr>
    </w:p>
    <w:p w:rsidR="0021647D" w:rsidRPr="00E45DAD" w:rsidRDefault="00BA0F0B" w:rsidP="0021647D">
      <w:pPr>
        <w:spacing w:after="0" w:line="360" w:lineRule="auto"/>
        <w:jc w:val="both"/>
        <w:rPr>
          <w:rFonts w:ascii="Garamond" w:hAnsi="Garamond"/>
          <w:sz w:val="24"/>
          <w:szCs w:val="24"/>
        </w:rPr>
      </w:pPr>
      <w:r w:rsidRPr="00E45DAD">
        <w:rPr>
          <w:rFonts w:ascii="Garamond" w:hAnsi="Garamond"/>
          <w:sz w:val="24"/>
          <w:szCs w:val="24"/>
        </w:rPr>
        <w:t>On the streets of Le</w:t>
      </w:r>
      <w:r w:rsidR="006B1236" w:rsidRPr="00E45DAD">
        <w:rPr>
          <w:rFonts w:ascii="Garamond" w:hAnsi="Garamond"/>
          <w:sz w:val="24"/>
          <w:szCs w:val="24"/>
        </w:rPr>
        <w:t>iden, Amsterdam, Rotterdam, Utre</w:t>
      </w:r>
      <w:r w:rsidRPr="00E45DAD">
        <w:rPr>
          <w:rFonts w:ascii="Garamond" w:hAnsi="Garamond"/>
          <w:sz w:val="24"/>
          <w:szCs w:val="24"/>
        </w:rPr>
        <w:t>cht and The Hague, the Inspan Girls attempted to create racially reflexive Dutch public. They traversed Cartesian boundaries of femininity as producers</w:t>
      </w:r>
      <w:r w:rsidR="00751122">
        <w:rPr>
          <w:rFonts w:ascii="Garamond" w:hAnsi="Garamond"/>
          <w:sz w:val="24"/>
          <w:szCs w:val="24"/>
        </w:rPr>
        <w:t xml:space="preserve"> of </w:t>
      </w:r>
      <w:r w:rsidRPr="00E45DAD">
        <w:rPr>
          <w:rFonts w:ascii="Garamond" w:hAnsi="Garamond"/>
          <w:sz w:val="24"/>
          <w:szCs w:val="24"/>
        </w:rPr>
        <w:t>anti-apartheid and antiracist knowledge, and made a conspicu</w:t>
      </w:r>
      <w:r w:rsidR="00751122">
        <w:rPr>
          <w:rFonts w:ascii="Garamond" w:hAnsi="Garamond"/>
          <w:sz w:val="24"/>
          <w:szCs w:val="24"/>
        </w:rPr>
        <w:t>ous attempt through dress not to</w:t>
      </w:r>
      <w:r w:rsidRPr="00E45DAD">
        <w:rPr>
          <w:rFonts w:ascii="Garamond" w:hAnsi="Garamond"/>
          <w:sz w:val="24"/>
          <w:szCs w:val="24"/>
        </w:rPr>
        <w:t xml:space="preserve"> appear as bodies of masculine desire. Their 'multi-ethnic' ontology embodied the BOA's default use of the ANC's doctrine of non-racial internationalism. Through their name, the Inspan Girls implied a broadening of the boycott of apartheid citrus to an anti-colonial appropriation of inspanning</w:t>
      </w:r>
      <w:r w:rsidR="0021647D" w:rsidRPr="00E45DAD">
        <w:rPr>
          <w:rFonts w:ascii="Garamond" w:hAnsi="Garamond"/>
          <w:sz w:val="24"/>
          <w:szCs w:val="24"/>
        </w:rPr>
        <w:t>; of 'yoking-in' white capital.</w:t>
      </w:r>
    </w:p>
    <w:p w:rsidR="0021647D" w:rsidRPr="00E45DAD" w:rsidRDefault="0021647D" w:rsidP="0021647D">
      <w:pPr>
        <w:spacing w:after="0" w:line="360" w:lineRule="auto"/>
        <w:jc w:val="both"/>
        <w:rPr>
          <w:rFonts w:ascii="Garamond" w:hAnsi="Garamond"/>
          <w:sz w:val="24"/>
          <w:szCs w:val="24"/>
        </w:rPr>
      </w:pPr>
    </w:p>
    <w:p w:rsidR="0021647D" w:rsidRPr="00E45DAD" w:rsidRDefault="00BA0F0B" w:rsidP="0021647D">
      <w:pPr>
        <w:spacing w:after="0" w:line="360" w:lineRule="auto"/>
        <w:jc w:val="both"/>
        <w:rPr>
          <w:rFonts w:ascii="Garamond" w:hAnsi="Garamond"/>
          <w:sz w:val="24"/>
          <w:szCs w:val="24"/>
        </w:rPr>
      </w:pPr>
      <w:r w:rsidRPr="00E45DAD">
        <w:rPr>
          <w:rFonts w:ascii="Garamond" w:hAnsi="Garamond"/>
          <w:sz w:val="24"/>
          <w:szCs w:val="24"/>
        </w:rPr>
        <w:t>The BOA contested the ‘whiteness’ of the 'official' anti-apartheid movement through their politics of European complicity, and by prioritizing proximate over distanciated action (in distinction to the AABN, and later the KZA). Activist transvergence spaces were opened between anti-colonialist, anti-apartheid, antirac</w:t>
      </w:r>
      <w:r w:rsidR="00863240">
        <w:rPr>
          <w:rFonts w:ascii="Garamond" w:hAnsi="Garamond"/>
          <w:sz w:val="24"/>
          <w:szCs w:val="24"/>
        </w:rPr>
        <w:t>ist and feminist activists. In C</w:t>
      </w:r>
      <w:r w:rsidRPr="00E45DAD">
        <w:rPr>
          <w:rFonts w:ascii="Garamond" w:hAnsi="Garamond"/>
          <w:sz w:val="24"/>
          <w:szCs w:val="24"/>
        </w:rPr>
        <w:t>hapt</w:t>
      </w:r>
      <w:r w:rsidR="00863240">
        <w:rPr>
          <w:rFonts w:ascii="Garamond" w:hAnsi="Garamond"/>
          <w:sz w:val="24"/>
          <w:szCs w:val="24"/>
        </w:rPr>
        <w:t>er S</w:t>
      </w:r>
      <w:r w:rsidRPr="00E45DAD">
        <w:rPr>
          <w:rFonts w:ascii="Garamond" w:hAnsi="Garamond"/>
          <w:sz w:val="24"/>
          <w:szCs w:val="24"/>
        </w:rPr>
        <w:t>even I propose that the 'official' anti-apartheid culture was based on ideas on national homogeneity, and a specific map of grievance for apartheid rooted in the second world war. The BOA believed that the racisms of apartheid, and the racializations of white anti-apartheid movement itself, were constructed through a bounded understanding of places. A lack of spatial relationality and placed encounters with non- Europeans in hospitable contexts was perched at the door of racially un-ref</w:t>
      </w:r>
      <w:r w:rsidR="0021647D" w:rsidRPr="00E45DAD">
        <w:rPr>
          <w:rFonts w:ascii="Garamond" w:hAnsi="Garamond"/>
          <w:sz w:val="24"/>
          <w:szCs w:val="24"/>
        </w:rPr>
        <w:t>lexive anti-apartheid.</w:t>
      </w:r>
    </w:p>
    <w:p w:rsidR="0021647D" w:rsidRPr="00E45DAD" w:rsidRDefault="0021647D" w:rsidP="0021647D">
      <w:pPr>
        <w:spacing w:after="0" w:line="360" w:lineRule="auto"/>
        <w:jc w:val="both"/>
        <w:rPr>
          <w:rFonts w:ascii="Garamond" w:hAnsi="Garamond"/>
          <w:sz w:val="24"/>
          <w:szCs w:val="24"/>
        </w:rPr>
      </w:pPr>
    </w:p>
    <w:p w:rsidR="0021647D" w:rsidRPr="00E45DAD" w:rsidRDefault="00BA0F0B" w:rsidP="0021647D">
      <w:pPr>
        <w:spacing w:after="0" w:line="360" w:lineRule="auto"/>
        <w:jc w:val="both"/>
        <w:rPr>
          <w:rFonts w:ascii="Garamond" w:hAnsi="Garamond"/>
          <w:sz w:val="24"/>
          <w:szCs w:val="24"/>
        </w:rPr>
      </w:pPr>
      <w:r w:rsidRPr="00E45DAD">
        <w:rPr>
          <w:rFonts w:ascii="Garamond" w:hAnsi="Garamond"/>
          <w:sz w:val="24"/>
          <w:szCs w:val="24"/>
        </w:rPr>
        <w:t xml:space="preserve">Studies in the geographies of food, diet studies, and the moral economy of food, have indicated that the preparation, eating, digestion and excretion of food constitute and demarcate the intimate relationships people can have with themselves and others, close </w:t>
      </w:r>
      <w:r w:rsidRPr="00E45DAD">
        <w:rPr>
          <w:rFonts w:ascii="Garamond" w:hAnsi="Garamond"/>
          <w:sz w:val="24"/>
          <w:szCs w:val="24"/>
        </w:rPr>
        <w:lastRenderedPageBreak/>
        <w:t>by or fa</w:t>
      </w:r>
      <w:r w:rsidR="000B6D76">
        <w:rPr>
          <w:rFonts w:ascii="Garamond" w:hAnsi="Garamond"/>
          <w:sz w:val="24"/>
          <w:szCs w:val="24"/>
        </w:rPr>
        <w:t>r away. In the creation of the Inspan Girls</w:t>
      </w:r>
      <w:r w:rsidRPr="00E45DAD">
        <w:rPr>
          <w:rFonts w:ascii="Garamond" w:hAnsi="Garamond"/>
          <w:sz w:val="24"/>
          <w:szCs w:val="24"/>
        </w:rPr>
        <w:t>, and the violent articulation of the blood-orange/fructose/vitamin C topos which inverted demand into production, the BOA demonstrated that local appetites for Outspan oranges reproduced Cartesian types of bodies subjected to gendered, en</w:t>
      </w:r>
      <w:r w:rsidR="0021647D" w:rsidRPr="00E45DAD">
        <w:rPr>
          <w:rFonts w:ascii="Garamond" w:hAnsi="Garamond"/>
          <w:sz w:val="24"/>
          <w:szCs w:val="24"/>
        </w:rPr>
        <w:t>vironmental and racial violence.</w:t>
      </w:r>
    </w:p>
    <w:p w:rsidR="0021647D" w:rsidRPr="00E45DAD" w:rsidRDefault="0021647D" w:rsidP="0021647D">
      <w:pPr>
        <w:spacing w:after="0" w:line="360" w:lineRule="auto"/>
        <w:jc w:val="both"/>
        <w:rPr>
          <w:rFonts w:ascii="Garamond" w:hAnsi="Garamond"/>
          <w:sz w:val="24"/>
          <w:szCs w:val="24"/>
        </w:rPr>
      </w:pPr>
    </w:p>
    <w:p w:rsidR="0021647D" w:rsidRPr="00E45DAD" w:rsidRDefault="00BA0F0B" w:rsidP="0021647D">
      <w:pPr>
        <w:spacing w:after="0" w:line="360" w:lineRule="auto"/>
        <w:jc w:val="both"/>
        <w:rPr>
          <w:rFonts w:ascii="Garamond" w:hAnsi="Garamond"/>
          <w:sz w:val="24"/>
          <w:szCs w:val="24"/>
        </w:rPr>
      </w:pPr>
      <w:r w:rsidRPr="00E45DAD">
        <w:rPr>
          <w:rFonts w:ascii="Garamond" w:hAnsi="Garamond"/>
          <w:sz w:val="24"/>
          <w:szCs w:val="24"/>
        </w:rPr>
        <w:t>There is a contemporaneity and urgency to the BOA’s intervention on the consumption of race and place in The Netherlands, and this is not simply a reflection on the accumulating age of their remaining contingent. The ‘grammar of interaction’ (Gitlin, 1980) between biographers of Dutch anti-apartheid, the post-apartheid government, the media, and the public, is infused with a culture of national celebration. Anti- apartheid action gave Holland the opportunity to correct some of its less palatable histories of compliance with German fascism (Grundy, 1974) and its “de-colonization experiment” (interview du Plessis, 2011) in Indonesia. Current historiography of Dutch anti-apartheid appears characterized by a militant particularism (Harvey, 2001), where place-based (and perhaps race-based) solidarities are sedimented between actors who agree on extolling safe accounts of the Dutch role in anti-apartheid.</w:t>
      </w:r>
    </w:p>
    <w:p w:rsidR="0021647D" w:rsidRPr="00E45DAD" w:rsidRDefault="0021647D" w:rsidP="0021647D">
      <w:pPr>
        <w:spacing w:after="0" w:line="360" w:lineRule="auto"/>
        <w:jc w:val="both"/>
        <w:rPr>
          <w:rFonts w:ascii="Garamond" w:hAnsi="Garamond"/>
          <w:sz w:val="24"/>
          <w:szCs w:val="24"/>
        </w:rPr>
      </w:pPr>
    </w:p>
    <w:p w:rsidR="0021647D" w:rsidRPr="0002426D" w:rsidRDefault="00BA0F0B" w:rsidP="0021647D">
      <w:pPr>
        <w:spacing w:after="0" w:line="360" w:lineRule="auto"/>
        <w:jc w:val="both"/>
        <w:rPr>
          <w:rFonts w:ascii="Garamond" w:hAnsi="Garamond"/>
          <w:b/>
          <w:i/>
        </w:rPr>
      </w:pPr>
      <w:r w:rsidRPr="0002426D">
        <w:rPr>
          <w:rFonts w:ascii="Garamond" w:hAnsi="Garamond"/>
          <w:b/>
          <w:i/>
        </w:rPr>
        <w:t>Reacting to the citrus boycott</w:t>
      </w:r>
    </w:p>
    <w:p w:rsidR="0021647D" w:rsidRPr="00E45DAD" w:rsidRDefault="0021647D" w:rsidP="0021647D">
      <w:pPr>
        <w:spacing w:after="0" w:line="360" w:lineRule="auto"/>
        <w:jc w:val="both"/>
        <w:rPr>
          <w:rFonts w:ascii="Garamond" w:hAnsi="Garamond"/>
          <w:i/>
        </w:rPr>
      </w:pPr>
    </w:p>
    <w:p w:rsidR="00BA0F0B" w:rsidRPr="00353742" w:rsidRDefault="00BA0F0B" w:rsidP="0021647D">
      <w:pPr>
        <w:spacing w:after="0" w:line="360" w:lineRule="auto"/>
        <w:jc w:val="both"/>
        <w:rPr>
          <w:rFonts w:ascii="Garamond" w:hAnsi="Garamond"/>
          <w:sz w:val="24"/>
        </w:rPr>
      </w:pPr>
      <w:r w:rsidRPr="00353742">
        <w:rPr>
          <w:rFonts w:ascii="Garamond" w:hAnsi="Garamond"/>
          <w:sz w:val="24"/>
        </w:rPr>
        <w:t>The BOA citrus boycott had a significant impact on the relationship between pro and anti-apartheid actors. It generated press coverage, and widened anti-apartheid into new places during a time on the early 1970s when the media across Europe largely turned a blind eye to events in So</w:t>
      </w:r>
      <w:r w:rsidR="0021647D" w:rsidRPr="00353742">
        <w:rPr>
          <w:rFonts w:ascii="Garamond" w:hAnsi="Garamond"/>
          <w:sz w:val="24"/>
        </w:rPr>
        <w:t xml:space="preserve">uth Africa (Sanders, 2000). It </w:t>
      </w:r>
      <w:r w:rsidRPr="00353742">
        <w:rPr>
          <w:rFonts w:ascii="Garamond" w:hAnsi="Garamond"/>
          <w:sz w:val="24"/>
        </w:rPr>
        <w:t xml:space="preserve">caused ripples in the diplomatic relationship between Holland and South Africa (Bosgra, 2009), and damaged the apartheid state through negative publicity. The image of South Africa in Europe clearly mattered to apartheid politicians and capitalists alike. In </w:t>
      </w:r>
      <w:r w:rsidRPr="00353742">
        <w:rPr>
          <w:rFonts w:ascii="Garamond" w:hAnsi="Garamond"/>
          <w:i/>
          <w:sz w:val="24"/>
        </w:rPr>
        <w:t xml:space="preserve">Sanctioning Apartheid, </w:t>
      </w:r>
      <w:r w:rsidRPr="00353742">
        <w:rPr>
          <w:rFonts w:ascii="Garamond" w:hAnsi="Garamond"/>
          <w:sz w:val="24"/>
        </w:rPr>
        <w:t xml:space="preserve">Mzamane (1990: 389) writes, "within the white community there is a desperate need for international recognition". The need for trade </w:t>
      </w:r>
      <w:r w:rsidRPr="00353742">
        <w:rPr>
          <w:rFonts w:ascii="Garamond" w:hAnsi="Garamond"/>
          <w:i/>
          <w:sz w:val="24"/>
        </w:rPr>
        <w:t xml:space="preserve">and </w:t>
      </w:r>
      <w:r w:rsidRPr="00353742">
        <w:rPr>
          <w:rFonts w:ascii="Garamond" w:hAnsi="Garamond"/>
          <w:sz w:val="24"/>
        </w:rPr>
        <w:t>approval, or at least political apathy, from outside South Africa was crucial to apartheid's continued success. Fully aware of this, the National Party secretly financed several covert projects carried out by the Ministry of Information based in Holland. Headed by Eschel Rhoodie (the press officer for the South African embassy to The Hague, and key figure in establishing Israeli-South Africa military relations), the organization was instructed to wage a propaganda war with anti-apartheid movements and unsympathetic sections of European media (see chapter six). South African History Online write:</w:t>
      </w:r>
    </w:p>
    <w:p w:rsidR="00BA0F0B" w:rsidRPr="00E45DAD" w:rsidRDefault="00BA0F0B" w:rsidP="00BA0F0B">
      <w:pPr>
        <w:pStyle w:val="NormalWeb"/>
        <w:shd w:val="clear" w:color="auto" w:fill="FFFFFF"/>
        <w:spacing w:before="0" w:beforeAutospacing="0" w:after="0" w:afterAutospacing="0" w:line="360" w:lineRule="auto"/>
        <w:jc w:val="both"/>
        <w:textAlignment w:val="baseline"/>
        <w:rPr>
          <w:rFonts w:ascii="Garamond" w:hAnsi="Garamond"/>
        </w:rPr>
      </w:pPr>
    </w:p>
    <w:p w:rsidR="00BA0F0B" w:rsidRPr="00E45DAD" w:rsidRDefault="00BA0F0B" w:rsidP="00BA0F0B">
      <w:pPr>
        <w:pStyle w:val="NormalWeb"/>
        <w:shd w:val="clear" w:color="auto" w:fill="FFFFFF"/>
        <w:spacing w:before="0" w:beforeAutospacing="0" w:after="0" w:afterAutospacing="0" w:line="360" w:lineRule="auto"/>
        <w:ind w:left="284" w:right="284"/>
        <w:jc w:val="both"/>
        <w:textAlignment w:val="baseline"/>
        <w:rPr>
          <w:rFonts w:ascii="Garamond" w:hAnsi="Garamond"/>
          <w:sz w:val="22"/>
          <w:szCs w:val="22"/>
        </w:rPr>
      </w:pPr>
      <w:r w:rsidRPr="00E45DAD">
        <w:rPr>
          <w:rFonts w:ascii="Garamond" w:hAnsi="Garamond"/>
          <w:sz w:val="22"/>
          <w:szCs w:val="22"/>
        </w:rPr>
        <w:t xml:space="preserve">The department of information, which Rhoodie headed, launched </w:t>
      </w:r>
      <w:r w:rsidRPr="00E45DAD">
        <w:rPr>
          <w:rFonts w:ascii="Garamond" w:hAnsi="Garamond"/>
          <w:i/>
          <w:sz w:val="22"/>
          <w:szCs w:val="22"/>
        </w:rPr>
        <w:t>The Citizen</w:t>
      </w:r>
      <w:r w:rsidRPr="00E45DAD">
        <w:rPr>
          <w:rFonts w:ascii="Garamond" w:hAnsi="Garamond"/>
          <w:sz w:val="22"/>
          <w:szCs w:val="22"/>
        </w:rPr>
        <w:t xml:space="preserve">, a daily newspaper, and other publications and front organizations like </w:t>
      </w:r>
      <w:r w:rsidRPr="00E45DAD">
        <w:rPr>
          <w:rFonts w:ascii="Garamond" w:hAnsi="Garamond"/>
          <w:i/>
          <w:sz w:val="22"/>
          <w:szCs w:val="22"/>
        </w:rPr>
        <w:t xml:space="preserve">The study of Plural Societies, </w:t>
      </w:r>
      <w:r w:rsidRPr="00E45DAD">
        <w:rPr>
          <w:rFonts w:ascii="Garamond" w:hAnsi="Garamond"/>
          <w:sz w:val="22"/>
          <w:szCs w:val="22"/>
        </w:rPr>
        <w:t xml:space="preserve">the </w:t>
      </w:r>
      <w:r w:rsidRPr="00E45DAD">
        <w:rPr>
          <w:rFonts w:ascii="Garamond" w:hAnsi="Garamond"/>
          <w:i/>
          <w:sz w:val="22"/>
          <w:szCs w:val="22"/>
        </w:rPr>
        <w:t>SA Freedom Foundation</w:t>
      </w:r>
      <w:r w:rsidRPr="00E45DAD">
        <w:rPr>
          <w:rFonts w:ascii="Garamond" w:hAnsi="Garamond"/>
          <w:sz w:val="22"/>
          <w:szCs w:val="22"/>
        </w:rPr>
        <w:t xml:space="preserve"> and </w:t>
      </w:r>
      <w:r w:rsidRPr="00E45DAD">
        <w:rPr>
          <w:rFonts w:ascii="Garamond" w:hAnsi="Garamond"/>
          <w:i/>
          <w:sz w:val="22"/>
          <w:szCs w:val="22"/>
        </w:rPr>
        <w:t>the Foreign Affairs Association.</w:t>
      </w:r>
      <w:r w:rsidRPr="00E45DAD">
        <w:rPr>
          <w:rFonts w:ascii="Garamond" w:hAnsi="Garamond"/>
          <w:sz w:val="22"/>
          <w:szCs w:val="22"/>
        </w:rPr>
        <w:t xml:space="preserve"> During this time the Bureau of State Security (BOSS) created the </w:t>
      </w:r>
      <w:r w:rsidRPr="00E45DAD">
        <w:rPr>
          <w:rFonts w:ascii="Garamond" w:hAnsi="Garamond"/>
          <w:i/>
          <w:sz w:val="22"/>
          <w:szCs w:val="22"/>
        </w:rPr>
        <w:t xml:space="preserve">Committee for Fairness in Sport </w:t>
      </w:r>
      <w:r w:rsidRPr="00E45DAD">
        <w:rPr>
          <w:rFonts w:ascii="Garamond" w:hAnsi="Garamond"/>
          <w:sz w:val="22"/>
          <w:szCs w:val="22"/>
        </w:rPr>
        <w:t>to counter South Africa's exclusion from international sport.</w:t>
      </w:r>
      <w:r w:rsidRPr="00E45DAD">
        <w:rPr>
          <w:rStyle w:val="FootnoteReference"/>
          <w:rFonts w:ascii="Garamond" w:hAnsi="Garamond"/>
        </w:rPr>
        <w:footnoteReference w:id="96"/>
      </w:r>
    </w:p>
    <w:p w:rsidR="00BA0F0B" w:rsidRPr="00E45DAD" w:rsidRDefault="00BA0F0B" w:rsidP="00BA0F0B">
      <w:pPr>
        <w:pStyle w:val="NormalWeb"/>
        <w:shd w:val="clear" w:color="auto" w:fill="FFFFFF"/>
        <w:spacing w:before="0" w:beforeAutospacing="0" w:after="0" w:afterAutospacing="0" w:line="360" w:lineRule="auto"/>
        <w:jc w:val="both"/>
        <w:textAlignment w:val="baseline"/>
        <w:rPr>
          <w:rFonts w:ascii="Garamond" w:hAnsi="Garamond"/>
        </w:rPr>
      </w:pPr>
    </w:p>
    <w:p w:rsidR="0021647D" w:rsidRPr="00E45DAD" w:rsidRDefault="00BA0F0B" w:rsidP="0021647D">
      <w:pPr>
        <w:pStyle w:val="NormalWeb"/>
        <w:shd w:val="clear" w:color="auto" w:fill="FFFFFF"/>
        <w:spacing w:before="0" w:beforeAutospacing="0" w:after="0" w:afterAutospacing="0" w:line="360" w:lineRule="auto"/>
        <w:jc w:val="both"/>
        <w:textAlignment w:val="baseline"/>
        <w:rPr>
          <w:rFonts w:ascii="Garamond" w:hAnsi="Garamond"/>
        </w:rPr>
      </w:pPr>
      <w:r w:rsidRPr="00E45DAD">
        <w:rPr>
          <w:rFonts w:ascii="Garamond" w:hAnsi="Garamond"/>
        </w:rPr>
        <w:t xml:space="preserve">Once consumer boycotts motivate a widespread politics of denunciation and shame, they commonly open up spaces of contest for perception and feeling; for influencing hearts and minds, and following this, policy and governance. As James Jasper writes in the </w:t>
      </w:r>
      <w:r w:rsidRPr="00E45DAD">
        <w:rPr>
          <w:rFonts w:ascii="Garamond" w:hAnsi="Garamond"/>
          <w:i/>
        </w:rPr>
        <w:t>Art of Moral Protest</w:t>
      </w:r>
      <w:r w:rsidRPr="00E45DAD">
        <w:rPr>
          <w:rFonts w:ascii="Garamond" w:hAnsi="Garamond"/>
        </w:rPr>
        <w:t>, successful boycotts tend to elicit a reaction from their target(s), who may respond with violence. In the case of the Montgomery bus boycott the backlash to the widespread shunning of racially segregated buses by blacks in Alabama included increased membership to the White Citizens Council, the deployment of structural violence of a racially biased judiciary (which accounted for the arrest of many non-violent women protesters, and the remarkably lenient sentences given to whites who had committed violence), the bombing of activist homes and Baptist churches, and drive-by shootings.</w:t>
      </w:r>
    </w:p>
    <w:p w:rsidR="0021647D" w:rsidRPr="00E45DAD" w:rsidRDefault="0021647D" w:rsidP="0021647D">
      <w:pPr>
        <w:pStyle w:val="NormalWeb"/>
        <w:shd w:val="clear" w:color="auto" w:fill="FFFFFF"/>
        <w:spacing w:before="0" w:beforeAutospacing="0" w:after="0" w:afterAutospacing="0" w:line="360" w:lineRule="auto"/>
        <w:jc w:val="both"/>
        <w:textAlignment w:val="baseline"/>
        <w:rPr>
          <w:rFonts w:ascii="Garamond" w:hAnsi="Garamond"/>
        </w:rPr>
      </w:pPr>
    </w:p>
    <w:p w:rsidR="0021647D" w:rsidRPr="00E45DAD" w:rsidRDefault="00BA0F0B" w:rsidP="0021647D">
      <w:pPr>
        <w:pStyle w:val="NormalWeb"/>
        <w:shd w:val="clear" w:color="auto" w:fill="FFFFFF"/>
        <w:spacing w:before="0" w:beforeAutospacing="0" w:after="0" w:afterAutospacing="0" w:line="360" w:lineRule="auto"/>
        <w:jc w:val="both"/>
        <w:textAlignment w:val="baseline"/>
        <w:rPr>
          <w:rFonts w:ascii="Garamond" w:hAnsi="Garamond"/>
        </w:rPr>
      </w:pPr>
      <w:r w:rsidRPr="00E45DAD">
        <w:rPr>
          <w:rFonts w:ascii="Garamond" w:hAnsi="Garamond"/>
        </w:rPr>
        <w:t xml:space="preserve">Although less conspicuous, the reaction by apartheid authorities to non-violent direct action and boycotts in Europe in the 1970s was also prone to brutality. Throughout the 1970s the Ministry of Information was a hub through which South African government, embassy, and secret police worked. It is probable that Rhoodie also had contacts in the Dutch secret service (the </w:t>
      </w:r>
      <w:r w:rsidRPr="00E45DAD">
        <w:rPr>
          <w:rFonts w:ascii="Garamond" w:hAnsi="Garamond"/>
          <w:i/>
        </w:rPr>
        <w:t>Binnenlandse Veiligheidsdienst</w:t>
      </w:r>
      <w:r w:rsidR="006B1236" w:rsidRPr="00E45DAD">
        <w:rPr>
          <w:rFonts w:ascii="Garamond" w:hAnsi="Garamond"/>
        </w:rPr>
        <w:t xml:space="preserve"> – BVD – </w:t>
      </w:r>
      <w:r w:rsidRPr="00E45DAD">
        <w:rPr>
          <w:rFonts w:ascii="Garamond" w:hAnsi="Garamond"/>
        </w:rPr>
        <w:t xml:space="preserve">who according to Bosgra closely monitored the activity of several Dutch AAMs, especially the </w:t>
      </w:r>
      <w:r w:rsidR="00353742" w:rsidRPr="00353742">
        <w:rPr>
          <w:rFonts w:ascii="Garamond" w:hAnsi="Garamond"/>
          <w:i/>
        </w:rPr>
        <w:t>K</w:t>
      </w:r>
      <w:r w:rsidRPr="00E45DAD">
        <w:rPr>
          <w:rStyle w:val="Emphasis"/>
          <w:rFonts w:ascii="Garamond" w:hAnsi="Garamond"/>
          <w:bdr w:val="none" w:sz="0" w:space="0" w:color="auto" w:frame="1"/>
        </w:rPr>
        <w:t>o</w:t>
      </w:r>
      <w:r w:rsidR="00353742">
        <w:rPr>
          <w:rStyle w:val="Emphasis"/>
          <w:rFonts w:ascii="Garamond" w:hAnsi="Garamond"/>
          <w:bdr w:val="none" w:sz="0" w:space="0" w:color="auto" w:frame="1"/>
        </w:rPr>
        <w:t>m</w:t>
      </w:r>
      <w:r w:rsidRPr="00E45DAD">
        <w:rPr>
          <w:rStyle w:val="Emphasis"/>
          <w:rFonts w:ascii="Garamond" w:hAnsi="Garamond"/>
          <w:bdr w:val="none" w:sz="0" w:space="0" w:color="auto" w:frame="1"/>
        </w:rPr>
        <w:t>mi</w:t>
      </w:r>
      <w:r w:rsidR="00353742">
        <w:rPr>
          <w:rStyle w:val="Emphasis"/>
          <w:rFonts w:ascii="Garamond" w:hAnsi="Garamond"/>
          <w:bdr w:val="none" w:sz="0" w:space="0" w:color="auto" w:frame="1"/>
        </w:rPr>
        <w:t>ttee</w:t>
      </w:r>
      <w:r w:rsidRPr="00E45DAD">
        <w:rPr>
          <w:rStyle w:val="Emphasis"/>
          <w:rFonts w:ascii="Garamond" w:hAnsi="Garamond"/>
          <w:bdr w:val="none" w:sz="0" w:space="0" w:color="auto" w:frame="1"/>
        </w:rPr>
        <w:t xml:space="preserve"> Zuid-Afrika </w:t>
      </w:r>
      <w:r w:rsidR="00353742">
        <w:rPr>
          <w:rStyle w:val="Emphasis"/>
          <w:rFonts w:ascii="Garamond" w:hAnsi="Garamond"/>
          <w:i w:val="0"/>
          <w:bdr w:val="none" w:sz="0" w:space="0" w:color="auto" w:frame="1"/>
        </w:rPr>
        <w:t>(K</w:t>
      </w:r>
      <w:r w:rsidRPr="00E45DAD">
        <w:rPr>
          <w:rStyle w:val="Emphasis"/>
          <w:rFonts w:ascii="Garamond" w:hAnsi="Garamond"/>
          <w:i w:val="0"/>
          <w:bdr w:val="none" w:sz="0" w:space="0" w:color="auto" w:frame="1"/>
        </w:rPr>
        <w:t xml:space="preserve">ZA) </w:t>
      </w:r>
      <w:r w:rsidRPr="00E45DAD">
        <w:rPr>
          <w:rFonts w:ascii="Garamond" w:hAnsi="Garamond"/>
        </w:rPr>
        <w:t>and</w:t>
      </w:r>
      <w:r w:rsidRPr="00E45DAD">
        <w:rPr>
          <w:rStyle w:val="apple-converted-space"/>
          <w:rFonts w:ascii="Garamond" w:hAnsi="Garamond"/>
        </w:rPr>
        <w:t> </w:t>
      </w:r>
      <w:hyperlink r:id="rId63" w:history="1">
        <w:r w:rsidRPr="00E45DAD">
          <w:rPr>
            <w:rStyle w:val="Emphasis"/>
            <w:rFonts w:ascii="Garamond" w:hAnsi="Garamond"/>
            <w:bdr w:val="none" w:sz="0" w:space="0" w:color="auto" w:frame="1"/>
          </w:rPr>
          <w:t>Anti-Apartheid Beweging Nederland</w:t>
        </w:r>
      </w:hyperlink>
      <w:r w:rsidRPr="00E45DAD">
        <w:rPr>
          <w:rFonts w:ascii="Garamond" w:hAnsi="Garamond"/>
        </w:rPr>
        <w:t xml:space="preserve"> (AABN). The Dutch Ministry of Information was part of a clandestine pro-apartheid global network that contested, discredited and destroyed anti-apartheid information through a variety of means.</w:t>
      </w:r>
    </w:p>
    <w:p w:rsidR="0021647D" w:rsidRPr="00E45DAD" w:rsidRDefault="0021647D" w:rsidP="0021647D">
      <w:pPr>
        <w:pStyle w:val="NormalWeb"/>
        <w:shd w:val="clear" w:color="auto" w:fill="FFFFFF"/>
        <w:spacing w:before="0" w:beforeAutospacing="0" w:after="0" w:afterAutospacing="0" w:line="360" w:lineRule="auto"/>
        <w:jc w:val="both"/>
        <w:textAlignment w:val="baseline"/>
        <w:rPr>
          <w:rFonts w:ascii="Garamond" w:hAnsi="Garamond"/>
        </w:rPr>
      </w:pPr>
    </w:p>
    <w:p w:rsidR="0021647D" w:rsidRPr="00E45DAD" w:rsidRDefault="00BA0F0B" w:rsidP="0021647D">
      <w:pPr>
        <w:pStyle w:val="NormalWeb"/>
        <w:shd w:val="clear" w:color="auto" w:fill="FFFFFF"/>
        <w:spacing w:before="0" w:beforeAutospacing="0" w:after="0" w:afterAutospacing="0" w:line="360" w:lineRule="auto"/>
        <w:jc w:val="both"/>
        <w:textAlignment w:val="baseline"/>
        <w:rPr>
          <w:rFonts w:ascii="Garamond" w:hAnsi="Garamond"/>
        </w:rPr>
      </w:pPr>
      <w:r w:rsidRPr="00E45DAD">
        <w:rPr>
          <w:rFonts w:ascii="Garamond" w:hAnsi="Garamond"/>
        </w:rPr>
        <w:t xml:space="preserve">In practice, this meant obtaining intelligence from agents who had infiltrated anti-apartheid organizations, conducting a campaign of fear and intimidation on key activists, committing theft, arson and bombing on ANC offices, launching smear campaigns on </w:t>
      </w:r>
      <w:r w:rsidRPr="00E45DAD">
        <w:rPr>
          <w:rFonts w:ascii="Garamond" w:hAnsi="Garamond"/>
        </w:rPr>
        <w:lastRenderedPageBreak/>
        <w:t>activists,</w:t>
      </w:r>
      <w:r w:rsidR="00353742">
        <w:rPr>
          <w:rStyle w:val="FootnoteReference"/>
          <w:rFonts w:ascii="Garamond" w:hAnsi="Garamond"/>
        </w:rPr>
        <w:footnoteReference w:id="97"/>
      </w:r>
      <w:r w:rsidRPr="00E45DAD">
        <w:rPr>
          <w:rFonts w:ascii="Garamond" w:hAnsi="Garamond"/>
        </w:rPr>
        <w:t xml:space="preserve"> (du Plessis was targeted in 1973), destroying anti-apartheid archives, and in several cases harming and killing particularly influential campaigners. All these activities point to a central anxiety; the apartheid regime felt threatened by European consumer boycotts, by European solidarity with the liberation movements, and by forms of non-violent-direct-action.</w:t>
      </w:r>
    </w:p>
    <w:p w:rsidR="0021647D" w:rsidRPr="00E45DAD" w:rsidRDefault="0021647D" w:rsidP="0021647D">
      <w:pPr>
        <w:pStyle w:val="NormalWeb"/>
        <w:shd w:val="clear" w:color="auto" w:fill="FFFFFF"/>
        <w:spacing w:before="0" w:beforeAutospacing="0" w:after="0" w:afterAutospacing="0" w:line="360" w:lineRule="auto"/>
        <w:jc w:val="both"/>
        <w:textAlignment w:val="baseline"/>
        <w:rPr>
          <w:rFonts w:ascii="Garamond" w:hAnsi="Garamond"/>
        </w:rPr>
      </w:pPr>
    </w:p>
    <w:p w:rsidR="00904423" w:rsidRDefault="00BA0F0B" w:rsidP="00904423">
      <w:pPr>
        <w:pStyle w:val="NormalWeb"/>
        <w:shd w:val="clear" w:color="auto" w:fill="FFFFFF"/>
        <w:spacing w:before="0" w:beforeAutospacing="0" w:after="0" w:afterAutospacing="0" w:line="360" w:lineRule="auto"/>
        <w:jc w:val="both"/>
        <w:textAlignment w:val="baseline"/>
        <w:rPr>
          <w:rFonts w:ascii="Garamond" w:hAnsi="Garamond"/>
        </w:rPr>
      </w:pPr>
      <w:r w:rsidRPr="00E45DAD">
        <w:rPr>
          <w:rFonts w:ascii="Garamond" w:hAnsi="Garamond"/>
        </w:rPr>
        <w:t>Outspan oranges offered a material segue into solidarity with SACTU. They afforded an opportunity to intimidate pro-apartheid actors in South Africa and Europe. They enabled a contest over the imaginary geographies of apartheid. The citrus boycott questioned the role of Den Uyl government and European capital in supporting apartheid, and it brought into political debate the continuing relevance of colonial and racialized social relations. The organization attempted to make the most of the different cultural platforms afforded by the citrus boycott. But there were excesses that the BOA couldn't control. The 'squeezing dry' trope with an orange substituted for a boy's head on a juicer, gave the BOA the most captivating and distinctive logo in Dutch anti-apartheid (Bosgra, 2009; interview Beerends, 2011). But this logo threatened to take over the BOA. The image and the citrus boycott, representing a fraction of what the organization achieved over twenty years, are largely what the BOA are remembered for (interview Beerends, 2011; interview Mol, 2011; IISH, 2013; Muskens, 2013).</w:t>
      </w:r>
      <w:bookmarkStart w:id="478" w:name="_Toc244508059"/>
    </w:p>
    <w:p w:rsidR="00904423" w:rsidRDefault="00904423" w:rsidP="00904423">
      <w:pPr>
        <w:pStyle w:val="NormalWeb"/>
        <w:shd w:val="clear" w:color="auto" w:fill="FFFFFF"/>
        <w:spacing w:before="0" w:beforeAutospacing="0" w:after="0" w:afterAutospacing="0" w:line="360" w:lineRule="auto"/>
        <w:jc w:val="both"/>
        <w:textAlignment w:val="baseline"/>
        <w:rPr>
          <w:rFonts w:ascii="Garamond" w:hAnsi="Garamond"/>
          <w:sz w:val="28"/>
        </w:rPr>
        <w:sectPr w:rsidR="00904423">
          <w:pgSz w:w="11900" w:h="16840"/>
          <w:pgMar w:top="1440" w:right="1800" w:bottom="1134" w:left="1800" w:header="708" w:footer="708" w:gutter="0"/>
          <w:cols w:space="708"/>
        </w:sectPr>
      </w:pPr>
    </w:p>
    <w:p w:rsidR="00472B3A" w:rsidRPr="00904423" w:rsidRDefault="00472B3A" w:rsidP="00904423">
      <w:pPr>
        <w:pStyle w:val="Heading1"/>
        <w:spacing w:before="0" w:line="360" w:lineRule="auto"/>
        <w:jc w:val="right"/>
        <w:rPr>
          <w:rFonts w:ascii="Garamond" w:hAnsi="Garamond"/>
          <w:color w:val="auto"/>
          <w:sz w:val="28"/>
        </w:rPr>
      </w:pPr>
      <w:bookmarkStart w:id="479" w:name="_Toc244535753"/>
      <w:bookmarkStart w:id="480" w:name="_Toc244578385"/>
      <w:bookmarkStart w:id="481" w:name="_Toc244578769"/>
      <w:bookmarkStart w:id="482" w:name="_Toc263452020"/>
      <w:bookmarkStart w:id="483" w:name="_Toc263510938"/>
      <w:r w:rsidRPr="00904423">
        <w:rPr>
          <w:rFonts w:ascii="Garamond" w:hAnsi="Garamond"/>
          <w:color w:val="auto"/>
          <w:sz w:val="28"/>
        </w:rPr>
        <w:lastRenderedPageBreak/>
        <w:t>Chapter Four</w:t>
      </w:r>
      <w:bookmarkEnd w:id="478"/>
      <w:bookmarkEnd w:id="479"/>
      <w:bookmarkEnd w:id="480"/>
      <w:bookmarkEnd w:id="481"/>
      <w:bookmarkEnd w:id="482"/>
      <w:bookmarkEnd w:id="483"/>
    </w:p>
    <w:p w:rsidR="00904423" w:rsidRDefault="00904423" w:rsidP="00904423">
      <w:pPr>
        <w:pStyle w:val="Heading1"/>
        <w:spacing w:before="0" w:line="360" w:lineRule="auto"/>
        <w:rPr>
          <w:rFonts w:ascii="Garamond" w:hAnsi="Garamond"/>
          <w:color w:val="auto"/>
          <w:sz w:val="28"/>
        </w:rPr>
      </w:pPr>
      <w:bookmarkStart w:id="484" w:name="_Toc244508060"/>
    </w:p>
    <w:p w:rsidR="00904423" w:rsidRPr="00904423" w:rsidRDefault="00904423" w:rsidP="00904423"/>
    <w:p w:rsidR="00904423" w:rsidRDefault="00472B3A" w:rsidP="00904423">
      <w:pPr>
        <w:pStyle w:val="Heading1"/>
        <w:spacing w:before="0" w:line="360" w:lineRule="auto"/>
        <w:rPr>
          <w:rFonts w:ascii="Garamond" w:hAnsi="Garamond"/>
          <w:color w:val="auto"/>
          <w:sz w:val="28"/>
        </w:rPr>
      </w:pPr>
      <w:bookmarkStart w:id="485" w:name="_Toc244535754"/>
      <w:bookmarkStart w:id="486" w:name="_Toc244578386"/>
      <w:bookmarkStart w:id="487" w:name="_Toc244578770"/>
      <w:bookmarkStart w:id="488" w:name="_Toc263452021"/>
      <w:bookmarkStart w:id="489" w:name="_Toc263510939"/>
      <w:r w:rsidRPr="00904423">
        <w:rPr>
          <w:rFonts w:ascii="Garamond" w:hAnsi="Garamond"/>
          <w:color w:val="auto"/>
          <w:sz w:val="28"/>
        </w:rPr>
        <w:t>‘Do you like the taste of children being exploited?’: Chocolate, purity and childhood in Stop The Traffik's bodywork (2006-Present)</w:t>
      </w:r>
      <w:bookmarkEnd w:id="484"/>
      <w:bookmarkEnd w:id="485"/>
      <w:bookmarkEnd w:id="486"/>
      <w:bookmarkEnd w:id="487"/>
      <w:bookmarkEnd w:id="488"/>
      <w:bookmarkEnd w:id="489"/>
    </w:p>
    <w:p w:rsidR="00904423" w:rsidRDefault="00904423" w:rsidP="00904423">
      <w:pPr>
        <w:spacing w:after="0" w:line="360" w:lineRule="auto"/>
      </w:pPr>
    </w:p>
    <w:p w:rsidR="00472B3A" w:rsidRPr="00904423" w:rsidRDefault="00472B3A" w:rsidP="00904423">
      <w:pPr>
        <w:spacing w:after="0" w:line="360" w:lineRule="auto"/>
      </w:pPr>
    </w:p>
    <w:p w:rsidR="00472B3A" w:rsidRPr="000D4FFE" w:rsidRDefault="00472B3A" w:rsidP="00904423">
      <w:pPr>
        <w:pStyle w:val="Heading2"/>
      </w:pPr>
      <w:bookmarkStart w:id="490" w:name="_Toc244508061"/>
      <w:bookmarkStart w:id="491" w:name="_Toc244535755"/>
      <w:bookmarkStart w:id="492" w:name="_Toc244578387"/>
      <w:bookmarkStart w:id="493" w:name="_Toc244578771"/>
      <w:bookmarkStart w:id="494" w:name="_Toc263452022"/>
      <w:bookmarkStart w:id="495" w:name="_Toc263510940"/>
      <w:r w:rsidRPr="000D4FFE">
        <w:t>Introduction</w:t>
      </w:r>
      <w:bookmarkEnd w:id="490"/>
      <w:bookmarkEnd w:id="491"/>
      <w:bookmarkEnd w:id="492"/>
      <w:bookmarkEnd w:id="493"/>
      <w:bookmarkEnd w:id="494"/>
      <w:bookmarkEnd w:id="495"/>
    </w:p>
    <w:p w:rsidR="00897670" w:rsidRDefault="00897670" w:rsidP="00904423">
      <w:pPr>
        <w:spacing w:after="0" w:line="360" w:lineRule="auto"/>
        <w:jc w:val="both"/>
        <w:rPr>
          <w:rFonts w:ascii="Garamond" w:eastAsia="Times New Roman" w:hAnsi="Garamond" w:cs="Times New Roman"/>
          <w:sz w:val="24"/>
          <w:szCs w:val="24"/>
          <w:lang w:val="en-US"/>
        </w:rPr>
      </w:pPr>
    </w:p>
    <w:p w:rsidR="00897670" w:rsidRDefault="00472B3A" w:rsidP="00897670">
      <w:pPr>
        <w:spacing w:after="0" w:line="360" w:lineRule="auto"/>
        <w:jc w:val="both"/>
        <w:rPr>
          <w:rFonts w:ascii="Garamond" w:eastAsia="Times New Roman" w:hAnsi="Garamond" w:cs="Times New Roman"/>
          <w:sz w:val="24"/>
          <w:szCs w:val="24"/>
          <w:lang w:val="en-US"/>
        </w:rPr>
      </w:pPr>
      <w:r w:rsidRPr="005D086E">
        <w:rPr>
          <w:rFonts w:ascii="Garamond" w:eastAsia="Times New Roman" w:hAnsi="Garamond" w:cs="Times New Roman"/>
          <w:sz w:val="24"/>
          <w:szCs w:val="24"/>
          <w:lang w:val="en-US"/>
        </w:rPr>
        <w:t xml:space="preserve">Paraphrasing Marx, there is more to chocolate than its physical properties. Recent developments in the </w:t>
      </w:r>
      <w:r>
        <w:rPr>
          <w:rFonts w:ascii="Garamond" w:eastAsia="Times New Roman" w:hAnsi="Garamond" w:cs="Times New Roman"/>
          <w:sz w:val="24"/>
          <w:szCs w:val="24"/>
          <w:lang w:val="en-US"/>
        </w:rPr>
        <w:t xml:space="preserve">fields of </w:t>
      </w:r>
      <w:r w:rsidRPr="005D086E">
        <w:rPr>
          <w:rFonts w:ascii="Garamond" w:eastAsia="Times New Roman" w:hAnsi="Garamond" w:cs="Times New Roman"/>
          <w:sz w:val="24"/>
          <w:szCs w:val="24"/>
          <w:lang w:val="en-US"/>
        </w:rPr>
        <w:t xml:space="preserve">cultural economy (Amin </w:t>
      </w:r>
      <w:r w:rsidR="00F152DB">
        <w:rPr>
          <w:rFonts w:ascii="Garamond" w:eastAsia="Times New Roman" w:hAnsi="Garamond" w:cs="Times New Roman"/>
          <w:sz w:val="24"/>
          <w:szCs w:val="24"/>
          <w:lang w:val="en-US"/>
        </w:rPr>
        <w:t>and</w:t>
      </w:r>
      <w:r w:rsidRPr="005D086E">
        <w:rPr>
          <w:rFonts w:ascii="Garamond" w:eastAsia="Times New Roman" w:hAnsi="Garamond" w:cs="Times New Roman"/>
          <w:sz w:val="24"/>
          <w:szCs w:val="24"/>
          <w:lang w:val="en-US"/>
        </w:rPr>
        <w:t xml:space="preserve"> Thrift, 2003; du Gay </w:t>
      </w:r>
      <w:r w:rsidR="00F152DB">
        <w:rPr>
          <w:rFonts w:ascii="Garamond" w:eastAsia="Times New Roman" w:hAnsi="Garamond" w:cs="Times New Roman"/>
          <w:sz w:val="24"/>
          <w:szCs w:val="24"/>
          <w:lang w:val="en-US"/>
        </w:rPr>
        <w:t>and</w:t>
      </w:r>
      <w:r w:rsidRPr="005D086E">
        <w:rPr>
          <w:rFonts w:ascii="Garamond" w:eastAsia="Times New Roman" w:hAnsi="Garamond" w:cs="Times New Roman"/>
          <w:sz w:val="24"/>
          <w:szCs w:val="24"/>
          <w:lang w:val="en-US"/>
        </w:rPr>
        <w:t xml:space="preserve"> Pryke, 2002) and political economy (Sayer, 2003; Fine, 2004; Milonakis </w:t>
      </w:r>
      <w:r w:rsidR="00F152DB">
        <w:rPr>
          <w:rFonts w:ascii="Garamond" w:eastAsia="Times New Roman" w:hAnsi="Garamond" w:cs="Times New Roman"/>
          <w:sz w:val="24"/>
          <w:szCs w:val="24"/>
          <w:lang w:val="en-US"/>
        </w:rPr>
        <w:t>and</w:t>
      </w:r>
      <w:r w:rsidRPr="005D086E">
        <w:rPr>
          <w:rFonts w:ascii="Garamond" w:eastAsia="Times New Roman" w:hAnsi="Garamond" w:cs="Times New Roman"/>
          <w:sz w:val="24"/>
          <w:szCs w:val="24"/>
          <w:lang w:val="en-US"/>
        </w:rPr>
        <w:t xml:space="preserve"> Fine, 2009) point towards the analysis of the cultural relations that form economic practices, processes and places. In the global chocolate industry</w:t>
      </w:r>
      <w:r>
        <w:rPr>
          <w:rFonts w:ascii="Garamond" w:eastAsia="Times New Roman" w:hAnsi="Garamond" w:cs="Times New Roman"/>
          <w:sz w:val="24"/>
          <w:szCs w:val="24"/>
          <w:lang w:val="en-US"/>
        </w:rPr>
        <w:t>,</w:t>
      </w:r>
      <w:r w:rsidRPr="005D086E">
        <w:rPr>
          <w:rFonts w:ascii="Garamond" w:eastAsia="Times New Roman" w:hAnsi="Garamond" w:cs="Times New Roman"/>
          <w:sz w:val="24"/>
          <w:szCs w:val="24"/>
          <w:lang w:val="en-US"/>
        </w:rPr>
        <w:t xml:space="preserve"> a material and social history of exploration and evolving appetites (Mintz, 1993), and the embodiment of the fluid and hard forms of modernization so characteristic of globalization, have contributed to the economic ‘double di</w:t>
      </w:r>
      <w:r>
        <w:rPr>
          <w:rFonts w:ascii="Garamond" w:eastAsia="Times New Roman" w:hAnsi="Garamond" w:cs="Times New Roman"/>
          <w:sz w:val="24"/>
          <w:szCs w:val="24"/>
          <w:lang w:val="en-US"/>
        </w:rPr>
        <w:t>sconnect’ (Cidell et al.</w:t>
      </w:r>
      <w:r w:rsidRPr="005D086E">
        <w:rPr>
          <w:rFonts w:ascii="Garamond" w:eastAsia="Times New Roman" w:hAnsi="Garamond" w:cs="Times New Roman"/>
          <w:sz w:val="24"/>
          <w:szCs w:val="24"/>
          <w:lang w:val="en-US"/>
        </w:rPr>
        <w:t xml:space="preserve"> 2007) and ‘bi-polar’ organization of the commodity chain between multinational grinder (cocoa processors) and brander (chocolate manufacturers) firms (Fold, 2002). West Africa produces three quarters of the world’s cocoa, and receives less than two </w:t>
      </w:r>
      <w:r>
        <w:rPr>
          <w:rFonts w:ascii="Garamond" w:eastAsia="Times New Roman" w:hAnsi="Garamond" w:cs="Times New Roman"/>
          <w:sz w:val="24"/>
          <w:szCs w:val="24"/>
          <w:lang w:val="en-US"/>
        </w:rPr>
        <w:t>percent of its value (Fountain i</w:t>
      </w:r>
      <w:r w:rsidRPr="005D086E">
        <w:rPr>
          <w:rFonts w:ascii="Garamond" w:eastAsia="Times New Roman" w:hAnsi="Garamond" w:cs="Times New Roman"/>
          <w:sz w:val="24"/>
          <w:szCs w:val="24"/>
          <w:lang w:val="en-US"/>
        </w:rPr>
        <w:t>nterview, 2011). In Europe cultures of chocolate production are understood through a lens of consumption</w:t>
      </w:r>
      <w:r>
        <w:rPr>
          <w:rFonts w:ascii="Garamond" w:eastAsia="Times New Roman" w:hAnsi="Garamond" w:cs="Times New Roman"/>
          <w:sz w:val="24"/>
          <w:szCs w:val="24"/>
          <w:lang w:val="en-US"/>
        </w:rPr>
        <w:t>: chocolate is framed in terms of</w:t>
      </w:r>
      <w:r w:rsidRPr="005D086E">
        <w:rPr>
          <w:rFonts w:ascii="Garamond" w:eastAsia="Times New Roman" w:hAnsi="Garamond" w:cs="Times New Roman"/>
          <w:sz w:val="24"/>
          <w:szCs w:val="24"/>
          <w:lang w:val="en-US"/>
        </w:rPr>
        <w:t xml:space="preserve"> measurements in quality, and a materialization of the moral sentim</w:t>
      </w:r>
      <w:r>
        <w:rPr>
          <w:rFonts w:ascii="Garamond" w:eastAsia="Times New Roman" w:hAnsi="Garamond" w:cs="Times New Roman"/>
          <w:sz w:val="24"/>
          <w:szCs w:val="24"/>
          <w:lang w:val="en-US"/>
        </w:rPr>
        <w:t xml:space="preserve">ents (Amin </w:t>
      </w:r>
      <w:r w:rsidR="00F152DB">
        <w:rPr>
          <w:rFonts w:ascii="Garamond" w:eastAsia="Times New Roman" w:hAnsi="Garamond" w:cs="Times New Roman"/>
          <w:sz w:val="24"/>
          <w:szCs w:val="24"/>
          <w:lang w:val="en-US"/>
        </w:rPr>
        <w:t>and</w:t>
      </w:r>
      <w:r>
        <w:rPr>
          <w:rFonts w:ascii="Garamond" w:eastAsia="Times New Roman" w:hAnsi="Garamond" w:cs="Times New Roman"/>
          <w:sz w:val="24"/>
          <w:szCs w:val="24"/>
          <w:lang w:val="en-US"/>
        </w:rPr>
        <w:t xml:space="preserve"> Thrift, 2004</w:t>
      </w:r>
      <w:r w:rsidRPr="005D086E">
        <w:rPr>
          <w:rFonts w:ascii="Garamond" w:eastAsia="Times New Roman" w:hAnsi="Garamond" w:cs="Times New Roman"/>
          <w:sz w:val="24"/>
          <w:szCs w:val="24"/>
          <w:lang w:val="en-US"/>
        </w:rPr>
        <w:t xml:space="preserve">; Brewer </w:t>
      </w:r>
      <w:r w:rsidR="00F152DB">
        <w:rPr>
          <w:rFonts w:ascii="Garamond" w:eastAsia="Times New Roman" w:hAnsi="Garamond" w:cs="Times New Roman"/>
          <w:sz w:val="24"/>
          <w:szCs w:val="24"/>
          <w:lang w:val="en-US"/>
        </w:rPr>
        <w:t>and</w:t>
      </w:r>
      <w:r w:rsidRPr="005D086E">
        <w:rPr>
          <w:rFonts w:ascii="Garamond" w:eastAsia="Times New Roman" w:hAnsi="Garamond" w:cs="Times New Roman"/>
          <w:sz w:val="24"/>
          <w:szCs w:val="24"/>
          <w:lang w:val="en-US"/>
        </w:rPr>
        <w:t xml:space="preserve"> Trentmann</w:t>
      </w:r>
      <w:r>
        <w:rPr>
          <w:rFonts w:ascii="Garamond" w:eastAsia="Times New Roman" w:hAnsi="Garamond" w:cs="Times New Roman"/>
          <w:sz w:val="24"/>
          <w:szCs w:val="24"/>
          <w:lang w:val="en-US"/>
        </w:rPr>
        <w:t>, 2006</w:t>
      </w:r>
      <w:r w:rsidRPr="005D086E">
        <w:rPr>
          <w:rFonts w:ascii="Garamond" w:eastAsia="Times New Roman" w:hAnsi="Garamond" w:cs="Times New Roman"/>
          <w:sz w:val="24"/>
          <w:szCs w:val="24"/>
          <w:lang w:val="en-US"/>
        </w:rPr>
        <w:t>) of heterosexual love, indulgence and purity. Love and indulgence are well</w:t>
      </w:r>
      <w:r>
        <w:rPr>
          <w:rFonts w:ascii="Garamond" w:eastAsia="Times New Roman" w:hAnsi="Garamond" w:cs="Times New Roman"/>
          <w:sz w:val="24"/>
          <w:szCs w:val="24"/>
          <w:lang w:val="en-US"/>
        </w:rPr>
        <w:t>-</w:t>
      </w:r>
      <w:r w:rsidRPr="005D086E">
        <w:rPr>
          <w:rFonts w:ascii="Garamond" w:eastAsia="Times New Roman" w:hAnsi="Garamond" w:cs="Times New Roman"/>
          <w:sz w:val="24"/>
          <w:szCs w:val="24"/>
          <w:lang w:val="en-US"/>
        </w:rPr>
        <w:t xml:space="preserve">worn tropes used by branding firms to add exchange value to chocolate, and are familiar areas of concern for chocolate historians, geographers and sociologists (Barthel, 1989; Schivelbusch 1993; Lupton, 1996; Bell </w:t>
      </w:r>
      <w:r w:rsidR="00F152DB">
        <w:rPr>
          <w:rFonts w:ascii="Garamond" w:eastAsia="Times New Roman" w:hAnsi="Garamond" w:cs="Times New Roman"/>
          <w:sz w:val="24"/>
          <w:szCs w:val="24"/>
          <w:lang w:val="en-US"/>
        </w:rPr>
        <w:t>and</w:t>
      </w:r>
      <w:r w:rsidRPr="005D086E">
        <w:rPr>
          <w:rFonts w:ascii="Garamond" w:eastAsia="Times New Roman" w:hAnsi="Garamond" w:cs="Times New Roman"/>
          <w:sz w:val="24"/>
          <w:szCs w:val="24"/>
          <w:lang w:val="en-US"/>
        </w:rPr>
        <w:t xml:space="preserve"> Valentine, 1997; Robertson, 2009). </w:t>
      </w:r>
      <w:r>
        <w:rPr>
          <w:rFonts w:ascii="Garamond" w:eastAsia="Times New Roman" w:hAnsi="Garamond" w:cs="Times New Roman"/>
          <w:sz w:val="24"/>
          <w:szCs w:val="24"/>
          <w:lang w:val="en-US"/>
        </w:rPr>
        <w:t xml:space="preserve">Purity is central to STT’s critical engagement with chocolate economies, but its materialization is </w:t>
      </w:r>
      <w:r w:rsidRPr="005D086E">
        <w:rPr>
          <w:rFonts w:ascii="Garamond" w:eastAsia="Times New Roman" w:hAnsi="Garamond" w:cs="Times New Roman"/>
          <w:sz w:val="24"/>
          <w:szCs w:val="24"/>
          <w:lang w:val="en-US"/>
        </w:rPr>
        <w:t xml:space="preserve">not so </w:t>
      </w:r>
      <w:r>
        <w:rPr>
          <w:rFonts w:ascii="Garamond" w:eastAsia="Times New Roman" w:hAnsi="Garamond" w:cs="Times New Roman"/>
          <w:sz w:val="24"/>
          <w:szCs w:val="24"/>
          <w:lang w:val="en-US"/>
        </w:rPr>
        <w:t xml:space="preserve">well </w:t>
      </w:r>
      <w:r w:rsidRPr="005D086E">
        <w:rPr>
          <w:rFonts w:ascii="Garamond" w:eastAsia="Times New Roman" w:hAnsi="Garamond" w:cs="Times New Roman"/>
          <w:sz w:val="24"/>
          <w:szCs w:val="24"/>
          <w:lang w:val="en-US"/>
        </w:rPr>
        <w:t xml:space="preserve">established in extant </w:t>
      </w:r>
      <w:r>
        <w:rPr>
          <w:rFonts w:ascii="Garamond" w:eastAsia="Times New Roman" w:hAnsi="Garamond" w:cs="Times New Roman"/>
          <w:sz w:val="24"/>
          <w:szCs w:val="24"/>
          <w:lang w:val="en-US"/>
        </w:rPr>
        <w:t xml:space="preserve">scholarship. </w:t>
      </w:r>
      <w:r w:rsidRPr="005D086E">
        <w:rPr>
          <w:rFonts w:ascii="Garamond" w:eastAsia="Times New Roman" w:hAnsi="Garamond" w:cs="Times New Roman"/>
          <w:sz w:val="24"/>
          <w:szCs w:val="24"/>
          <w:lang w:val="en-US"/>
        </w:rPr>
        <w:t>The trope</w:t>
      </w:r>
      <w:r>
        <w:rPr>
          <w:rFonts w:ascii="Garamond" w:eastAsia="Times New Roman" w:hAnsi="Garamond" w:cs="Times New Roman"/>
          <w:sz w:val="24"/>
          <w:szCs w:val="24"/>
          <w:lang w:val="en-US"/>
        </w:rPr>
        <w:t xml:space="preserve"> of purity</w:t>
      </w:r>
      <w:r w:rsidRPr="005D086E">
        <w:rPr>
          <w:rFonts w:ascii="Garamond" w:eastAsia="Times New Roman" w:hAnsi="Garamond" w:cs="Times New Roman"/>
          <w:sz w:val="24"/>
          <w:szCs w:val="24"/>
          <w:lang w:val="en-US"/>
        </w:rPr>
        <w:t xml:space="preserve"> is integral to Stop The Traffik’s chocolate campaigns, and is worked into a series of embodied relationships </w:t>
      </w:r>
      <w:r>
        <w:rPr>
          <w:rFonts w:ascii="Garamond" w:eastAsia="Times New Roman" w:hAnsi="Garamond" w:cs="Times New Roman"/>
          <w:sz w:val="24"/>
          <w:szCs w:val="24"/>
          <w:lang w:val="en-US"/>
        </w:rPr>
        <w:t>that</w:t>
      </w:r>
      <w:r w:rsidRPr="005D086E">
        <w:rPr>
          <w:rFonts w:ascii="Garamond" w:eastAsia="Times New Roman" w:hAnsi="Garamond" w:cs="Times New Roman"/>
          <w:sz w:val="24"/>
          <w:szCs w:val="24"/>
          <w:lang w:val="en-US"/>
        </w:rPr>
        <w:t xml:space="preserve"> I term the childhood-chocolate topo</w:t>
      </w:r>
      <w:r>
        <w:rPr>
          <w:rFonts w:ascii="Garamond" w:eastAsia="Times New Roman" w:hAnsi="Garamond" w:cs="Times New Roman"/>
          <w:sz w:val="24"/>
          <w:szCs w:val="24"/>
          <w:lang w:val="en-US"/>
        </w:rPr>
        <w:t>s.</w:t>
      </w: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472B3A" w:rsidP="00897670">
      <w:pPr>
        <w:spacing w:after="0" w:line="360" w:lineRule="auto"/>
        <w:jc w:val="both"/>
        <w:rPr>
          <w:rFonts w:ascii="Garamond" w:eastAsia="Times New Roman" w:hAnsi="Garamond" w:cs="Times New Roman"/>
          <w:sz w:val="24"/>
          <w:szCs w:val="24"/>
          <w:lang w:val="en-US"/>
        </w:rPr>
      </w:pPr>
      <w:r w:rsidRPr="005D086E">
        <w:rPr>
          <w:rFonts w:ascii="Garamond" w:eastAsia="Times New Roman" w:hAnsi="Garamond" w:cs="Times New Roman"/>
          <w:sz w:val="24"/>
          <w:szCs w:val="24"/>
          <w:lang w:val="en-US"/>
        </w:rPr>
        <w:t xml:space="preserve">Why is STT’s childhood-chocolate topos deployed? What does it look, feel or taste like? How does it work? These questions underpin </w:t>
      </w:r>
      <w:r>
        <w:rPr>
          <w:rFonts w:ascii="Garamond" w:eastAsia="Times New Roman" w:hAnsi="Garamond" w:cs="Times New Roman"/>
          <w:sz w:val="24"/>
          <w:szCs w:val="24"/>
          <w:lang w:val="en-US"/>
        </w:rPr>
        <w:t>this</w:t>
      </w:r>
      <w:r w:rsidRPr="005D086E">
        <w:rPr>
          <w:rFonts w:ascii="Garamond" w:eastAsia="Times New Roman" w:hAnsi="Garamond" w:cs="Times New Roman"/>
          <w:sz w:val="24"/>
          <w:szCs w:val="24"/>
          <w:lang w:val="en-US"/>
        </w:rPr>
        <w:t xml:space="preserve"> chapter</w:t>
      </w:r>
      <w:r>
        <w:rPr>
          <w:rFonts w:ascii="Garamond" w:eastAsia="Times New Roman" w:hAnsi="Garamond" w:cs="Times New Roman"/>
          <w:sz w:val="24"/>
          <w:szCs w:val="24"/>
          <w:lang w:val="en-US"/>
        </w:rPr>
        <w:t>.</w:t>
      </w:r>
      <w:r w:rsidRPr="005D086E">
        <w:rPr>
          <w:rFonts w:ascii="Garamond" w:eastAsia="Times New Roman" w:hAnsi="Garamond" w:cs="Times New Roman"/>
          <w:sz w:val="24"/>
          <w:szCs w:val="24"/>
          <w:lang w:val="en-US"/>
        </w:rPr>
        <w:t xml:space="preserve"> </w:t>
      </w:r>
      <w:r>
        <w:rPr>
          <w:rFonts w:ascii="Garamond" w:eastAsia="Times New Roman" w:hAnsi="Garamond" w:cs="Times New Roman"/>
          <w:sz w:val="24"/>
          <w:szCs w:val="24"/>
          <w:lang w:val="en-US"/>
        </w:rPr>
        <w:t>I</w:t>
      </w:r>
      <w:r w:rsidRPr="005D086E">
        <w:rPr>
          <w:rFonts w:ascii="Garamond" w:eastAsia="Times New Roman" w:hAnsi="Garamond" w:cs="Times New Roman"/>
          <w:sz w:val="24"/>
          <w:szCs w:val="24"/>
          <w:lang w:val="en-US"/>
        </w:rPr>
        <w:t>ts argument</w:t>
      </w:r>
      <w:r>
        <w:rPr>
          <w:rFonts w:ascii="Garamond" w:eastAsia="Times New Roman" w:hAnsi="Garamond" w:cs="Times New Roman"/>
          <w:sz w:val="24"/>
          <w:szCs w:val="24"/>
          <w:lang w:val="en-US"/>
        </w:rPr>
        <w:t xml:space="preserve"> is</w:t>
      </w:r>
      <w:r w:rsidRPr="005D086E">
        <w:rPr>
          <w:rFonts w:ascii="Garamond" w:eastAsia="Times New Roman" w:hAnsi="Garamond" w:cs="Times New Roman"/>
          <w:sz w:val="24"/>
          <w:szCs w:val="24"/>
          <w:lang w:val="en-US"/>
        </w:rPr>
        <w:t xml:space="preserve"> that STT's </w:t>
      </w:r>
      <w:r w:rsidRPr="005D086E">
        <w:rPr>
          <w:rFonts w:ascii="Garamond" w:eastAsia="Times New Roman" w:hAnsi="Garamond" w:cs="Times New Roman"/>
          <w:sz w:val="24"/>
          <w:szCs w:val="24"/>
          <w:lang w:val="en-US"/>
        </w:rPr>
        <w:lastRenderedPageBreak/>
        <w:t>anti-trafficking influence, its public persona, and credibility are related to the performance of two distinct child-chocolate topoi</w:t>
      </w:r>
      <w:r>
        <w:rPr>
          <w:rFonts w:ascii="Garamond" w:eastAsia="Times New Roman" w:hAnsi="Garamond" w:cs="Times New Roman"/>
          <w:sz w:val="24"/>
          <w:szCs w:val="24"/>
          <w:lang w:val="en-US"/>
        </w:rPr>
        <w:t>: the first focused on childhood and chocolate production (the child producer-chocolate topos); the second centering childhood in relation to chocolate consumption (the child consumer-chocolate topos).</w:t>
      </w:r>
      <w:r w:rsidRPr="005D086E">
        <w:rPr>
          <w:rFonts w:ascii="Garamond" w:eastAsia="Times New Roman" w:hAnsi="Garamond" w:cs="Times New Roman"/>
          <w:sz w:val="24"/>
          <w:szCs w:val="24"/>
          <w:lang w:val="en-US"/>
        </w:rPr>
        <w:t xml:space="preserve"> </w:t>
      </w:r>
      <w:r w:rsidRPr="005D086E">
        <w:rPr>
          <w:rFonts w:ascii="Garamond" w:hAnsi="Garamond"/>
          <w:sz w:val="24"/>
          <w:szCs w:val="24"/>
        </w:rPr>
        <w:t>The chapter</w:t>
      </w:r>
      <w:r>
        <w:rPr>
          <w:rFonts w:ascii="Garamond" w:hAnsi="Garamond"/>
          <w:sz w:val="24"/>
          <w:szCs w:val="24"/>
        </w:rPr>
        <w:t>’s examination of these topoi</w:t>
      </w:r>
      <w:r w:rsidRPr="005D086E">
        <w:rPr>
          <w:rFonts w:ascii="Garamond" w:hAnsi="Garamond"/>
          <w:sz w:val="24"/>
          <w:szCs w:val="24"/>
        </w:rPr>
        <w:t xml:space="preserve"> </w:t>
      </w:r>
      <w:r>
        <w:rPr>
          <w:rFonts w:ascii="Garamond" w:hAnsi="Garamond"/>
          <w:sz w:val="24"/>
          <w:szCs w:val="24"/>
        </w:rPr>
        <w:t>is split into three</w:t>
      </w:r>
      <w:r w:rsidRPr="005D086E">
        <w:rPr>
          <w:rFonts w:ascii="Garamond" w:hAnsi="Garamond"/>
          <w:sz w:val="24"/>
          <w:szCs w:val="24"/>
        </w:rPr>
        <w:t xml:space="preserve"> parts. The first </w:t>
      </w:r>
      <w:r>
        <w:rPr>
          <w:rFonts w:ascii="Garamond" w:hAnsi="Garamond"/>
          <w:i/>
          <w:sz w:val="24"/>
          <w:szCs w:val="24"/>
        </w:rPr>
        <w:t>contextualiz</w:t>
      </w:r>
      <w:r w:rsidRPr="005D086E">
        <w:rPr>
          <w:rFonts w:ascii="Garamond" w:hAnsi="Garamond"/>
          <w:i/>
          <w:sz w:val="24"/>
          <w:szCs w:val="24"/>
        </w:rPr>
        <w:t xml:space="preserve">es </w:t>
      </w:r>
      <w:r w:rsidRPr="005D086E">
        <w:rPr>
          <w:rFonts w:ascii="Garamond" w:hAnsi="Garamond"/>
          <w:sz w:val="24"/>
          <w:szCs w:val="24"/>
        </w:rPr>
        <w:t xml:space="preserve">childhood, chocolate and purity </w:t>
      </w:r>
      <w:r>
        <w:rPr>
          <w:rFonts w:ascii="Garamond" w:hAnsi="Garamond"/>
          <w:sz w:val="24"/>
          <w:szCs w:val="24"/>
        </w:rPr>
        <w:t>with</w:t>
      </w:r>
      <w:r w:rsidRPr="005D086E">
        <w:rPr>
          <w:rFonts w:ascii="Garamond" w:hAnsi="Garamond"/>
          <w:sz w:val="24"/>
          <w:szCs w:val="24"/>
        </w:rPr>
        <w:t>in anti-trafficking discourse</w:t>
      </w:r>
      <w:r w:rsidRPr="005D086E">
        <w:rPr>
          <w:rFonts w:ascii="Garamond" w:hAnsi="Garamond"/>
          <w:i/>
          <w:sz w:val="24"/>
          <w:szCs w:val="24"/>
        </w:rPr>
        <w:t>,</w:t>
      </w:r>
      <w:r w:rsidRPr="005D086E">
        <w:rPr>
          <w:rFonts w:ascii="Garamond" w:hAnsi="Garamond"/>
          <w:sz w:val="24"/>
          <w:szCs w:val="24"/>
        </w:rPr>
        <w:t xml:space="preserve"> and analyses the importance of chocolate to STT. The second interrogates the multi-scalar and inter-subjective </w:t>
      </w:r>
      <w:r w:rsidRPr="005D086E">
        <w:rPr>
          <w:rFonts w:ascii="Garamond" w:hAnsi="Garamond"/>
          <w:i/>
          <w:sz w:val="24"/>
          <w:szCs w:val="24"/>
        </w:rPr>
        <w:t>deployment</w:t>
      </w:r>
      <w:r w:rsidRPr="005D086E">
        <w:rPr>
          <w:rFonts w:ascii="Garamond" w:hAnsi="Garamond"/>
          <w:sz w:val="24"/>
          <w:szCs w:val="24"/>
        </w:rPr>
        <w:t xml:space="preserve"> of STT’s child producer-chocolate topos. Here I attend to the wider racial manifestations of the topos. The third </w:t>
      </w:r>
      <w:r>
        <w:rPr>
          <w:rFonts w:ascii="Garamond" w:hAnsi="Garamond"/>
          <w:sz w:val="24"/>
          <w:szCs w:val="24"/>
        </w:rPr>
        <w:t xml:space="preserve">examines the deployment of </w:t>
      </w:r>
      <w:r w:rsidRPr="005D086E">
        <w:rPr>
          <w:rFonts w:ascii="Garamond" w:hAnsi="Garamond"/>
          <w:sz w:val="24"/>
          <w:szCs w:val="24"/>
        </w:rPr>
        <w:t>STT’s child consumer-chocolate topos</w:t>
      </w:r>
      <w:r>
        <w:rPr>
          <w:rFonts w:ascii="Garamond" w:hAnsi="Garamond"/>
          <w:sz w:val="24"/>
          <w:szCs w:val="24"/>
        </w:rPr>
        <w:t xml:space="preserve"> and </w:t>
      </w:r>
      <w:r w:rsidRPr="005D086E">
        <w:rPr>
          <w:rFonts w:ascii="Garamond" w:hAnsi="Garamond"/>
          <w:i/>
          <w:sz w:val="24"/>
          <w:szCs w:val="24"/>
        </w:rPr>
        <w:t>situates</w:t>
      </w:r>
      <w:r w:rsidRPr="005D086E">
        <w:rPr>
          <w:rFonts w:ascii="Garamond" w:hAnsi="Garamond"/>
          <w:sz w:val="24"/>
          <w:szCs w:val="24"/>
        </w:rPr>
        <w:t xml:space="preserve"> </w:t>
      </w:r>
      <w:r>
        <w:rPr>
          <w:rFonts w:ascii="Garamond" w:hAnsi="Garamond"/>
          <w:sz w:val="24"/>
          <w:szCs w:val="24"/>
        </w:rPr>
        <w:t>it, both in terms of mediatized celebrity culture and</w:t>
      </w:r>
      <w:r w:rsidRPr="005D086E">
        <w:rPr>
          <w:rFonts w:ascii="Garamond" w:hAnsi="Garamond"/>
          <w:sz w:val="24"/>
          <w:szCs w:val="24"/>
        </w:rPr>
        <w:t xml:space="preserve"> by investigating the Tunbridge Wells chocolate project of 2007</w:t>
      </w:r>
      <w:r>
        <w:rPr>
          <w:rFonts w:ascii="Garamond" w:hAnsi="Garamond"/>
          <w:sz w:val="24"/>
          <w:szCs w:val="24"/>
        </w:rPr>
        <w:t xml:space="preserve">. Overall, the chapter examines how </w:t>
      </w:r>
      <w:r w:rsidRPr="005D086E">
        <w:rPr>
          <w:rFonts w:ascii="Garamond" w:eastAsia="Times New Roman" w:hAnsi="Garamond" w:cs="Times New Roman"/>
          <w:sz w:val="24"/>
          <w:szCs w:val="24"/>
          <w:lang w:val="en-US"/>
        </w:rPr>
        <w:t>STT’s chocolate bodywork</w:t>
      </w:r>
      <w:r>
        <w:rPr>
          <w:rFonts w:ascii="Garamond" w:eastAsia="Times New Roman" w:hAnsi="Garamond" w:cs="Times New Roman"/>
          <w:sz w:val="24"/>
          <w:szCs w:val="24"/>
          <w:lang w:val="en-US"/>
        </w:rPr>
        <w:t xml:space="preserve"> materializes a</w:t>
      </w:r>
      <w:r w:rsidRPr="005D086E">
        <w:rPr>
          <w:rFonts w:ascii="Garamond" w:eastAsia="Times New Roman" w:hAnsi="Garamond" w:cs="Times New Roman"/>
          <w:sz w:val="24"/>
          <w:szCs w:val="24"/>
          <w:lang w:val="en-US"/>
        </w:rPr>
        <w:t xml:space="preserve"> nationalist abolitionist tradition and an urg</w:t>
      </w:r>
      <w:r>
        <w:rPr>
          <w:rFonts w:ascii="Garamond" w:eastAsia="Times New Roman" w:hAnsi="Garamond" w:cs="Times New Roman"/>
          <w:sz w:val="24"/>
          <w:szCs w:val="24"/>
          <w:lang w:val="en-US"/>
        </w:rPr>
        <w:t>ent teleological philosophy; how it</w:t>
      </w:r>
      <w:r w:rsidRPr="005D086E">
        <w:rPr>
          <w:rFonts w:ascii="Garamond" w:eastAsia="Times New Roman" w:hAnsi="Garamond" w:cs="Times New Roman"/>
          <w:sz w:val="24"/>
          <w:szCs w:val="24"/>
          <w:lang w:val="en-US"/>
        </w:rPr>
        <w:t xml:space="preserve"> provides instrumental signs of pro</w:t>
      </w:r>
      <w:r>
        <w:rPr>
          <w:rFonts w:ascii="Garamond" w:eastAsia="Times New Roman" w:hAnsi="Garamond" w:cs="Times New Roman"/>
          <w:sz w:val="24"/>
          <w:szCs w:val="24"/>
          <w:lang w:val="en-US"/>
        </w:rPr>
        <w:t>gress for anti-trafficking; and how it</w:t>
      </w:r>
      <w:r w:rsidRPr="005D086E">
        <w:rPr>
          <w:rFonts w:ascii="Garamond" w:eastAsia="Times New Roman" w:hAnsi="Garamond" w:cs="Times New Roman"/>
          <w:sz w:val="24"/>
          <w:szCs w:val="24"/>
          <w:lang w:val="en-US"/>
        </w:rPr>
        <w:t xml:space="preserve"> attempts to globalize a politics of responsibility for the cultural economy of the chocolate industry at</w:t>
      </w:r>
      <w:r w:rsidRPr="005D086E">
        <w:rPr>
          <w:rFonts w:ascii="Garamond" w:eastAsia="Times New Roman" w:hAnsi="Garamond" w:cs="Times New Roman"/>
          <w:i/>
          <w:sz w:val="24"/>
          <w:szCs w:val="24"/>
          <w:lang w:val="en-US"/>
        </w:rPr>
        <w:t xml:space="preserve"> </w:t>
      </w:r>
      <w:r w:rsidRPr="005D086E">
        <w:rPr>
          <w:rFonts w:ascii="Garamond" w:eastAsia="Times New Roman" w:hAnsi="Garamond" w:cs="Times New Roman"/>
          <w:sz w:val="24"/>
          <w:szCs w:val="24"/>
          <w:lang w:val="en-US"/>
        </w:rPr>
        <w:t>different stages, positions and places of th</w:t>
      </w:r>
      <w:r w:rsidR="00897670">
        <w:rPr>
          <w:rFonts w:ascii="Garamond" w:eastAsia="Times New Roman" w:hAnsi="Garamond" w:cs="Times New Roman"/>
          <w:sz w:val="24"/>
          <w:szCs w:val="24"/>
          <w:lang w:val="en-US"/>
        </w:rPr>
        <w:t>e production/consumption nexus.</w:t>
      </w:r>
    </w:p>
    <w:p w:rsidR="004A7172" w:rsidRDefault="004A7172" w:rsidP="00897670">
      <w:pPr>
        <w:spacing w:after="0" w:line="360" w:lineRule="auto"/>
        <w:jc w:val="both"/>
        <w:rPr>
          <w:rFonts w:ascii="Garamond" w:eastAsia="Times New Roman" w:hAnsi="Garamond" w:cs="Times New Roman"/>
          <w:sz w:val="24"/>
          <w:szCs w:val="24"/>
          <w:lang w:val="en-US"/>
        </w:rPr>
      </w:pP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472B3A" w:rsidP="00897670">
      <w:pPr>
        <w:pStyle w:val="Heading2"/>
        <w:rPr>
          <w:rFonts w:eastAsia="Times New Roman"/>
          <w:lang w:val="en-US"/>
        </w:rPr>
      </w:pPr>
      <w:bookmarkStart w:id="496" w:name="_Toc244508062"/>
      <w:bookmarkStart w:id="497" w:name="_Toc244535756"/>
      <w:bookmarkStart w:id="498" w:name="_Toc244578388"/>
      <w:bookmarkStart w:id="499" w:name="_Toc244578772"/>
      <w:bookmarkStart w:id="500" w:name="_Toc263452023"/>
      <w:bookmarkStart w:id="501" w:name="_Toc263510941"/>
      <w:r>
        <w:t>Contextualiz</w:t>
      </w:r>
      <w:r w:rsidRPr="000D4FFE">
        <w:t>ing Childhood, Chocolate and Purity in Anti-Trafficking Discourse</w:t>
      </w:r>
      <w:bookmarkEnd w:id="496"/>
      <w:bookmarkEnd w:id="497"/>
      <w:bookmarkEnd w:id="498"/>
      <w:bookmarkEnd w:id="499"/>
      <w:bookmarkEnd w:id="500"/>
      <w:bookmarkEnd w:id="501"/>
    </w:p>
    <w:p w:rsidR="00897670" w:rsidRDefault="00897670" w:rsidP="00897670">
      <w:pPr>
        <w:spacing w:after="0" w:line="360" w:lineRule="auto"/>
        <w:jc w:val="both"/>
        <w:rPr>
          <w:rFonts w:ascii="Garamond" w:eastAsia="Times New Roman" w:hAnsi="Garamond" w:cs="Times New Roman"/>
          <w:sz w:val="24"/>
          <w:szCs w:val="24"/>
          <w:lang w:val="en-US"/>
        </w:rPr>
      </w:pPr>
    </w:p>
    <w:p w:rsidR="004A7172" w:rsidRDefault="004A7172" w:rsidP="00897670">
      <w:pPr>
        <w:spacing w:after="0" w:line="360" w:lineRule="auto"/>
        <w:jc w:val="both"/>
        <w:rPr>
          <w:rFonts w:ascii="Garamond" w:hAnsi="Garamond" w:cs="Times New Roman"/>
          <w:b/>
          <w:i/>
          <w:szCs w:val="24"/>
        </w:rPr>
      </w:pPr>
    </w:p>
    <w:p w:rsidR="00897670" w:rsidRDefault="00472B3A" w:rsidP="00897670">
      <w:pPr>
        <w:spacing w:after="0" w:line="360" w:lineRule="auto"/>
        <w:jc w:val="both"/>
        <w:rPr>
          <w:rFonts w:ascii="Garamond" w:eastAsia="Times New Roman" w:hAnsi="Garamond" w:cs="Times New Roman"/>
          <w:sz w:val="24"/>
          <w:szCs w:val="24"/>
          <w:lang w:val="en-US"/>
        </w:rPr>
      </w:pPr>
      <w:r w:rsidRPr="003916ED">
        <w:rPr>
          <w:rFonts w:ascii="Garamond" w:hAnsi="Garamond" w:cs="Times New Roman"/>
          <w:b/>
          <w:i/>
          <w:szCs w:val="24"/>
        </w:rPr>
        <w:t>The Convergence of Childhood, Chocolate and Purity</w:t>
      </w: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472B3A" w:rsidP="00897670">
      <w:pPr>
        <w:spacing w:after="0" w:line="360" w:lineRule="auto"/>
        <w:jc w:val="both"/>
        <w:rPr>
          <w:rFonts w:ascii="Garamond" w:eastAsia="Times New Roman" w:hAnsi="Garamond" w:cs="Times New Roman"/>
          <w:sz w:val="24"/>
          <w:szCs w:val="24"/>
          <w:lang w:val="en-US"/>
        </w:rPr>
      </w:pPr>
      <w:r w:rsidRPr="005D086E">
        <w:rPr>
          <w:rFonts w:ascii="Garamond" w:hAnsi="Garamond"/>
          <w:sz w:val="24"/>
          <w:szCs w:val="24"/>
        </w:rPr>
        <w:t>The bodywork of STT’s chocolate campaigns draw</w:t>
      </w:r>
      <w:r>
        <w:rPr>
          <w:rFonts w:ascii="Garamond" w:hAnsi="Garamond"/>
          <w:sz w:val="24"/>
          <w:szCs w:val="24"/>
        </w:rPr>
        <w:t>s</w:t>
      </w:r>
      <w:r w:rsidRPr="005D086E">
        <w:rPr>
          <w:rFonts w:ascii="Garamond" w:hAnsi="Garamond"/>
          <w:sz w:val="24"/>
          <w:szCs w:val="24"/>
        </w:rPr>
        <w:t xml:space="preserve"> from material and social histories of childhood and chocolate interactions</w:t>
      </w:r>
      <w:r>
        <w:rPr>
          <w:rFonts w:ascii="Garamond" w:hAnsi="Garamond"/>
          <w:sz w:val="24"/>
          <w:szCs w:val="24"/>
        </w:rPr>
        <w:t>, and works</w:t>
      </w:r>
      <w:r w:rsidRPr="005D086E">
        <w:rPr>
          <w:rFonts w:ascii="Garamond" w:hAnsi="Garamond"/>
          <w:sz w:val="24"/>
          <w:szCs w:val="24"/>
        </w:rPr>
        <w:t xml:space="preserve"> from the ways in which purity is instrumentalized in both the chocolate industry and </w:t>
      </w:r>
      <w:r>
        <w:rPr>
          <w:rFonts w:ascii="Garamond" w:hAnsi="Garamond"/>
          <w:sz w:val="24"/>
          <w:szCs w:val="24"/>
        </w:rPr>
        <w:t xml:space="preserve">in </w:t>
      </w:r>
      <w:r w:rsidRPr="005D086E">
        <w:rPr>
          <w:rFonts w:ascii="Garamond" w:hAnsi="Garamond"/>
          <w:sz w:val="24"/>
          <w:szCs w:val="24"/>
        </w:rPr>
        <w:t>the conception of childhood. Chocolate, children and pu</w:t>
      </w:r>
      <w:r>
        <w:rPr>
          <w:rFonts w:ascii="Garamond" w:hAnsi="Garamond"/>
          <w:sz w:val="24"/>
          <w:szCs w:val="24"/>
        </w:rPr>
        <w:t>rity are certainly no strangers;</w:t>
      </w:r>
      <w:r w:rsidRPr="005D086E">
        <w:rPr>
          <w:rFonts w:ascii="Garamond" w:hAnsi="Garamond"/>
          <w:sz w:val="24"/>
          <w:szCs w:val="24"/>
        </w:rPr>
        <w:t xml:space="preserve"> </w:t>
      </w:r>
      <w:r>
        <w:rPr>
          <w:rFonts w:ascii="Garamond" w:hAnsi="Garamond"/>
          <w:sz w:val="24"/>
          <w:szCs w:val="24"/>
        </w:rPr>
        <w:t>STT mobilize these established relationships and converge them with anti-trafficking. I take a similar approach to that taken by Shove (2003) in her analysis of the commodification of private domestic space by identifying the co-evolution of different knowledge regimes and material assemblages in relation to anti-trafficking.</w:t>
      </w: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897670" w:rsidP="00897670">
      <w:pPr>
        <w:spacing w:after="0" w:line="360" w:lineRule="auto"/>
        <w:jc w:val="both"/>
        <w:rPr>
          <w:rFonts w:ascii="Garamond" w:eastAsia="Times New Roman" w:hAnsi="Garamond" w:cs="Times New Roman"/>
          <w:sz w:val="24"/>
          <w:szCs w:val="24"/>
          <w:lang w:val="en-US"/>
        </w:rPr>
      </w:pPr>
    </w:p>
    <w:p w:rsidR="00897670" w:rsidRDefault="00897670" w:rsidP="00897670">
      <w:pPr>
        <w:spacing w:after="0" w:line="360" w:lineRule="auto"/>
        <w:jc w:val="both"/>
        <w:rPr>
          <w:rFonts w:ascii="Garamond" w:eastAsia="Times New Roman" w:hAnsi="Garamond" w:cs="Times New Roman"/>
          <w:sz w:val="24"/>
          <w:szCs w:val="24"/>
          <w:lang w:val="en-US"/>
        </w:rPr>
      </w:pPr>
    </w:p>
    <w:p w:rsidR="00B935B7" w:rsidRDefault="00B935B7" w:rsidP="00B935B7">
      <w:pPr>
        <w:spacing w:after="0" w:line="360" w:lineRule="auto"/>
        <w:jc w:val="both"/>
        <w:rPr>
          <w:rFonts w:ascii="Garamond" w:hAnsi="Garamond"/>
          <w:i/>
          <w:szCs w:val="20"/>
        </w:rPr>
      </w:pPr>
      <w:r>
        <w:rPr>
          <w:rFonts w:ascii="Garamond" w:hAnsi="Garamond"/>
          <w:szCs w:val="20"/>
        </w:rPr>
        <w:t xml:space="preserve">i) </w:t>
      </w:r>
      <w:r w:rsidR="00472B3A" w:rsidRPr="00B935B7">
        <w:rPr>
          <w:rFonts w:ascii="Garamond" w:hAnsi="Garamond"/>
          <w:i/>
          <w:szCs w:val="20"/>
        </w:rPr>
        <w:t>Children and Chocolate</w:t>
      </w:r>
    </w:p>
    <w:p w:rsidR="00B935B7" w:rsidRDefault="00B935B7" w:rsidP="00B935B7">
      <w:pPr>
        <w:spacing w:after="0" w:line="360" w:lineRule="auto"/>
        <w:jc w:val="both"/>
        <w:rPr>
          <w:rFonts w:ascii="Garamond" w:hAnsi="Garamond"/>
          <w:i/>
          <w:szCs w:val="20"/>
        </w:rPr>
      </w:pPr>
    </w:p>
    <w:p w:rsidR="00B935B7" w:rsidRPr="00B935B7" w:rsidRDefault="00B935B7" w:rsidP="00B935B7">
      <w:pPr>
        <w:spacing w:after="0" w:line="360" w:lineRule="auto"/>
        <w:jc w:val="both"/>
        <w:rPr>
          <w:rFonts w:ascii="Garamond" w:hAnsi="Garamond"/>
          <w:i/>
          <w:szCs w:val="20"/>
        </w:rPr>
      </w:pPr>
      <w:r w:rsidRPr="00B935B7">
        <w:rPr>
          <w:rFonts w:ascii="Garamond" w:hAnsi="Garamond"/>
          <w:sz w:val="24"/>
          <w:szCs w:val="24"/>
        </w:rPr>
        <w:t xml:space="preserve">Children have been used to harvest the beans of the </w:t>
      </w:r>
      <w:r w:rsidRPr="00B935B7">
        <w:rPr>
          <w:rStyle w:val="addmd"/>
          <w:rFonts w:ascii="Garamond" w:hAnsi="Garamond" w:cs="Times New Roman"/>
          <w:i/>
          <w:sz w:val="24"/>
          <w:szCs w:val="24"/>
        </w:rPr>
        <w:t>cacao</w:t>
      </w:r>
      <w:r w:rsidRPr="00B935B7">
        <w:rPr>
          <w:rStyle w:val="addmd"/>
          <w:rFonts w:ascii="Garamond" w:hAnsi="Garamond" w:cs="Times New Roman"/>
          <w:sz w:val="24"/>
          <w:szCs w:val="24"/>
        </w:rPr>
        <w:t xml:space="preserve"> </w:t>
      </w:r>
      <w:r w:rsidRPr="00B935B7">
        <w:rPr>
          <w:rStyle w:val="addmd"/>
          <w:rFonts w:ascii="Garamond" w:hAnsi="Garamond" w:cs="Times New Roman"/>
          <w:i/>
          <w:sz w:val="24"/>
          <w:szCs w:val="24"/>
        </w:rPr>
        <w:t>theobroma</w:t>
      </w:r>
      <w:r w:rsidRPr="00B935B7">
        <w:rPr>
          <w:rStyle w:val="addmd"/>
          <w:rFonts w:ascii="Garamond" w:hAnsi="Garamond" w:cs="Times New Roman"/>
          <w:sz w:val="24"/>
          <w:szCs w:val="24"/>
        </w:rPr>
        <w:t xml:space="preserve"> tree (Latin </w:t>
      </w:r>
      <w:r w:rsidRPr="00B935B7">
        <w:rPr>
          <w:rStyle w:val="addmd"/>
          <w:rFonts w:ascii="Garamond" w:hAnsi="Garamond" w:cs="Times New Roman"/>
          <w:i/>
          <w:sz w:val="24"/>
          <w:szCs w:val="24"/>
        </w:rPr>
        <w:t>food of the Gods</w:t>
      </w:r>
      <w:r w:rsidRPr="00B935B7">
        <w:rPr>
          <w:rStyle w:val="addmd"/>
          <w:rFonts w:ascii="Garamond" w:hAnsi="Garamond"/>
          <w:sz w:val="24"/>
          <w:szCs w:val="24"/>
        </w:rPr>
        <w:t>)</w:t>
      </w:r>
      <w:r w:rsidRPr="00B935B7">
        <w:rPr>
          <w:rFonts w:ascii="Garamond" w:hAnsi="Garamond"/>
          <w:sz w:val="24"/>
          <w:szCs w:val="24"/>
        </w:rPr>
        <w:t xml:space="preserve"> since it became a low-key plantation crop in the Caribbean in the latter stages of the seventeenth century (Clarence-Smith, 2000) and a small-holding crop in West Africa at the end of the nineteenth century (Satre, 2005; Grant, 2005; Robertson, 2009). Children also remain amongst chocolate’s most enthusiastic and prolific consumers. </w:t>
      </w:r>
      <w:r w:rsidR="00286723">
        <w:rPr>
          <w:rFonts w:ascii="Garamond" w:hAnsi="Garamond"/>
          <w:sz w:val="24"/>
          <w:szCs w:val="24"/>
        </w:rPr>
        <w:t>Consequentially</w:t>
      </w:r>
      <w:r w:rsidRPr="00B935B7">
        <w:rPr>
          <w:rFonts w:ascii="Garamond" w:hAnsi="Garamond"/>
          <w:sz w:val="24"/>
          <w:szCs w:val="24"/>
        </w:rPr>
        <w:t xml:space="preserve">, the child has been a treasured form of embodied communication for both chocolate manufacturers and antislavery movements. In the West, chocolate is frequently used by parents to reward good behaviour in children, and chocolate craving among children is the subject of psychological and medical studies (Cartwright </w:t>
      </w:r>
      <w:r w:rsidR="00F152DB">
        <w:rPr>
          <w:rFonts w:ascii="Garamond" w:hAnsi="Garamond"/>
          <w:sz w:val="24"/>
          <w:szCs w:val="24"/>
        </w:rPr>
        <w:t>and</w:t>
      </w:r>
      <w:r w:rsidRPr="00B935B7">
        <w:rPr>
          <w:rFonts w:ascii="Garamond" w:hAnsi="Garamond"/>
          <w:sz w:val="24"/>
          <w:szCs w:val="24"/>
        </w:rPr>
        <w:t xml:space="preserve"> Stritzke, 2008). The development of Western anti-trafficking discourse has largely centred around women and children (Munro, 2008; Kempadoo, 2005; Lawrance 2010a; Quirk, 2010). While campaigns to assist trafficked women are mainly focused on the sex and domestic labour industries, narratives and exposés of trafficked children often reveal their exploitation on the chocolate farms of the Côte D’Ivoire or Ghana, or in the globally ubiquitous ‘sweatshops’ of the textile and cotton industries (Bales, 1999; Bender, 2005; Off, 2008; Skinner, 2008). Witness reports of child slavery, and the production of child images and narratives, have defined consumer boycotts and advocacy campaigns from the anti-saccharite movement to the contemporary ‘neo abolitionist’ movement (Lawrance, 2010a). They were specifically linked to cocoa production in Henry Nevinson’s exposé in 1905-6 of Portuguese slavery on the West African Islands of Sao Tome and Principe.</w:t>
      </w:r>
    </w:p>
    <w:p w:rsidR="00472B3A" w:rsidRPr="00B935B7" w:rsidRDefault="00472B3A" w:rsidP="00B935B7">
      <w:pPr>
        <w:pStyle w:val="ListParagraph"/>
        <w:spacing w:after="0" w:line="360" w:lineRule="auto"/>
        <w:ind w:left="1080"/>
        <w:jc w:val="both"/>
        <w:rPr>
          <w:rFonts w:ascii="Garamond" w:hAnsi="Garamond"/>
          <w:i/>
          <w:szCs w:val="20"/>
        </w:rPr>
      </w:pPr>
    </w:p>
    <w:p w:rsidR="00B935B7" w:rsidRDefault="00472B3A" w:rsidP="00472B3A">
      <w:pPr>
        <w:spacing w:line="360" w:lineRule="auto"/>
        <w:jc w:val="center"/>
        <w:rPr>
          <w:rFonts w:ascii="Garamond" w:hAnsi="Garamond"/>
          <w:sz w:val="24"/>
          <w:szCs w:val="24"/>
        </w:rPr>
      </w:pPr>
      <w:r>
        <w:rPr>
          <w:noProof/>
          <w:lang w:eastAsia="en-GB"/>
        </w:rPr>
        <w:lastRenderedPageBreak/>
        <w:drawing>
          <wp:inline distT="0" distB="0" distL="0" distR="0">
            <wp:extent cx="1928184" cy="2788073"/>
            <wp:effectExtent l="76200" t="50800" r="103816" b="82127"/>
            <wp:docPr id="5" name="Picture 11" descr="Advertisement (with thanks @ Vintage 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dvertisement (with thanks @ Vintage Ads)"/>
                    <pic:cNvPicPr>
                      <a:picLocks noChangeAspect="1" noChangeArrowheads="1"/>
                    </pic:cNvPicPr>
                  </pic:nvPicPr>
                  <pic:blipFill>
                    <a:blip r:embed="rId64" cstate="print"/>
                    <a:srcRect/>
                    <a:stretch>
                      <a:fillRect/>
                    </a:stretch>
                  </pic:blipFill>
                  <pic:spPr bwMode="auto">
                    <a:xfrm>
                      <a:off x="0" y="0"/>
                      <a:ext cx="1928249" cy="27881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n-GB"/>
        </w:rPr>
        <w:drawing>
          <wp:inline distT="0" distB="0" distL="0" distR="0">
            <wp:extent cx="1824567" cy="2716755"/>
            <wp:effectExtent l="127000" t="76200" r="156633" b="102645"/>
            <wp:docPr id="6" name="Picture 3" descr="Cadbury's Milk 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dbury's Milk Chocolate"/>
                    <pic:cNvPicPr>
                      <a:picLocks noChangeAspect="1" noChangeArrowheads="1"/>
                    </pic:cNvPicPr>
                  </pic:nvPicPr>
                  <pic:blipFill>
                    <a:blip r:embed="rId65" cstate="print"/>
                    <a:srcRect/>
                    <a:stretch>
                      <a:fillRect/>
                    </a:stretch>
                  </pic:blipFill>
                  <pic:spPr bwMode="auto">
                    <a:xfrm>
                      <a:off x="0" y="0"/>
                      <a:ext cx="1824850" cy="2717176"/>
                    </a:xfrm>
                    <a:prstGeom prst="rect">
                      <a:avLst/>
                    </a:prstGeom>
                    <a:ln w="69850" cap="sq">
                      <a:solidFill>
                        <a:srgbClr val="000000">
                          <a:alpha val="49000"/>
                        </a:srgbClr>
                      </a:solidFill>
                      <a:prstDash val="solid"/>
                      <a:miter lim="800000"/>
                    </a:ln>
                    <a:effectLst>
                      <a:outerShdw blurRad="50800" dist="38100" dir="2700000" algn="tl" rotWithShape="0">
                        <a:srgbClr val="000000">
                          <a:alpha val="43000"/>
                        </a:srgbClr>
                      </a:outerShdw>
                    </a:effectLst>
                  </pic:spPr>
                </pic:pic>
              </a:graphicData>
            </a:graphic>
          </wp:inline>
        </w:drawing>
      </w:r>
    </w:p>
    <w:p w:rsidR="00472B3A" w:rsidRDefault="00472B3A" w:rsidP="00472B3A">
      <w:pPr>
        <w:spacing w:line="360" w:lineRule="auto"/>
        <w:jc w:val="center"/>
        <w:rPr>
          <w:rFonts w:ascii="Garamond" w:hAnsi="Garamond"/>
          <w:sz w:val="24"/>
          <w:szCs w:val="24"/>
        </w:rPr>
      </w:pPr>
      <w:r>
        <w:rPr>
          <w:noProof/>
          <w:lang w:eastAsia="en-GB"/>
        </w:rPr>
        <w:drawing>
          <wp:inline distT="0" distB="0" distL="0" distR="0">
            <wp:extent cx="2652294" cy="4072013"/>
            <wp:effectExtent l="25400" t="0" r="0" b="0"/>
            <wp:docPr id="7" name="Picture 6" descr="http://media-cache-ec0.pinimg.com/736x/72/48/98/7248987011f5a92fea0426debabe6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ia-cache-ec0.pinimg.com/736x/72/48/98/7248987011f5a92fea0426debabe6f06.jpg"/>
                    <pic:cNvPicPr>
                      <a:picLocks noChangeAspect="1" noChangeArrowheads="1"/>
                    </pic:cNvPicPr>
                  </pic:nvPicPr>
                  <pic:blipFill>
                    <a:blip r:embed="rId66" cstate="print"/>
                    <a:srcRect/>
                    <a:stretch>
                      <a:fillRect/>
                    </a:stretch>
                  </pic:blipFill>
                  <pic:spPr bwMode="auto">
                    <a:xfrm>
                      <a:off x="0" y="0"/>
                      <a:ext cx="2670908" cy="4100591"/>
                    </a:xfrm>
                    <a:prstGeom prst="rect">
                      <a:avLst/>
                    </a:prstGeom>
                    <a:noFill/>
                    <a:ln w="9525">
                      <a:noFill/>
                      <a:miter lim="800000"/>
                      <a:headEnd/>
                      <a:tailEnd/>
                    </a:ln>
                  </pic:spPr>
                </pic:pic>
              </a:graphicData>
            </a:graphic>
          </wp:inline>
        </w:drawing>
      </w:r>
    </w:p>
    <w:p w:rsidR="00504CFD" w:rsidRDefault="007A00C8" w:rsidP="00504CFD">
      <w:pPr>
        <w:pStyle w:val="Caption"/>
        <w:ind w:left="851" w:right="1212"/>
        <w:rPr>
          <w:rFonts w:ascii="Perpetua" w:hAnsi="Perpetua"/>
          <w:b w:val="0"/>
          <w:color w:val="auto"/>
          <w:sz w:val="20"/>
        </w:rPr>
      </w:pPr>
      <w:bookmarkStart w:id="502" w:name="_Toc263509035"/>
      <w:bookmarkStart w:id="503" w:name="_Toc263510822"/>
      <w:bookmarkStart w:id="504" w:name="_Toc244508238"/>
      <w:bookmarkStart w:id="505" w:name="_Toc244577300"/>
      <w:bookmarkStart w:id="506" w:name="_Toc263495769"/>
      <w:r w:rsidRPr="007A00C8">
        <w:rPr>
          <w:rFonts w:ascii="Perpetua" w:hAnsi="Perpetua"/>
          <w:b w:val="0"/>
          <w:color w:val="auto"/>
          <w:sz w:val="20"/>
        </w:rPr>
        <w:t xml:space="preserve">Figure </w:t>
      </w:r>
      <w:r w:rsidR="00DF2DF8" w:rsidRPr="007A00C8">
        <w:rPr>
          <w:rFonts w:ascii="Perpetua" w:hAnsi="Perpetua"/>
          <w:b w:val="0"/>
          <w:color w:val="auto"/>
          <w:sz w:val="20"/>
        </w:rPr>
        <w:fldChar w:fldCharType="begin"/>
      </w:r>
      <w:r w:rsidRPr="007A00C8">
        <w:rPr>
          <w:rFonts w:ascii="Perpetua" w:hAnsi="Perpetua"/>
          <w:b w:val="0"/>
          <w:color w:val="auto"/>
          <w:sz w:val="20"/>
        </w:rPr>
        <w:instrText xml:space="preserve"> SEQ Figure \* ARABIC </w:instrText>
      </w:r>
      <w:r w:rsidR="00DF2DF8" w:rsidRPr="007A00C8">
        <w:rPr>
          <w:rFonts w:ascii="Perpetua" w:hAnsi="Perpetua"/>
          <w:b w:val="0"/>
          <w:color w:val="auto"/>
          <w:sz w:val="20"/>
        </w:rPr>
        <w:fldChar w:fldCharType="separate"/>
      </w:r>
      <w:r w:rsidR="002B3E92">
        <w:rPr>
          <w:rFonts w:ascii="Perpetua" w:hAnsi="Perpetua"/>
          <w:b w:val="0"/>
          <w:noProof/>
          <w:color w:val="auto"/>
          <w:sz w:val="20"/>
        </w:rPr>
        <w:t>38</w:t>
      </w:r>
      <w:r w:rsidR="00DF2DF8" w:rsidRPr="007A00C8">
        <w:rPr>
          <w:rFonts w:ascii="Perpetua" w:hAnsi="Perpetua"/>
          <w:b w:val="0"/>
          <w:color w:val="auto"/>
          <w:sz w:val="20"/>
        </w:rPr>
        <w:fldChar w:fldCharType="end"/>
      </w:r>
      <w:r w:rsidRPr="007A00C8">
        <w:rPr>
          <w:rFonts w:ascii="Perpetua" w:hAnsi="Perpetua"/>
          <w:b w:val="0"/>
          <w:color w:val="auto"/>
          <w:sz w:val="20"/>
        </w:rPr>
        <w:t>: Children in chocolate advertisement posters from the 1880s (UK), 1920s (UK) and 1950s (USA).</w:t>
      </w:r>
      <w:bookmarkEnd w:id="502"/>
      <w:bookmarkEnd w:id="503"/>
      <w:r w:rsidR="00472B3A" w:rsidRPr="00897670">
        <w:rPr>
          <w:rFonts w:ascii="Perpetua" w:hAnsi="Perpetua"/>
          <w:b w:val="0"/>
          <w:color w:val="auto"/>
          <w:sz w:val="20"/>
        </w:rPr>
        <w:t xml:space="preserve"> </w:t>
      </w:r>
    </w:p>
    <w:p w:rsidR="00472B3A" w:rsidRPr="00504CFD" w:rsidRDefault="00472B3A" w:rsidP="00504CFD">
      <w:pPr>
        <w:ind w:left="851" w:right="1212"/>
        <w:rPr>
          <w:rFonts w:ascii="Perpetua" w:hAnsi="Perpetua"/>
          <w:sz w:val="20"/>
        </w:rPr>
      </w:pPr>
      <w:r w:rsidRPr="00504CFD">
        <w:rPr>
          <w:rFonts w:ascii="Perpetua" w:hAnsi="Perpetua"/>
          <w:sz w:val="20"/>
        </w:rPr>
        <w:t>Children are used to convey messages of purity/innocence, servitude, 'naturalness', nationalist consumption, and chocolate consumption as 'good' parenting ("are you there? I want Cadbury's").</w:t>
      </w:r>
      <w:r w:rsidR="00897670" w:rsidRPr="00504CFD">
        <w:rPr>
          <w:rFonts w:ascii="Perpetua" w:hAnsi="Perpetua"/>
          <w:sz w:val="20"/>
        </w:rPr>
        <w:t xml:space="preserve"> </w:t>
      </w:r>
      <w:r w:rsidR="00E469FF" w:rsidRPr="00504CFD">
        <w:rPr>
          <w:rFonts w:ascii="Perpetua" w:hAnsi="Perpetua"/>
          <w:sz w:val="20"/>
        </w:rPr>
        <w:t xml:space="preserve">First image available at: http://www.vintageadbrowser.com/search?q=chocolate&amp;page=2. (Accessed 21 August 2013).  </w:t>
      </w:r>
      <w:r w:rsidR="00897670" w:rsidRPr="00504CFD">
        <w:rPr>
          <w:rFonts w:ascii="Perpetua" w:hAnsi="Perpetua"/>
          <w:sz w:val="20"/>
        </w:rPr>
        <w:t>Second</w:t>
      </w:r>
      <w:r w:rsidR="00E469FF" w:rsidRPr="00504CFD">
        <w:rPr>
          <w:rFonts w:ascii="Perpetua" w:hAnsi="Perpetua"/>
          <w:sz w:val="20"/>
        </w:rPr>
        <w:t xml:space="preserve"> and third images courtesy of 'Coffee and Chocolate A</w:t>
      </w:r>
      <w:r w:rsidR="00897670" w:rsidRPr="00504CFD">
        <w:rPr>
          <w:rFonts w:ascii="Perpetua" w:hAnsi="Perpetua"/>
          <w:sz w:val="20"/>
        </w:rPr>
        <w:t xml:space="preserve">rt' blog by Art Sammys. Available at: http://www.pinterest.com/artsammyss/. </w:t>
      </w:r>
      <w:r w:rsidR="00E469FF" w:rsidRPr="00504CFD">
        <w:rPr>
          <w:rFonts w:ascii="Perpetua" w:hAnsi="Perpetua"/>
          <w:sz w:val="20"/>
        </w:rPr>
        <w:t>(Accessed 13 September 2013).</w:t>
      </w:r>
      <w:bookmarkEnd w:id="504"/>
      <w:bookmarkEnd w:id="505"/>
      <w:bookmarkEnd w:id="506"/>
      <w:r w:rsidR="00897670" w:rsidRPr="00504CFD">
        <w:rPr>
          <w:rFonts w:ascii="Perpetua" w:hAnsi="Perpetua"/>
          <w:sz w:val="20"/>
        </w:rPr>
        <w:t xml:space="preserve"> </w:t>
      </w:r>
    </w:p>
    <w:p w:rsidR="00897670" w:rsidRDefault="00897670" w:rsidP="00897670">
      <w:pPr>
        <w:spacing w:after="0" w:line="360" w:lineRule="auto"/>
        <w:jc w:val="both"/>
        <w:rPr>
          <w:rFonts w:ascii="Garamond" w:hAnsi="Garamond"/>
          <w:sz w:val="24"/>
          <w:szCs w:val="24"/>
        </w:rPr>
      </w:pPr>
    </w:p>
    <w:p w:rsidR="00897670" w:rsidRDefault="00472B3A" w:rsidP="00897670">
      <w:pPr>
        <w:spacing w:after="0" w:line="360" w:lineRule="auto"/>
        <w:jc w:val="both"/>
        <w:rPr>
          <w:rFonts w:ascii="Garamond" w:hAnsi="Garamond"/>
          <w:sz w:val="24"/>
          <w:szCs w:val="24"/>
        </w:rPr>
      </w:pPr>
      <w:r>
        <w:rPr>
          <w:rFonts w:ascii="Garamond" w:hAnsi="Garamond"/>
          <w:i/>
          <w:szCs w:val="20"/>
        </w:rPr>
        <w:t xml:space="preserve">ii) </w:t>
      </w:r>
      <w:r w:rsidRPr="003916ED">
        <w:rPr>
          <w:rFonts w:ascii="Garamond" w:hAnsi="Garamond"/>
          <w:i/>
          <w:szCs w:val="20"/>
        </w:rPr>
        <w:t>Purity and Chocolate</w:t>
      </w:r>
    </w:p>
    <w:p w:rsidR="00897670" w:rsidRDefault="00897670" w:rsidP="00897670">
      <w:pPr>
        <w:spacing w:after="0" w:line="360" w:lineRule="auto"/>
        <w:jc w:val="both"/>
        <w:rPr>
          <w:rFonts w:ascii="Garamond" w:hAnsi="Garamond"/>
          <w:sz w:val="24"/>
          <w:szCs w:val="24"/>
        </w:rPr>
      </w:pPr>
    </w:p>
    <w:p w:rsidR="00E469FF" w:rsidRDefault="00472B3A" w:rsidP="00E469FF">
      <w:pPr>
        <w:spacing w:after="0" w:line="360" w:lineRule="auto"/>
        <w:jc w:val="both"/>
        <w:rPr>
          <w:rFonts w:ascii="Garamond" w:hAnsi="Garamond"/>
          <w:sz w:val="24"/>
          <w:szCs w:val="24"/>
        </w:rPr>
      </w:pPr>
      <w:r w:rsidRPr="005D086E">
        <w:rPr>
          <w:rFonts w:ascii="Garamond" w:hAnsi="Garamond"/>
          <w:sz w:val="24"/>
          <w:szCs w:val="24"/>
        </w:rPr>
        <w:t>Purity has a culturally significant Judeo-Christian lineage of suturing sacredness with cleanliness and discourses of hygiene (Douglas, 1960). Purity implies an absence of dirt, or matter out of place (ibid, 1960; Sibley, 1995), and is tied to a series of Cartesian dualisms, particularly mind/body and rationality/nature. The purity of the body is the subject of Kristeva’s (1984) theory of abjection</w:t>
      </w:r>
      <w:r>
        <w:rPr>
          <w:rFonts w:ascii="Garamond" w:hAnsi="Garamond"/>
          <w:sz w:val="24"/>
          <w:szCs w:val="24"/>
        </w:rPr>
        <w:t>,</w:t>
      </w:r>
      <w:r w:rsidRPr="005D086E">
        <w:rPr>
          <w:rFonts w:ascii="Garamond" w:hAnsi="Garamond"/>
          <w:sz w:val="24"/>
          <w:szCs w:val="24"/>
        </w:rPr>
        <w:t xml:space="preserve"> where the boundary between the pure self and the contaminated other is continuously tested by encounters with sticky, leaking, liminal and viscous for</w:t>
      </w:r>
      <w:r>
        <w:rPr>
          <w:rFonts w:ascii="Garamond" w:hAnsi="Garamond"/>
          <w:sz w:val="24"/>
          <w:szCs w:val="24"/>
        </w:rPr>
        <w:t>ms (Grosz, 1994; Longhurst, 2000</w:t>
      </w:r>
      <w:r w:rsidRPr="005D086E">
        <w:rPr>
          <w:rFonts w:ascii="Garamond" w:hAnsi="Garamond"/>
          <w:sz w:val="24"/>
          <w:szCs w:val="24"/>
        </w:rPr>
        <w:t xml:space="preserve">), forms which prompt corporeal adjustments in appetite, pleasure and disgust (Kristeva, 1984; Bell </w:t>
      </w:r>
      <w:r w:rsidR="00F152DB">
        <w:rPr>
          <w:rFonts w:ascii="Garamond" w:hAnsi="Garamond"/>
          <w:sz w:val="24"/>
          <w:szCs w:val="24"/>
        </w:rPr>
        <w:t>and</w:t>
      </w:r>
      <w:r w:rsidRPr="005D086E">
        <w:rPr>
          <w:rFonts w:ascii="Garamond" w:hAnsi="Garamond"/>
          <w:sz w:val="24"/>
          <w:szCs w:val="24"/>
        </w:rPr>
        <w:t xml:space="preserve"> Valentine, 1997; Lupton 1997; Probyn, 2000). To avoid threats of visceral contamination, global food manufacturers make critical assessments, and spend substantial budgets, on their production processes and marketing campaigns to impress the purity of their product on consumers</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T</w:t>
      </w:r>
      <w:r w:rsidRPr="005D086E">
        <w:rPr>
          <w:rFonts w:ascii="Garamond" w:hAnsi="Garamond"/>
          <w:sz w:val="24"/>
          <w:szCs w:val="24"/>
        </w:rPr>
        <w:t>his is particularly important with chocolate</w:t>
      </w:r>
      <w:r>
        <w:rPr>
          <w:rFonts w:ascii="Garamond" w:hAnsi="Garamond"/>
          <w:sz w:val="24"/>
          <w:szCs w:val="24"/>
        </w:rPr>
        <w:t>,</w:t>
      </w:r>
      <w:r w:rsidRPr="005D086E">
        <w:rPr>
          <w:rFonts w:ascii="Garamond" w:hAnsi="Garamond"/>
          <w:sz w:val="24"/>
          <w:szCs w:val="24"/>
        </w:rPr>
        <w:t xml:space="preserve"> where the ‘double disconnect’</w:t>
      </w:r>
      <w:r>
        <w:rPr>
          <w:rFonts w:ascii="Garamond" w:hAnsi="Garamond"/>
          <w:sz w:val="24"/>
          <w:szCs w:val="24"/>
        </w:rPr>
        <w:t xml:space="preserve"> </w:t>
      </w:r>
      <w:r w:rsidRPr="005D086E">
        <w:rPr>
          <w:rFonts w:ascii="Garamond" w:hAnsi="Garamond"/>
          <w:sz w:val="24"/>
          <w:szCs w:val="24"/>
        </w:rPr>
        <w:t>in the chocolate industry means that farmers of cocoa rarely eat the product of their labour, and consumers have very little ability to trace the origins of their chocolate back to regions or far</w:t>
      </w:r>
      <w:r>
        <w:rPr>
          <w:rFonts w:ascii="Garamond" w:hAnsi="Garamond"/>
          <w:sz w:val="24"/>
          <w:szCs w:val="24"/>
        </w:rPr>
        <w:t>ms (Cidell et al. 2006</w:t>
      </w:r>
      <w:r w:rsidRPr="005D086E">
        <w:rPr>
          <w:rFonts w:ascii="Garamond" w:hAnsi="Garamond"/>
          <w:sz w:val="24"/>
          <w:szCs w:val="24"/>
        </w:rPr>
        <w:t>)</w:t>
      </w:r>
      <w:r>
        <w:rPr>
          <w:rFonts w:ascii="Garamond" w:hAnsi="Garamond"/>
          <w:sz w:val="24"/>
          <w:szCs w:val="24"/>
        </w:rPr>
        <w:t>.</w:t>
      </w:r>
      <w:r w:rsidRPr="005D086E">
        <w:rPr>
          <w:rStyle w:val="FootnoteReference"/>
          <w:rFonts w:ascii="Garamond" w:hAnsi="Garamond"/>
          <w:sz w:val="24"/>
          <w:szCs w:val="24"/>
        </w:rPr>
        <w:footnoteReference w:id="98"/>
      </w:r>
    </w:p>
    <w:p w:rsidR="00E469FF" w:rsidRDefault="00E469FF" w:rsidP="00E469FF">
      <w:pPr>
        <w:spacing w:after="0" w:line="360" w:lineRule="auto"/>
        <w:jc w:val="both"/>
        <w:rPr>
          <w:rFonts w:ascii="Garamond" w:hAnsi="Garamond"/>
          <w:sz w:val="24"/>
          <w:szCs w:val="24"/>
        </w:rPr>
      </w:pPr>
    </w:p>
    <w:p w:rsidR="00943FE2" w:rsidRDefault="00472B3A" w:rsidP="00E469FF">
      <w:pPr>
        <w:spacing w:after="0" w:line="360" w:lineRule="auto"/>
        <w:jc w:val="both"/>
        <w:rPr>
          <w:rFonts w:ascii="Garamond" w:hAnsi="Garamond"/>
          <w:sz w:val="24"/>
          <w:szCs w:val="24"/>
        </w:rPr>
      </w:pPr>
      <w:r w:rsidRPr="005D086E">
        <w:rPr>
          <w:rFonts w:ascii="Garamond" w:hAnsi="Garamond"/>
          <w:sz w:val="24"/>
          <w:szCs w:val="24"/>
        </w:rPr>
        <w:t>Purity intersects the production and cons</w:t>
      </w:r>
      <w:r>
        <w:rPr>
          <w:rFonts w:ascii="Garamond" w:hAnsi="Garamond"/>
          <w:sz w:val="24"/>
          <w:szCs w:val="24"/>
        </w:rPr>
        <w:t>umption of chocolate across five</w:t>
      </w:r>
      <w:r w:rsidRPr="005D086E">
        <w:rPr>
          <w:rFonts w:ascii="Garamond" w:hAnsi="Garamond"/>
          <w:sz w:val="24"/>
          <w:szCs w:val="24"/>
        </w:rPr>
        <w:t xml:space="preserve"> overlapping registers</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 xml:space="preserve">In terms of </w:t>
      </w:r>
      <w:r w:rsidRPr="005D086E">
        <w:rPr>
          <w:rFonts w:ascii="Garamond" w:hAnsi="Garamond"/>
          <w:i/>
          <w:sz w:val="24"/>
          <w:szCs w:val="24"/>
        </w:rPr>
        <w:t>instrumental quality</w:t>
      </w:r>
      <w:r w:rsidRPr="005D086E">
        <w:rPr>
          <w:rFonts w:ascii="Garamond" w:hAnsi="Garamond"/>
          <w:sz w:val="24"/>
          <w:szCs w:val="24"/>
        </w:rPr>
        <w:t>, purity is used as an industry measurement of the cocoa percentage of a chocolate bar, or of the textural smoothness and regularity of the conched</w:t>
      </w:r>
      <w:r w:rsidRPr="005D086E">
        <w:rPr>
          <w:rStyle w:val="FootnoteReference"/>
          <w:rFonts w:ascii="Garamond" w:hAnsi="Garamond"/>
          <w:sz w:val="24"/>
          <w:szCs w:val="24"/>
        </w:rPr>
        <w:footnoteReference w:id="99"/>
      </w:r>
      <w:r w:rsidRPr="005D086E">
        <w:rPr>
          <w:rFonts w:ascii="Garamond" w:hAnsi="Garamond"/>
          <w:sz w:val="24"/>
          <w:szCs w:val="24"/>
        </w:rPr>
        <w:t xml:space="preserve"> product (Afoakwa, 2010)</w:t>
      </w:r>
      <w:r>
        <w:rPr>
          <w:rFonts w:ascii="Garamond" w:hAnsi="Garamond"/>
          <w:sz w:val="24"/>
          <w:szCs w:val="24"/>
        </w:rPr>
        <w:t>. In terms of</w:t>
      </w:r>
      <w:r w:rsidRPr="005D086E">
        <w:rPr>
          <w:rFonts w:ascii="Garamond" w:hAnsi="Garamond"/>
          <w:sz w:val="24"/>
          <w:szCs w:val="24"/>
        </w:rPr>
        <w:t xml:space="preserve"> </w:t>
      </w:r>
      <w:r w:rsidRPr="005D086E">
        <w:rPr>
          <w:rFonts w:ascii="Garamond" w:hAnsi="Garamond"/>
          <w:i/>
          <w:sz w:val="24"/>
          <w:szCs w:val="24"/>
        </w:rPr>
        <w:t xml:space="preserve">innocence, </w:t>
      </w:r>
      <w:r>
        <w:rPr>
          <w:rFonts w:ascii="Garamond" w:hAnsi="Garamond"/>
          <w:sz w:val="24"/>
          <w:szCs w:val="24"/>
        </w:rPr>
        <w:t xml:space="preserve">purity takes on an ethical meaning. For example, </w:t>
      </w:r>
      <w:r w:rsidRPr="005D086E">
        <w:rPr>
          <w:rFonts w:ascii="Garamond" w:hAnsi="Garamond"/>
          <w:sz w:val="24"/>
          <w:szCs w:val="24"/>
        </w:rPr>
        <w:t>in 2010 Barry Callebout</w:t>
      </w:r>
      <w:r w:rsidRPr="005D086E">
        <w:rPr>
          <w:rStyle w:val="FootnoteReference"/>
          <w:rFonts w:ascii="Garamond" w:hAnsi="Garamond"/>
          <w:sz w:val="24"/>
          <w:szCs w:val="24"/>
        </w:rPr>
        <w:footnoteReference w:id="100"/>
      </w:r>
      <w:r w:rsidRPr="005D086E">
        <w:rPr>
          <w:rFonts w:ascii="Garamond" w:hAnsi="Garamond"/>
          <w:sz w:val="24"/>
          <w:szCs w:val="24"/>
        </w:rPr>
        <w:t xml:space="preserve"> launched i</w:t>
      </w:r>
      <w:r>
        <w:rPr>
          <w:rFonts w:ascii="Garamond" w:hAnsi="Garamond"/>
          <w:sz w:val="24"/>
          <w:szCs w:val="24"/>
        </w:rPr>
        <w:t>t</w:t>
      </w:r>
      <w:r w:rsidRPr="005D086E">
        <w:rPr>
          <w:rFonts w:ascii="Garamond" w:hAnsi="Garamond"/>
          <w:sz w:val="24"/>
          <w:szCs w:val="24"/>
        </w:rPr>
        <w:t xml:space="preserve">s ‘pure’ range of </w:t>
      </w:r>
      <w:r>
        <w:rPr>
          <w:rFonts w:ascii="Garamond" w:hAnsi="Garamond"/>
          <w:sz w:val="24"/>
          <w:szCs w:val="24"/>
        </w:rPr>
        <w:t>fair trade</w:t>
      </w:r>
      <w:r w:rsidRPr="005D086E">
        <w:rPr>
          <w:rFonts w:ascii="Garamond" w:hAnsi="Garamond"/>
          <w:sz w:val="24"/>
          <w:szCs w:val="24"/>
        </w:rPr>
        <w:t xml:space="preserve"> chocolates</w:t>
      </w:r>
      <w:r>
        <w:rPr>
          <w:rFonts w:ascii="Garamond" w:hAnsi="Garamond"/>
          <w:sz w:val="24"/>
          <w:szCs w:val="24"/>
        </w:rPr>
        <w:t>;</w:t>
      </w:r>
      <w:r w:rsidRPr="005D086E">
        <w:rPr>
          <w:rFonts w:ascii="Garamond" w:hAnsi="Garamond"/>
          <w:sz w:val="24"/>
          <w:szCs w:val="24"/>
        </w:rPr>
        <w:t xml:space="preserve"> here purity denotes eating innocently, free from the guilt of association with enslaved child labour</w:t>
      </w:r>
      <w:r>
        <w:rPr>
          <w:rFonts w:ascii="Garamond" w:hAnsi="Garamond"/>
          <w:sz w:val="24"/>
          <w:szCs w:val="24"/>
        </w:rPr>
        <w:t>. Third, in terms of</w:t>
      </w:r>
      <w:r w:rsidRPr="005D086E">
        <w:rPr>
          <w:rFonts w:ascii="Garamond" w:hAnsi="Garamond"/>
          <w:sz w:val="24"/>
          <w:szCs w:val="24"/>
        </w:rPr>
        <w:t xml:space="preserve"> </w:t>
      </w:r>
      <w:r w:rsidRPr="005D086E">
        <w:rPr>
          <w:rFonts w:ascii="Garamond" w:hAnsi="Garamond"/>
          <w:i/>
          <w:sz w:val="24"/>
          <w:szCs w:val="24"/>
        </w:rPr>
        <w:t>naturalness,</w:t>
      </w:r>
      <w:r>
        <w:rPr>
          <w:rFonts w:ascii="Garamond" w:hAnsi="Garamond"/>
          <w:sz w:val="24"/>
          <w:szCs w:val="24"/>
        </w:rPr>
        <w:t xml:space="preserve"> purity is understood as</w:t>
      </w:r>
      <w:r w:rsidRPr="005D086E">
        <w:rPr>
          <w:rFonts w:ascii="Garamond" w:hAnsi="Garamond"/>
          <w:i/>
          <w:sz w:val="24"/>
          <w:szCs w:val="24"/>
        </w:rPr>
        <w:t xml:space="preserve"> </w:t>
      </w:r>
      <w:r w:rsidRPr="005D086E">
        <w:rPr>
          <w:rFonts w:ascii="Garamond" w:hAnsi="Garamond"/>
          <w:sz w:val="24"/>
          <w:szCs w:val="24"/>
        </w:rPr>
        <w:t>the a</w:t>
      </w:r>
      <w:r>
        <w:rPr>
          <w:rFonts w:ascii="Garamond" w:hAnsi="Garamond"/>
          <w:sz w:val="24"/>
          <w:szCs w:val="24"/>
        </w:rPr>
        <w:t>bsence of pesticides or fertiliz</w:t>
      </w:r>
      <w:r w:rsidRPr="005D086E">
        <w:rPr>
          <w:rFonts w:ascii="Garamond" w:hAnsi="Garamond"/>
          <w:sz w:val="24"/>
          <w:szCs w:val="24"/>
        </w:rPr>
        <w:t>ers</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Today, o</w:t>
      </w:r>
      <w:r w:rsidRPr="005D086E">
        <w:rPr>
          <w:rFonts w:ascii="Garamond" w:hAnsi="Garamond"/>
          <w:sz w:val="24"/>
          <w:szCs w:val="24"/>
        </w:rPr>
        <w:t>rganic certification schemes mark cocoa production as ecologically pure</w:t>
      </w:r>
      <w:r>
        <w:rPr>
          <w:rFonts w:ascii="Garamond" w:hAnsi="Garamond"/>
          <w:sz w:val="24"/>
          <w:szCs w:val="24"/>
        </w:rPr>
        <w:t xml:space="preserve">; this has antecedents, as when the 'pure wholesomeness' of cocoa </w:t>
      </w:r>
      <w:r w:rsidR="008064A5">
        <w:rPr>
          <w:rFonts w:ascii="Garamond" w:hAnsi="Garamond"/>
          <w:sz w:val="24"/>
          <w:szCs w:val="24"/>
        </w:rPr>
        <w:t>was advertised in the early-twentieth</w:t>
      </w:r>
      <w:r>
        <w:rPr>
          <w:rFonts w:ascii="Garamond" w:hAnsi="Garamond"/>
          <w:sz w:val="24"/>
          <w:szCs w:val="24"/>
        </w:rPr>
        <w:t xml:space="preserve"> century as a medicine and source of nourishment. </w:t>
      </w:r>
      <w:r>
        <w:rPr>
          <w:rFonts w:ascii="Garamond" w:hAnsi="Garamond"/>
          <w:sz w:val="24"/>
          <w:szCs w:val="24"/>
        </w:rPr>
        <w:lastRenderedPageBreak/>
        <w:t xml:space="preserve">In terms of </w:t>
      </w:r>
      <w:r w:rsidRPr="00392815">
        <w:rPr>
          <w:rFonts w:ascii="Garamond" w:hAnsi="Garamond"/>
          <w:i/>
          <w:sz w:val="24"/>
          <w:szCs w:val="24"/>
        </w:rPr>
        <w:t>indulgence</w:t>
      </w:r>
      <w:r>
        <w:rPr>
          <w:rFonts w:ascii="Garamond" w:hAnsi="Garamond"/>
          <w:sz w:val="24"/>
          <w:szCs w:val="24"/>
        </w:rPr>
        <w:t xml:space="preserve">, chocolate marketed as 'purely indulgent' tends to act as a marker for luxury. Finally, purity is framed in relation to </w:t>
      </w:r>
      <w:r w:rsidRPr="005D086E">
        <w:rPr>
          <w:rFonts w:ascii="Garamond" w:hAnsi="Garamond"/>
          <w:i/>
          <w:sz w:val="24"/>
          <w:szCs w:val="24"/>
        </w:rPr>
        <w:t>darkness</w:t>
      </w:r>
      <w:r>
        <w:rPr>
          <w:rFonts w:ascii="Garamond" w:hAnsi="Garamond"/>
          <w:sz w:val="24"/>
          <w:szCs w:val="24"/>
        </w:rPr>
        <w:t>. I</w:t>
      </w:r>
      <w:r w:rsidRPr="005D086E">
        <w:rPr>
          <w:rFonts w:ascii="Garamond" w:hAnsi="Garamond"/>
          <w:sz w:val="24"/>
          <w:szCs w:val="24"/>
        </w:rPr>
        <w:t>n processing terms, purer chocolate</w:t>
      </w:r>
      <w:r>
        <w:rPr>
          <w:rFonts w:ascii="Garamond" w:hAnsi="Garamond"/>
          <w:sz w:val="24"/>
          <w:szCs w:val="24"/>
        </w:rPr>
        <w:t xml:space="preserve"> appears darker, but in advertis</w:t>
      </w:r>
      <w:r w:rsidRPr="005D086E">
        <w:rPr>
          <w:rFonts w:ascii="Garamond" w:hAnsi="Garamond"/>
          <w:sz w:val="24"/>
          <w:szCs w:val="24"/>
        </w:rPr>
        <w:t>ing campaigns in the We</w:t>
      </w:r>
      <w:r>
        <w:rPr>
          <w:rFonts w:ascii="Garamond" w:hAnsi="Garamond"/>
          <w:sz w:val="24"/>
          <w:szCs w:val="24"/>
        </w:rPr>
        <w:t>st, darker chocolate is sexualiz</w:t>
      </w:r>
      <w:r w:rsidRPr="005D086E">
        <w:rPr>
          <w:rFonts w:ascii="Garamond" w:hAnsi="Garamond"/>
          <w:sz w:val="24"/>
          <w:szCs w:val="24"/>
        </w:rPr>
        <w:t xml:space="preserve">ed (often as a signifier for </w:t>
      </w:r>
      <w:r>
        <w:rPr>
          <w:rFonts w:ascii="Garamond" w:hAnsi="Garamond"/>
          <w:sz w:val="24"/>
          <w:szCs w:val="24"/>
        </w:rPr>
        <w:t>courtship or passion), while milk or white chocolate is infantilized, and in that sense understood as purer.</w:t>
      </w:r>
      <w:r w:rsidRPr="005D086E">
        <w:rPr>
          <w:rFonts w:ascii="Garamond" w:hAnsi="Garamond"/>
          <w:sz w:val="24"/>
          <w:szCs w:val="24"/>
        </w:rPr>
        <w:t xml:space="preserve"> </w:t>
      </w:r>
    </w:p>
    <w:tbl>
      <w:tblPr>
        <w:tblStyle w:val="TableGrid"/>
        <w:tblW w:w="0" w:type="auto"/>
        <w:jc w:val="center"/>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6945"/>
      </w:tblGrid>
      <w:tr w:rsidR="00943FE2">
        <w:trPr>
          <w:trHeight w:val="8321"/>
          <w:jc w:val="center"/>
        </w:trPr>
        <w:tc>
          <w:tcPr>
            <w:tcW w:w="6945" w:type="dxa"/>
          </w:tcPr>
          <w:p w:rsidR="006C1ED4" w:rsidRDefault="006C1ED4" w:rsidP="00943FE2">
            <w:pPr>
              <w:spacing w:after="0" w:line="360" w:lineRule="auto"/>
              <w:jc w:val="center"/>
              <w:rPr>
                <w:rFonts w:ascii="Garamond" w:hAnsi="Garamond"/>
                <w:sz w:val="24"/>
                <w:szCs w:val="24"/>
              </w:rPr>
            </w:pPr>
          </w:p>
          <w:p w:rsidR="00943FE2" w:rsidRDefault="00943FE2" w:rsidP="00943FE2">
            <w:pPr>
              <w:spacing w:after="0" w:line="360" w:lineRule="auto"/>
              <w:jc w:val="center"/>
              <w:rPr>
                <w:rFonts w:ascii="Garamond" w:hAnsi="Garamond"/>
                <w:sz w:val="24"/>
                <w:szCs w:val="24"/>
              </w:rPr>
            </w:pPr>
            <w:r w:rsidRPr="00943FE2">
              <w:rPr>
                <w:rFonts w:ascii="Garamond" w:hAnsi="Garamond"/>
                <w:noProof/>
                <w:sz w:val="24"/>
                <w:szCs w:val="24"/>
                <w:lang w:eastAsia="en-GB"/>
              </w:rPr>
              <w:drawing>
                <wp:inline distT="0" distB="0" distL="0" distR="0">
                  <wp:extent cx="1251818" cy="2516717"/>
                  <wp:effectExtent l="50800" t="50800" r="43582" b="23283"/>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a:stretch>
                            <a:fillRect/>
                          </a:stretch>
                        </pic:blipFill>
                        <pic:spPr bwMode="auto">
                          <a:xfrm>
                            <a:off x="0" y="0"/>
                            <a:ext cx="1251975" cy="2517033"/>
                          </a:xfrm>
                          <a:prstGeom prst="rect">
                            <a:avLst/>
                          </a:prstGeom>
                          <a:noFill/>
                          <a:ln w="31750">
                            <a:solidFill>
                              <a:schemeClr val="tx1"/>
                            </a:solidFill>
                            <a:miter lim="800000"/>
                            <a:headEnd/>
                            <a:tailEnd/>
                          </a:ln>
                        </pic:spPr>
                      </pic:pic>
                    </a:graphicData>
                  </a:graphic>
                </wp:inline>
              </w:drawing>
            </w:r>
            <w:r w:rsidRPr="00943FE2">
              <w:rPr>
                <w:rFonts w:ascii="Garamond" w:hAnsi="Garamond"/>
                <w:noProof/>
                <w:sz w:val="24"/>
                <w:szCs w:val="24"/>
                <w:lang w:eastAsia="en-GB"/>
              </w:rPr>
              <w:drawing>
                <wp:inline distT="0" distB="0" distL="0" distR="0">
                  <wp:extent cx="2099733" cy="2638957"/>
                  <wp:effectExtent l="76200" t="25400" r="110067" b="53443"/>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2098909" cy="263792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43FE2" w:rsidRPr="00943FE2" w:rsidRDefault="00943FE2" w:rsidP="00943FE2">
            <w:pPr>
              <w:spacing w:after="0" w:line="360" w:lineRule="auto"/>
              <w:jc w:val="center"/>
              <w:rPr>
                <w:rFonts w:ascii="Garamond" w:hAnsi="Garamond"/>
                <w:sz w:val="24"/>
                <w:szCs w:val="24"/>
              </w:rPr>
            </w:pPr>
            <w:r w:rsidRPr="00943FE2">
              <w:rPr>
                <w:rFonts w:ascii="Garamond" w:hAnsi="Garamond"/>
                <w:noProof/>
                <w:sz w:val="24"/>
                <w:szCs w:val="24"/>
                <w:lang w:eastAsia="en-GB"/>
              </w:rPr>
              <w:drawing>
                <wp:inline distT="0" distB="0" distL="0" distR="0">
                  <wp:extent cx="2971420" cy="2066925"/>
                  <wp:effectExtent l="76200" t="50800" r="101980" b="66675"/>
                  <wp:docPr id="102" name="Picture 30" descr="Bringing chocolate boxes to the masses: Rowntree's advertising campaign for its Black Magic chocolates - including this 1934 poster - featured young society la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ringing chocolate boxes to the masses: Rowntree's advertising campaign for its Black Magic chocolates - including this 1934 poster - featured young society ladies"/>
                          <pic:cNvPicPr>
                            <a:picLocks noChangeAspect="1" noChangeArrowheads="1"/>
                          </pic:cNvPicPr>
                        </pic:nvPicPr>
                        <pic:blipFill>
                          <a:blip r:embed="rId69" cstate="print"/>
                          <a:srcRect/>
                          <a:stretch>
                            <a:fillRect/>
                          </a:stretch>
                        </pic:blipFill>
                        <pic:spPr bwMode="auto">
                          <a:xfrm>
                            <a:off x="0" y="0"/>
                            <a:ext cx="2975880" cy="2070027"/>
                          </a:xfrm>
                          <a:prstGeom prst="rect">
                            <a:avLst/>
                          </a:prstGeom>
                          <a:ln w="317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504CFD" w:rsidRDefault="00107CF0" w:rsidP="00504CFD">
      <w:pPr>
        <w:pStyle w:val="Caption"/>
        <w:ind w:left="1560" w:right="1354"/>
        <w:rPr>
          <w:rFonts w:ascii="Perpetua" w:hAnsi="Perpetua"/>
          <w:b w:val="0"/>
          <w:color w:val="auto"/>
          <w:sz w:val="20"/>
        </w:rPr>
      </w:pPr>
      <w:bookmarkStart w:id="507" w:name="_Toc263509036"/>
      <w:bookmarkStart w:id="508" w:name="_Toc263510823"/>
      <w:bookmarkStart w:id="509" w:name="_Toc244508239"/>
      <w:bookmarkStart w:id="510" w:name="_Toc244577301"/>
      <w:bookmarkStart w:id="511" w:name="_Toc263495770"/>
      <w:r w:rsidRPr="00107CF0">
        <w:rPr>
          <w:rFonts w:ascii="Perpetua" w:hAnsi="Perpetua"/>
          <w:b w:val="0"/>
          <w:color w:val="auto"/>
          <w:sz w:val="20"/>
        </w:rPr>
        <w:t xml:space="preserve">Figure </w:t>
      </w:r>
      <w:r w:rsidR="00DF2DF8" w:rsidRPr="00107CF0">
        <w:rPr>
          <w:rFonts w:ascii="Perpetua" w:hAnsi="Perpetua"/>
          <w:b w:val="0"/>
          <w:color w:val="auto"/>
          <w:sz w:val="20"/>
        </w:rPr>
        <w:fldChar w:fldCharType="begin"/>
      </w:r>
      <w:r w:rsidRPr="00107CF0">
        <w:rPr>
          <w:rFonts w:ascii="Perpetua" w:hAnsi="Perpetua"/>
          <w:b w:val="0"/>
          <w:color w:val="auto"/>
          <w:sz w:val="20"/>
        </w:rPr>
        <w:instrText xml:space="preserve"> SEQ Figure \* ARABIC </w:instrText>
      </w:r>
      <w:r w:rsidR="00DF2DF8" w:rsidRPr="00107CF0">
        <w:rPr>
          <w:rFonts w:ascii="Perpetua" w:hAnsi="Perpetua"/>
          <w:b w:val="0"/>
          <w:color w:val="auto"/>
          <w:sz w:val="20"/>
        </w:rPr>
        <w:fldChar w:fldCharType="separate"/>
      </w:r>
      <w:r w:rsidR="002B3E92">
        <w:rPr>
          <w:rFonts w:ascii="Perpetua" w:hAnsi="Perpetua"/>
          <w:b w:val="0"/>
          <w:noProof/>
          <w:color w:val="auto"/>
          <w:sz w:val="20"/>
        </w:rPr>
        <w:t>39</w:t>
      </w:r>
      <w:r w:rsidR="00DF2DF8" w:rsidRPr="00107CF0">
        <w:rPr>
          <w:rFonts w:ascii="Perpetua" w:hAnsi="Perpetua"/>
          <w:b w:val="0"/>
          <w:color w:val="auto"/>
          <w:sz w:val="20"/>
        </w:rPr>
        <w:fldChar w:fldCharType="end"/>
      </w:r>
      <w:r w:rsidRPr="00107CF0">
        <w:rPr>
          <w:rFonts w:ascii="Perpetua" w:hAnsi="Perpetua"/>
          <w:b w:val="0"/>
          <w:color w:val="auto"/>
          <w:sz w:val="20"/>
        </w:rPr>
        <w:t xml:space="preserve">: </w:t>
      </w:r>
      <w:r w:rsidR="00943FE2" w:rsidRPr="00107CF0">
        <w:rPr>
          <w:rFonts w:ascii="Perpetua" w:hAnsi="Perpetua"/>
          <w:b w:val="0"/>
          <w:color w:val="auto"/>
          <w:sz w:val="20"/>
        </w:rPr>
        <w:t>Pure Origin Chocolates</w:t>
      </w:r>
      <w:r w:rsidR="007A00C8" w:rsidRPr="00107CF0">
        <w:rPr>
          <w:rFonts w:ascii="Perpetua" w:hAnsi="Perpetua"/>
          <w:b w:val="0"/>
          <w:color w:val="auto"/>
          <w:sz w:val="20"/>
        </w:rPr>
        <w:t xml:space="preserve"> (</w:t>
      </w:r>
      <w:r w:rsidR="007A00C8" w:rsidRPr="00504CFD">
        <w:rPr>
          <w:rFonts w:ascii="Perpetua" w:hAnsi="Perpetua"/>
          <w:b w:val="0"/>
          <w:i/>
          <w:color w:val="auto"/>
          <w:sz w:val="20"/>
        </w:rPr>
        <w:t>top left</w:t>
      </w:r>
      <w:r w:rsidR="007A00C8" w:rsidRPr="00107CF0">
        <w:rPr>
          <w:rFonts w:ascii="Perpetua" w:hAnsi="Perpetua"/>
          <w:b w:val="0"/>
          <w:color w:val="auto"/>
          <w:sz w:val="20"/>
        </w:rPr>
        <w:t>)</w:t>
      </w:r>
      <w:r w:rsidR="00943FE2" w:rsidRPr="00107CF0">
        <w:rPr>
          <w:rFonts w:ascii="Perpetua" w:hAnsi="Perpetua"/>
          <w:b w:val="0"/>
          <w:color w:val="auto"/>
          <w:sz w:val="20"/>
        </w:rPr>
        <w:t>; 'Pure Cocoa' Cadburys advert from an 1884 medical journal</w:t>
      </w:r>
      <w:r w:rsidR="007A00C8" w:rsidRPr="00107CF0">
        <w:rPr>
          <w:rFonts w:ascii="Perpetua" w:hAnsi="Perpetua"/>
          <w:b w:val="0"/>
          <w:color w:val="auto"/>
          <w:sz w:val="20"/>
        </w:rPr>
        <w:t xml:space="preserve"> (</w:t>
      </w:r>
      <w:r w:rsidR="007A00C8" w:rsidRPr="00504CFD">
        <w:rPr>
          <w:rFonts w:ascii="Perpetua" w:hAnsi="Perpetua"/>
          <w:b w:val="0"/>
          <w:i/>
          <w:color w:val="auto"/>
          <w:sz w:val="20"/>
        </w:rPr>
        <w:t>top right</w:t>
      </w:r>
      <w:r w:rsidR="007A00C8" w:rsidRPr="00107CF0">
        <w:rPr>
          <w:rFonts w:ascii="Perpetua" w:hAnsi="Perpetua"/>
          <w:b w:val="0"/>
          <w:color w:val="auto"/>
          <w:sz w:val="20"/>
        </w:rPr>
        <w:t>)</w:t>
      </w:r>
      <w:r w:rsidR="00943FE2" w:rsidRPr="00107CF0">
        <w:rPr>
          <w:rFonts w:ascii="Perpetua" w:hAnsi="Perpetua"/>
          <w:b w:val="0"/>
          <w:color w:val="auto"/>
          <w:sz w:val="20"/>
        </w:rPr>
        <w:t>;</w:t>
      </w:r>
      <w:r w:rsidR="00504CFD" w:rsidRPr="00107CF0">
        <w:rPr>
          <w:rFonts w:ascii="Perpetua" w:hAnsi="Perpetua"/>
          <w:b w:val="0"/>
          <w:color w:val="auto"/>
          <w:sz w:val="20"/>
        </w:rPr>
        <w:t xml:space="preserve"> </w:t>
      </w:r>
      <w:r w:rsidR="00943FE2" w:rsidRPr="00107CF0">
        <w:rPr>
          <w:rFonts w:ascii="Perpetua" w:hAnsi="Perpetua"/>
          <w:b w:val="0"/>
          <w:color w:val="auto"/>
          <w:sz w:val="20"/>
        </w:rPr>
        <w:t>the sensual qualities of darkness in a 1935 'Black Magic' advertising poster</w:t>
      </w:r>
      <w:r w:rsidR="007A00C8" w:rsidRPr="00107CF0">
        <w:rPr>
          <w:rFonts w:ascii="Perpetua" w:hAnsi="Perpetua"/>
          <w:b w:val="0"/>
          <w:color w:val="auto"/>
          <w:sz w:val="20"/>
        </w:rPr>
        <w:t xml:space="preserve"> (</w:t>
      </w:r>
      <w:r w:rsidR="007A00C8" w:rsidRPr="00504CFD">
        <w:rPr>
          <w:rFonts w:ascii="Perpetua" w:hAnsi="Perpetua"/>
          <w:b w:val="0"/>
          <w:i/>
          <w:color w:val="auto"/>
          <w:sz w:val="20"/>
        </w:rPr>
        <w:t>bottom</w:t>
      </w:r>
      <w:r w:rsidR="007A00C8" w:rsidRPr="00107CF0">
        <w:rPr>
          <w:rFonts w:ascii="Perpetua" w:hAnsi="Perpetua"/>
          <w:b w:val="0"/>
          <w:color w:val="auto"/>
          <w:sz w:val="20"/>
        </w:rPr>
        <w:t>)</w:t>
      </w:r>
      <w:r w:rsidR="00943FE2" w:rsidRPr="00107CF0">
        <w:rPr>
          <w:rFonts w:ascii="Perpetua" w:hAnsi="Perpetua"/>
          <w:b w:val="0"/>
          <w:color w:val="auto"/>
          <w:sz w:val="20"/>
        </w:rPr>
        <w:t>.</w:t>
      </w:r>
      <w:bookmarkEnd w:id="507"/>
      <w:bookmarkEnd w:id="508"/>
      <w:r w:rsidR="00943FE2" w:rsidRPr="00107CF0">
        <w:rPr>
          <w:rStyle w:val="FootnoteReference"/>
          <w:rFonts w:ascii="Perpetua" w:hAnsi="Perpetua"/>
          <w:b w:val="0"/>
          <w:color w:val="auto"/>
          <w:sz w:val="20"/>
        </w:rPr>
        <w:t xml:space="preserve"> </w:t>
      </w:r>
    </w:p>
    <w:p w:rsidR="00943FE2" w:rsidRPr="00504CFD" w:rsidRDefault="00504CFD" w:rsidP="00504CFD">
      <w:pPr>
        <w:ind w:left="1560" w:right="1354"/>
        <w:rPr>
          <w:rFonts w:ascii="Perpetua" w:hAnsi="Perpetua"/>
          <w:sz w:val="20"/>
        </w:rPr>
      </w:pPr>
      <w:r w:rsidRPr="00504CFD">
        <w:rPr>
          <w:rFonts w:ascii="Perpetua" w:hAnsi="Perpetua"/>
          <w:sz w:val="20"/>
        </w:rPr>
        <w:t>Materializations of purity in chocolate and cocoa advertising and marketing.</w:t>
      </w:r>
      <w:bookmarkEnd w:id="509"/>
      <w:bookmarkEnd w:id="510"/>
      <w:bookmarkEnd w:id="511"/>
      <w:r>
        <w:rPr>
          <w:rStyle w:val="FootnoteReference"/>
          <w:rFonts w:ascii="Perpetua" w:hAnsi="Perpetua"/>
          <w:sz w:val="20"/>
        </w:rPr>
        <w:footnoteReference w:id="101"/>
      </w:r>
    </w:p>
    <w:p w:rsidR="002A7090" w:rsidRDefault="002A7090" w:rsidP="002A7090">
      <w:pPr>
        <w:spacing w:line="360" w:lineRule="auto"/>
        <w:jc w:val="both"/>
        <w:rPr>
          <w:rFonts w:ascii="Garamond" w:hAnsi="Garamond"/>
          <w:sz w:val="24"/>
          <w:szCs w:val="24"/>
        </w:rPr>
      </w:pPr>
      <w:r>
        <w:rPr>
          <w:rFonts w:ascii="Garamond" w:hAnsi="Garamond"/>
          <w:sz w:val="24"/>
          <w:szCs w:val="24"/>
        </w:rPr>
        <w:lastRenderedPageBreak/>
        <w:t>P</w:t>
      </w:r>
      <w:r w:rsidRPr="005D086E">
        <w:rPr>
          <w:rFonts w:ascii="Garamond" w:hAnsi="Garamond"/>
          <w:sz w:val="24"/>
          <w:szCs w:val="24"/>
        </w:rPr>
        <w:t>urit</w:t>
      </w:r>
      <w:r>
        <w:rPr>
          <w:rFonts w:ascii="Garamond" w:hAnsi="Garamond"/>
          <w:sz w:val="24"/>
          <w:szCs w:val="24"/>
        </w:rPr>
        <w:t>y adds value to cocoa and chocolate, it plays an important part in the process of turning cocoa into food, and it is an indicator of quality and sign-value for brand diversification. Purity</w:t>
      </w:r>
      <w:r w:rsidRPr="005D086E">
        <w:rPr>
          <w:rFonts w:ascii="Garamond" w:hAnsi="Garamond"/>
          <w:sz w:val="24"/>
          <w:szCs w:val="24"/>
        </w:rPr>
        <w:t xml:space="preserve"> is fundame</w:t>
      </w:r>
      <w:r>
        <w:rPr>
          <w:rFonts w:ascii="Garamond" w:hAnsi="Garamond"/>
          <w:sz w:val="24"/>
          <w:szCs w:val="24"/>
        </w:rPr>
        <w:t xml:space="preserve">ntal to the social </w:t>
      </w:r>
      <w:r w:rsidRPr="005D086E">
        <w:rPr>
          <w:rFonts w:ascii="Garamond" w:hAnsi="Garamond"/>
          <w:sz w:val="24"/>
          <w:szCs w:val="24"/>
        </w:rPr>
        <w:t xml:space="preserve">construction of </w:t>
      </w:r>
      <w:r>
        <w:rPr>
          <w:rFonts w:ascii="Garamond" w:hAnsi="Garamond"/>
          <w:sz w:val="24"/>
          <w:szCs w:val="24"/>
        </w:rPr>
        <w:t xml:space="preserve">Western </w:t>
      </w:r>
      <w:r w:rsidRPr="005D086E">
        <w:rPr>
          <w:rFonts w:ascii="Garamond" w:hAnsi="Garamond"/>
          <w:sz w:val="24"/>
          <w:szCs w:val="24"/>
        </w:rPr>
        <w:t>appetite</w:t>
      </w:r>
      <w:r>
        <w:rPr>
          <w:rFonts w:ascii="Garamond" w:hAnsi="Garamond"/>
          <w:sz w:val="24"/>
          <w:szCs w:val="24"/>
        </w:rPr>
        <w:t>s for chocolate and it is materialized in the commodity itself. As discussed in Chapter Two,</w:t>
      </w:r>
      <w:r w:rsidRPr="005D086E">
        <w:rPr>
          <w:rFonts w:ascii="Garamond" w:hAnsi="Garamond"/>
          <w:sz w:val="24"/>
          <w:szCs w:val="24"/>
        </w:rPr>
        <w:t xml:space="preserve"> </w:t>
      </w:r>
      <w:r>
        <w:rPr>
          <w:rFonts w:ascii="Garamond" w:hAnsi="Garamond"/>
          <w:sz w:val="24"/>
          <w:szCs w:val="24"/>
        </w:rPr>
        <w:t xml:space="preserve">boycott </w:t>
      </w:r>
      <w:r w:rsidRPr="005D086E">
        <w:rPr>
          <w:rFonts w:ascii="Garamond" w:hAnsi="Garamond"/>
          <w:sz w:val="24"/>
          <w:szCs w:val="24"/>
        </w:rPr>
        <w:t xml:space="preserve">campaigns and food advocacy movements </w:t>
      </w:r>
      <w:r>
        <w:rPr>
          <w:rFonts w:ascii="Garamond" w:hAnsi="Garamond"/>
          <w:sz w:val="24"/>
          <w:szCs w:val="24"/>
        </w:rPr>
        <w:t xml:space="preserve">also </w:t>
      </w:r>
      <w:r w:rsidRPr="005D086E">
        <w:rPr>
          <w:rFonts w:ascii="Garamond" w:hAnsi="Garamond"/>
          <w:sz w:val="24"/>
          <w:szCs w:val="24"/>
        </w:rPr>
        <w:t>have a distinct history of unmaking appetites for foods through unveiling social or material impurities attached to egregious foods.</w:t>
      </w:r>
      <w:r>
        <w:rPr>
          <w:rFonts w:ascii="Garamond" w:hAnsi="Garamond"/>
          <w:sz w:val="24"/>
          <w:szCs w:val="24"/>
        </w:rPr>
        <w:t xml:space="preserve"> The visibility and importance of purity to chocolate production and consumption makes the commodity an attractive proposition for activist bodywork.</w:t>
      </w:r>
    </w:p>
    <w:p w:rsidR="004A7172" w:rsidRDefault="004A7172" w:rsidP="00CF12D9">
      <w:pPr>
        <w:spacing w:line="360" w:lineRule="auto"/>
        <w:jc w:val="both"/>
        <w:rPr>
          <w:rFonts w:ascii="Garamond" w:hAnsi="Garamond"/>
          <w:i/>
          <w:szCs w:val="20"/>
        </w:rPr>
      </w:pPr>
    </w:p>
    <w:p w:rsidR="00472B3A" w:rsidRPr="00CF12D9" w:rsidRDefault="00472B3A" w:rsidP="00CF12D9">
      <w:pPr>
        <w:spacing w:line="360" w:lineRule="auto"/>
        <w:jc w:val="both"/>
        <w:rPr>
          <w:rFonts w:ascii="Garamond" w:hAnsi="Garamond"/>
          <w:sz w:val="24"/>
          <w:szCs w:val="24"/>
        </w:rPr>
      </w:pPr>
      <w:r>
        <w:rPr>
          <w:rFonts w:ascii="Garamond" w:hAnsi="Garamond"/>
          <w:i/>
          <w:szCs w:val="20"/>
        </w:rPr>
        <w:t xml:space="preserve">iii) </w:t>
      </w:r>
      <w:r w:rsidRPr="003916ED">
        <w:rPr>
          <w:rFonts w:ascii="Garamond" w:hAnsi="Garamond"/>
          <w:i/>
          <w:szCs w:val="20"/>
        </w:rPr>
        <w:t>Purity and Childhood</w:t>
      </w:r>
    </w:p>
    <w:p w:rsidR="00472B3A" w:rsidRPr="005D086E" w:rsidDel="000C551F" w:rsidRDefault="00472B3A" w:rsidP="00472B3A">
      <w:pPr>
        <w:autoSpaceDE w:val="0"/>
        <w:autoSpaceDN w:val="0"/>
        <w:adjustRightInd w:val="0"/>
        <w:spacing w:after="0" w:line="360" w:lineRule="auto"/>
        <w:ind w:left="284" w:right="284"/>
        <w:jc w:val="both"/>
        <w:rPr>
          <w:rFonts w:ascii="Garamond" w:hAnsi="Garamond" w:cs="Times New Roman"/>
        </w:rPr>
      </w:pPr>
      <w:r w:rsidRPr="005D086E">
        <w:rPr>
          <w:rFonts w:ascii="Garamond" w:hAnsi="Garamond" w:cs="Times New Roman"/>
        </w:rPr>
        <w:t xml:space="preserve">Children have the chance to make the world anew. Children are pure and innocent; they have yet to learn; we can fill them and the very idea of childhood with our hopes and dreams. The seemingly logical alignment of childhood with futurity has engendered an affective </w:t>
      </w:r>
      <w:r w:rsidRPr="006353AD">
        <w:rPr>
          <w:rFonts w:ascii="Garamond" w:hAnsi="Garamond" w:cs="Times New Roman"/>
          <w:iCs/>
        </w:rPr>
        <w:t>logic</w:t>
      </w:r>
      <w:r w:rsidRPr="005D086E">
        <w:rPr>
          <w:rFonts w:ascii="Garamond" w:hAnsi="Garamond" w:cs="Times New Roman"/>
          <w:i/>
          <w:iCs/>
        </w:rPr>
        <w:t xml:space="preserve"> </w:t>
      </w:r>
      <w:r w:rsidRPr="005D086E">
        <w:rPr>
          <w:rFonts w:ascii="Garamond" w:hAnsi="Garamond" w:cs="Times New Roman"/>
        </w:rPr>
        <w:t xml:space="preserve">of hope that operates on an almost global scale, and is evident </w:t>
      </w:r>
      <w:r w:rsidRPr="006353AD">
        <w:rPr>
          <w:rFonts w:ascii="Garamond" w:hAnsi="Garamond" w:cs="Times New Roman"/>
        </w:rPr>
        <w:t xml:space="preserve">in </w:t>
      </w:r>
      <w:r w:rsidRPr="006353AD">
        <w:rPr>
          <w:rFonts w:ascii="Garamond" w:hAnsi="Garamond" w:cs="Times New Roman"/>
          <w:iCs/>
        </w:rPr>
        <w:t>global</w:t>
      </w:r>
      <w:r w:rsidRPr="005D086E">
        <w:rPr>
          <w:rFonts w:ascii="Garamond" w:hAnsi="Garamond" w:cs="Times New Roman"/>
          <w:i/>
          <w:iCs/>
        </w:rPr>
        <w:t xml:space="preserve"> </w:t>
      </w:r>
      <w:r w:rsidRPr="005D086E">
        <w:rPr>
          <w:rFonts w:ascii="Garamond" w:hAnsi="Garamond" w:cs="Times New Roman"/>
        </w:rPr>
        <w:t xml:space="preserve">policy making and the statements of charities </w:t>
      </w:r>
      <w:r>
        <w:rPr>
          <w:rFonts w:ascii="Garamond" w:hAnsi="Garamond" w:cs="Times New Roman"/>
        </w:rPr>
        <w:t>that work on behalf of children. (Kraftl, 2008: 82-83)</w:t>
      </w:r>
    </w:p>
    <w:p w:rsidR="00472B3A" w:rsidRDefault="00472B3A" w:rsidP="00472B3A">
      <w:pPr>
        <w:autoSpaceDE w:val="0"/>
        <w:autoSpaceDN w:val="0"/>
        <w:adjustRightInd w:val="0"/>
        <w:spacing w:after="0" w:line="360" w:lineRule="auto"/>
        <w:ind w:left="284" w:right="284"/>
        <w:jc w:val="both"/>
        <w:rPr>
          <w:rFonts w:ascii="Garamond" w:hAnsi="Garamond"/>
          <w:sz w:val="24"/>
          <w:szCs w:val="24"/>
        </w:rPr>
      </w:pPr>
    </w:p>
    <w:p w:rsidR="00DD2983" w:rsidRDefault="00472B3A" w:rsidP="00943FE2">
      <w:pPr>
        <w:spacing w:after="0" w:line="360" w:lineRule="auto"/>
        <w:jc w:val="both"/>
        <w:rPr>
          <w:rFonts w:ascii="Garamond" w:hAnsi="Garamond"/>
          <w:sz w:val="24"/>
          <w:szCs w:val="24"/>
        </w:rPr>
      </w:pPr>
      <w:r w:rsidRPr="005D086E">
        <w:rPr>
          <w:rFonts w:ascii="Garamond" w:hAnsi="Garamond"/>
          <w:sz w:val="24"/>
          <w:szCs w:val="24"/>
        </w:rPr>
        <w:t>Purity and innocence ar</w:t>
      </w:r>
      <w:r>
        <w:rPr>
          <w:rFonts w:ascii="Garamond" w:hAnsi="Garamond"/>
          <w:sz w:val="24"/>
          <w:szCs w:val="24"/>
        </w:rPr>
        <w:t>e indivisible in the universaliz</w:t>
      </w:r>
      <w:r w:rsidRPr="005D086E">
        <w:rPr>
          <w:rFonts w:ascii="Garamond" w:hAnsi="Garamond"/>
          <w:sz w:val="24"/>
          <w:szCs w:val="24"/>
        </w:rPr>
        <w:t>ing Western condition of childhood. Kraftl (2008) points to how the concept of childhood is utopianized through a surfeit of hope and futurity which is visited</w:t>
      </w:r>
      <w:r>
        <w:rPr>
          <w:rFonts w:ascii="Garamond" w:hAnsi="Garamond"/>
          <w:sz w:val="24"/>
          <w:szCs w:val="24"/>
        </w:rPr>
        <w:t xml:space="preserve"> on</w:t>
      </w:r>
      <w:r w:rsidRPr="005D086E">
        <w:rPr>
          <w:rFonts w:ascii="Garamond" w:hAnsi="Garamond"/>
          <w:sz w:val="24"/>
          <w:szCs w:val="24"/>
        </w:rPr>
        <w:t xml:space="preserve"> to child bodies. The image of the simple, innately pious child attained currency in the testimonies and romantic poetry </w:t>
      </w:r>
      <w:r>
        <w:rPr>
          <w:rFonts w:ascii="Garamond" w:hAnsi="Garamond"/>
          <w:sz w:val="24"/>
          <w:szCs w:val="24"/>
        </w:rPr>
        <w:t xml:space="preserve">of the anti-saccharite boycott </w:t>
      </w:r>
      <w:r w:rsidRPr="005D086E">
        <w:rPr>
          <w:rFonts w:ascii="Garamond" w:hAnsi="Garamond"/>
          <w:sz w:val="24"/>
          <w:szCs w:val="24"/>
        </w:rPr>
        <w:t>movement (Morton, 2000; Brown, 2006), and was reissued in the ‘emotional paraphernalia’ of late Victorian humanitarianism (Swain, 2009; Lawrance, 2010a). During the latter period, ideas regarding the ‘plasticity’ and distinctness of childhood were exported from metropole to colony through missionaries (Boucher, 2009). Familial separation (in the guise of child rescue and redemption) was justified by the unpalatable ideology of lost childhood (Swain, 2009).</w:t>
      </w:r>
      <w:r>
        <w:rPr>
          <w:rFonts w:ascii="Garamond" w:hAnsi="Garamond"/>
          <w:sz w:val="24"/>
          <w:szCs w:val="24"/>
        </w:rPr>
        <w:t xml:space="preserve"> Today, t</w:t>
      </w:r>
      <w:r w:rsidRPr="005D086E">
        <w:rPr>
          <w:rFonts w:ascii="Garamond" w:hAnsi="Garamond"/>
          <w:sz w:val="24"/>
          <w:szCs w:val="24"/>
        </w:rPr>
        <w:t xml:space="preserve">hrough a reading of </w:t>
      </w:r>
      <w:r w:rsidRPr="005D086E">
        <w:rPr>
          <w:rFonts w:ascii="Garamond" w:hAnsi="Garamond"/>
          <w:sz w:val="24"/>
          <w:szCs w:val="24"/>
        </w:rPr>
        <w:lastRenderedPageBreak/>
        <w:t>NGO literature</w:t>
      </w:r>
      <w:r>
        <w:rPr>
          <w:rFonts w:ascii="Garamond" w:hAnsi="Garamond"/>
          <w:sz w:val="24"/>
          <w:szCs w:val="24"/>
        </w:rPr>
        <w:t>,</w:t>
      </w:r>
      <w:r w:rsidRPr="005D086E">
        <w:rPr>
          <w:rStyle w:val="FootnoteReference"/>
          <w:rFonts w:ascii="Garamond" w:hAnsi="Garamond"/>
          <w:sz w:val="24"/>
          <w:szCs w:val="24"/>
        </w:rPr>
        <w:footnoteReference w:id="102"/>
      </w:r>
      <w:r w:rsidRPr="005D086E">
        <w:rPr>
          <w:rFonts w:ascii="Garamond" w:hAnsi="Garamond"/>
          <w:sz w:val="24"/>
          <w:szCs w:val="24"/>
        </w:rPr>
        <w:t xml:space="preserve"> Lawrance identifies two models of childhood used by chocolate activists and anti-trafficking NGOs. The first, the ‘moralizing model’</w:t>
      </w:r>
      <w:r>
        <w:rPr>
          <w:rFonts w:ascii="Garamond" w:hAnsi="Garamond"/>
          <w:sz w:val="24"/>
          <w:szCs w:val="24"/>
        </w:rPr>
        <w:t>,</w:t>
      </w:r>
      <w:r w:rsidRPr="005D086E">
        <w:rPr>
          <w:rFonts w:ascii="Garamond" w:hAnsi="Garamond"/>
          <w:sz w:val="24"/>
          <w:szCs w:val="24"/>
        </w:rPr>
        <w:t xml:space="preserve"> is i</w:t>
      </w:r>
      <w:r>
        <w:rPr>
          <w:rFonts w:ascii="Garamond" w:hAnsi="Garamond"/>
          <w:sz w:val="24"/>
          <w:szCs w:val="24"/>
        </w:rPr>
        <w:t>dentical to Kraftl’s universaliz</w:t>
      </w:r>
      <w:r w:rsidRPr="005D086E">
        <w:rPr>
          <w:rFonts w:ascii="Garamond" w:hAnsi="Garamond"/>
          <w:sz w:val="24"/>
          <w:szCs w:val="24"/>
        </w:rPr>
        <w:t>ed condition of childhood-hope, and “</w:t>
      </w:r>
      <w:r w:rsidRPr="005D086E">
        <w:rPr>
          <w:rFonts w:ascii="Garamond" w:hAnsi="Garamond" w:cs="Times New Roman"/>
          <w:sz w:val="24"/>
          <w:szCs w:val="24"/>
        </w:rPr>
        <w:t>dialogically stylizes” childhood testimonies to lay audiences “</w:t>
      </w:r>
      <w:r w:rsidRPr="005D086E">
        <w:rPr>
          <w:rFonts w:ascii="Garamond" w:hAnsi="Garamond"/>
          <w:sz w:val="24"/>
          <w:szCs w:val="24"/>
        </w:rPr>
        <w:t xml:space="preserve">in order that they </w:t>
      </w:r>
      <w:r w:rsidRPr="005D086E">
        <w:rPr>
          <w:rFonts w:ascii="Garamond" w:hAnsi="Garamond" w:cs="Times New Roman"/>
          <w:sz w:val="24"/>
          <w:szCs w:val="24"/>
        </w:rPr>
        <w:t>become embodied with personal knowledge about a complex human(itarian) drama”</w:t>
      </w:r>
      <w:r w:rsidRPr="005D086E">
        <w:rPr>
          <w:rFonts w:ascii="Garamond" w:hAnsi="Garamond"/>
          <w:sz w:val="24"/>
          <w:szCs w:val="24"/>
        </w:rPr>
        <w:t xml:space="preserve"> (</w:t>
      </w:r>
      <w:r>
        <w:rPr>
          <w:rFonts w:ascii="Garamond" w:hAnsi="Garamond"/>
          <w:sz w:val="24"/>
          <w:szCs w:val="24"/>
        </w:rPr>
        <w:t xml:space="preserve">Lawrance, </w:t>
      </w:r>
      <w:r w:rsidRPr="005D086E">
        <w:rPr>
          <w:rFonts w:ascii="Garamond" w:hAnsi="Garamond"/>
          <w:sz w:val="24"/>
          <w:szCs w:val="24"/>
        </w:rPr>
        <w:t>2010a: 33). NGOs using the ‘moral model’ of childhood identify rescue tropes (dislocation, abandonment, abuse, suffering, helplessness) and use different types of child images (depicting scenes of redemption, labour, commodity juxtaposition, rescue) that imply a range of NGO agendas (ibid, 2010a).  Lawrance (2010a) posits that the other model used by anti-trafficking NGOs is a ‘socialization’ interpretation of childhood</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T</w:t>
      </w:r>
      <w:r w:rsidRPr="005D086E">
        <w:rPr>
          <w:rFonts w:ascii="Garamond" w:hAnsi="Garamond"/>
          <w:sz w:val="24"/>
          <w:szCs w:val="24"/>
        </w:rPr>
        <w:t>his interprets child labour as necessary but makes degrees of separation between good and bad forms of labour and rejects the instrumentalized Western division between childhood and adulthood. STT alternate between both models of childhood depending on context.</w:t>
      </w:r>
    </w:p>
    <w:p w:rsidR="00CF12D9" w:rsidRPr="00DD2983" w:rsidRDefault="00CF12D9" w:rsidP="00943FE2">
      <w:pPr>
        <w:spacing w:after="0" w:line="360" w:lineRule="auto"/>
        <w:jc w:val="both"/>
        <w:rPr>
          <w:rFonts w:ascii="Garamond" w:hAnsi="Garamond"/>
          <w:sz w:val="24"/>
          <w:szCs w:val="24"/>
        </w:rPr>
      </w:pPr>
    </w:p>
    <w:p w:rsidR="004A7172" w:rsidRDefault="004A7172" w:rsidP="00943FE2">
      <w:pPr>
        <w:spacing w:after="0" w:line="360" w:lineRule="auto"/>
        <w:jc w:val="both"/>
        <w:rPr>
          <w:rFonts w:ascii="Garamond" w:hAnsi="Garamond"/>
          <w:b/>
          <w:i/>
          <w:szCs w:val="24"/>
        </w:rPr>
      </w:pPr>
    </w:p>
    <w:p w:rsidR="00472B3A" w:rsidRPr="003916ED" w:rsidRDefault="00472B3A" w:rsidP="00943FE2">
      <w:pPr>
        <w:spacing w:after="0" w:line="360" w:lineRule="auto"/>
        <w:jc w:val="both"/>
        <w:rPr>
          <w:rFonts w:ascii="Garamond" w:hAnsi="Garamond"/>
          <w:b/>
          <w:i/>
          <w:szCs w:val="24"/>
        </w:rPr>
      </w:pPr>
      <w:r w:rsidRPr="003916ED">
        <w:rPr>
          <w:rFonts w:ascii="Garamond" w:hAnsi="Garamond"/>
          <w:b/>
          <w:i/>
          <w:szCs w:val="24"/>
        </w:rPr>
        <w:t>Contextualizing cocoa production within anti-trafficking and fair trade</w:t>
      </w:r>
    </w:p>
    <w:p w:rsidR="00472B3A" w:rsidRPr="00200529" w:rsidRDefault="00472B3A" w:rsidP="00943FE2">
      <w:pPr>
        <w:pStyle w:val="Default"/>
      </w:pPr>
    </w:p>
    <w:p w:rsidR="00472B3A" w:rsidRDefault="00472B3A" w:rsidP="00943FE2">
      <w:pPr>
        <w:spacing w:after="0" w:line="360" w:lineRule="auto"/>
        <w:jc w:val="both"/>
        <w:rPr>
          <w:rFonts w:ascii="Garamond" w:hAnsi="Garamond"/>
          <w:sz w:val="24"/>
          <w:szCs w:val="24"/>
        </w:rPr>
      </w:pPr>
      <w:r w:rsidRPr="005D086E">
        <w:rPr>
          <w:rFonts w:ascii="Garamond" w:hAnsi="Garamond"/>
          <w:sz w:val="24"/>
          <w:szCs w:val="24"/>
        </w:rPr>
        <w:t xml:space="preserve">Balancing the sanctity of childhood with culturally specific traditions and requirements in the </w:t>
      </w:r>
      <w:r>
        <w:rPr>
          <w:rFonts w:ascii="Garamond" w:hAnsi="Garamond"/>
          <w:sz w:val="24"/>
          <w:szCs w:val="24"/>
        </w:rPr>
        <w:t>Côte D’ Iv</w:t>
      </w:r>
      <w:r w:rsidRPr="005D086E">
        <w:rPr>
          <w:rFonts w:ascii="Garamond" w:hAnsi="Garamond"/>
          <w:sz w:val="24"/>
          <w:szCs w:val="24"/>
        </w:rPr>
        <w:t>o</w:t>
      </w:r>
      <w:r>
        <w:rPr>
          <w:rFonts w:ascii="Garamond" w:hAnsi="Garamond"/>
          <w:sz w:val="24"/>
          <w:szCs w:val="24"/>
        </w:rPr>
        <w:t>i</w:t>
      </w:r>
      <w:r w:rsidRPr="005D086E">
        <w:rPr>
          <w:rFonts w:ascii="Garamond" w:hAnsi="Garamond"/>
          <w:sz w:val="24"/>
          <w:szCs w:val="24"/>
        </w:rPr>
        <w:t xml:space="preserve">re and Ghana (who together produce over </w:t>
      </w:r>
      <w:r>
        <w:rPr>
          <w:rFonts w:ascii="Garamond" w:hAnsi="Garamond"/>
          <w:sz w:val="24"/>
          <w:szCs w:val="24"/>
        </w:rPr>
        <w:t xml:space="preserve">50% </w:t>
      </w:r>
      <w:r w:rsidRPr="005D086E">
        <w:rPr>
          <w:rFonts w:ascii="Garamond" w:hAnsi="Garamond"/>
          <w:sz w:val="24"/>
          <w:szCs w:val="24"/>
        </w:rPr>
        <w:t>of the world’s cocoa</w:t>
      </w:r>
      <w:r>
        <w:rPr>
          <w:rFonts w:ascii="Garamond" w:hAnsi="Garamond"/>
          <w:sz w:val="24"/>
          <w:szCs w:val="24"/>
        </w:rPr>
        <w:t xml:space="preserve">; see </w:t>
      </w:r>
      <w:r w:rsidR="005B52A5">
        <w:rPr>
          <w:rFonts w:ascii="Garamond" w:hAnsi="Garamond"/>
          <w:sz w:val="24"/>
          <w:szCs w:val="24"/>
        </w:rPr>
        <w:t>Table 6</w:t>
      </w:r>
      <w:r w:rsidRPr="005D086E">
        <w:rPr>
          <w:rFonts w:ascii="Garamond" w:hAnsi="Garamond"/>
          <w:sz w:val="24"/>
          <w:szCs w:val="24"/>
        </w:rPr>
        <w:t xml:space="preserve">) is an explicit area of discussion between anti-chocolate trafficking NGOs and </w:t>
      </w:r>
      <w:r>
        <w:rPr>
          <w:rFonts w:ascii="Garamond" w:hAnsi="Garamond"/>
          <w:sz w:val="24"/>
          <w:szCs w:val="24"/>
        </w:rPr>
        <w:t>stakeholders</w:t>
      </w:r>
      <w:r w:rsidRPr="005D086E">
        <w:rPr>
          <w:rFonts w:ascii="Garamond" w:hAnsi="Garamond"/>
          <w:sz w:val="24"/>
          <w:szCs w:val="24"/>
        </w:rPr>
        <w:t xml:space="preserve"> in the cocoa industry. In 2001 the Harkin Engin Protocol committed chocolate manufacturers to reforming production practices in their supply lines so that the “worst types of child labour” (defined as unschooled children) would be eliminated by 2008 (ILO, 2001). This promise, made under the threat of legal interference by the House of Representatives in Washington, remains unique among global agribusiness industries (interview Fountain, 2011). In response</w:t>
      </w:r>
      <w:r>
        <w:rPr>
          <w:rFonts w:ascii="Garamond" w:hAnsi="Garamond"/>
          <w:sz w:val="24"/>
          <w:szCs w:val="24"/>
        </w:rPr>
        <w:t>,</w:t>
      </w:r>
      <w:r w:rsidRPr="005D086E">
        <w:rPr>
          <w:rFonts w:ascii="Garamond" w:hAnsi="Garamond"/>
          <w:sz w:val="24"/>
          <w:szCs w:val="24"/>
        </w:rPr>
        <w:t xml:space="preserve"> the International Cocoa Initiative</w:t>
      </w:r>
      <w:r>
        <w:rPr>
          <w:rFonts w:ascii="Garamond" w:hAnsi="Garamond"/>
          <w:sz w:val="24"/>
          <w:szCs w:val="24"/>
        </w:rPr>
        <w:t xml:space="preserve"> (</w:t>
      </w:r>
      <w:r w:rsidRPr="005D086E">
        <w:rPr>
          <w:rFonts w:ascii="Garamond" w:hAnsi="Garamond"/>
          <w:sz w:val="24"/>
          <w:szCs w:val="24"/>
        </w:rPr>
        <w:t>ICI</w:t>
      </w:r>
      <w:r>
        <w:rPr>
          <w:rFonts w:ascii="Garamond" w:hAnsi="Garamond"/>
          <w:sz w:val="24"/>
          <w:szCs w:val="24"/>
        </w:rPr>
        <w:t>)</w:t>
      </w:r>
      <w:r w:rsidRPr="005D086E">
        <w:rPr>
          <w:rFonts w:ascii="Garamond" w:hAnsi="Garamond"/>
          <w:sz w:val="24"/>
          <w:szCs w:val="24"/>
        </w:rPr>
        <w:t xml:space="preserve"> was created, but with cocoa </w:t>
      </w:r>
      <w:r>
        <w:rPr>
          <w:rFonts w:ascii="Garamond" w:hAnsi="Garamond"/>
          <w:sz w:val="24"/>
          <w:szCs w:val="24"/>
        </w:rPr>
        <w:t>grinder</w:t>
      </w:r>
      <w:r w:rsidRPr="005D086E">
        <w:rPr>
          <w:rFonts w:ascii="Garamond" w:hAnsi="Garamond"/>
          <w:sz w:val="24"/>
          <w:szCs w:val="24"/>
        </w:rPr>
        <w:t xml:space="preserve"> and</w:t>
      </w:r>
      <w:r>
        <w:rPr>
          <w:rFonts w:ascii="Garamond" w:hAnsi="Garamond"/>
          <w:sz w:val="24"/>
          <w:szCs w:val="24"/>
        </w:rPr>
        <w:t xml:space="preserve"> chocolate</w:t>
      </w:r>
      <w:r w:rsidRPr="005D086E">
        <w:rPr>
          <w:rFonts w:ascii="Garamond" w:hAnsi="Garamond"/>
          <w:sz w:val="24"/>
          <w:szCs w:val="24"/>
        </w:rPr>
        <w:t xml:space="preserve"> processor CEOs on its board, the initiative clearly reflected a conflict of interests. Since 2005, anti-trafficking NGOs have attempted to reform cocoa prod</w:t>
      </w:r>
      <w:r>
        <w:rPr>
          <w:rFonts w:ascii="Garamond" w:hAnsi="Garamond"/>
          <w:sz w:val="24"/>
          <w:szCs w:val="24"/>
        </w:rPr>
        <w:t xml:space="preserve">uction through three independent certifying initiatives (see </w:t>
      </w:r>
      <w:r w:rsidR="0048108D">
        <w:rPr>
          <w:rFonts w:ascii="Garamond" w:hAnsi="Garamond"/>
          <w:sz w:val="24"/>
          <w:szCs w:val="24"/>
        </w:rPr>
        <w:t>Table 7</w:t>
      </w:r>
      <w:r>
        <w:rPr>
          <w:rFonts w:ascii="Garamond" w:hAnsi="Garamond"/>
          <w:sz w:val="24"/>
          <w:szCs w:val="24"/>
        </w:rPr>
        <w:t>). STT's chocolate campaigns are based around converting consumers, retailers, processors and grinders to these certifying initiatives. STT's chocolate coordinator, Antonie Fountain, explains why STT defer their work on trafficking to certification schemes:</w:t>
      </w:r>
    </w:p>
    <w:p w:rsidR="00DD2983" w:rsidRDefault="00472B3A" w:rsidP="00DD2983">
      <w:pPr>
        <w:spacing w:after="0" w:line="360" w:lineRule="auto"/>
        <w:ind w:left="284" w:right="284"/>
        <w:jc w:val="both"/>
        <w:rPr>
          <w:rStyle w:val="A2"/>
        </w:rPr>
      </w:pPr>
      <w:r w:rsidRPr="00DD2983">
        <w:rPr>
          <w:rFonts w:ascii="Garamond" w:hAnsi="Garamond"/>
        </w:rPr>
        <w:lastRenderedPageBreak/>
        <w:t>we support certification, because we believe that if a company doesn’t know where their problems are, they can’t start dealing with them. Standards bodies are the best tool we know to address these issues in the cocoa supply chain.</w:t>
      </w:r>
      <w:r w:rsidRPr="00DD2983">
        <w:rPr>
          <w:rStyle w:val="A2"/>
          <w:rFonts w:ascii="Garamond" w:hAnsi="Garamond"/>
          <w:sz w:val="22"/>
          <w:szCs w:val="24"/>
        </w:rPr>
        <w:t xml:space="preserve"> </w:t>
      </w:r>
      <w:r w:rsidRPr="00DD2983">
        <w:rPr>
          <w:rStyle w:val="FootnoteReference"/>
          <w:rFonts w:ascii="Garamond" w:hAnsi="Garamond" w:cs="Cambria"/>
          <w:bCs/>
          <w:iCs/>
          <w:color w:val="000000"/>
          <w:szCs w:val="24"/>
        </w:rPr>
        <w:footnoteReference w:id="103"/>
      </w:r>
      <w:r w:rsidRPr="00DD2983">
        <w:rPr>
          <w:rStyle w:val="A2"/>
          <w:rFonts w:ascii="Garamond" w:hAnsi="Garamond"/>
          <w:i/>
          <w:sz w:val="22"/>
          <w:szCs w:val="24"/>
        </w:rPr>
        <w:t xml:space="preserve"> </w:t>
      </w:r>
    </w:p>
    <w:p w:rsidR="00472B3A" w:rsidRPr="00DD2983" w:rsidRDefault="00472B3A" w:rsidP="00DD2983">
      <w:pPr>
        <w:spacing w:after="0" w:line="360" w:lineRule="auto"/>
        <w:ind w:left="284" w:right="284"/>
        <w:jc w:val="both"/>
        <w:rPr>
          <w:rStyle w:val="A2"/>
        </w:rPr>
      </w:pPr>
    </w:p>
    <w:p w:rsidR="00472B3A" w:rsidRDefault="00472B3A" w:rsidP="00DD2983">
      <w:pPr>
        <w:spacing w:after="0" w:line="360" w:lineRule="auto"/>
        <w:jc w:val="both"/>
        <w:rPr>
          <w:rStyle w:val="A2"/>
        </w:rPr>
      </w:pPr>
      <w:r w:rsidRPr="00CF12D9">
        <w:rPr>
          <w:rStyle w:val="A2"/>
          <w:rFonts w:ascii="Garamond" w:hAnsi="Garamond"/>
          <w:sz w:val="24"/>
          <w:szCs w:val="24"/>
        </w:rPr>
        <w:t>In the last three years, as STT Amsterdam worked to integrate STT's chocolate advocacy as part of the European VOICE (Voice of Organizations in Cocoa in Europe) network,</w:t>
      </w:r>
      <w:r w:rsidRPr="00CF12D9">
        <w:rPr>
          <w:rStyle w:val="FootnoteReference"/>
          <w:rFonts w:ascii="Garamond" w:hAnsi="Garamond" w:cs="Cambria"/>
          <w:bCs/>
          <w:iCs/>
          <w:color w:val="000000"/>
          <w:sz w:val="24"/>
          <w:szCs w:val="24"/>
        </w:rPr>
        <w:t xml:space="preserve"> </w:t>
      </w:r>
      <w:r w:rsidRPr="00CF12D9">
        <w:rPr>
          <w:rStyle w:val="FootnoteReference"/>
          <w:rFonts w:ascii="Garamond" w:hAnsi="Garamond" w:cs="Cambria"/>
          <w:bCs/>
          <w:iCs/>
          <w:color w:val="000000"/>
          <w:sz w:val="24"/>
          <w:szCs w:val="24"/>
        </w:rPr>
        <w:footnoteReference w:id="104"/>
      </w:r>
      <w:r w:rsidRPr="00CF12D9">
        <w:rPr>
          <w:rStyle w:val="A2"/>
          <w:rFonts w:ascii="Garamond" w:hAnsi="Garamond"/>
          <w:sz w:val="24"/>
          <w:szCs w:val="24"/>
        </w:rPr>
        <w:t xml:space="preserve"> STT have become increasingly proficient at embedding their anti-trafficking message within the broader advocacy, trade union activism and certification schemes. </w:t>
      </w:r>
    </w:p>
    <w:p w:rsidR="004A7172" w:rsidRDefault="004A7172" w:rsidP="00472B3A">
      <w:pPr>
        <w:spacing w:line="360" w:lineRule="auto"/>
        <w:jc w:val="both"/>
        <w:rPr>
          <w:rFonts w:ascii="Garamond" w:hAnsi="Garamond"/>
          <w:color w:val="000000"/>
          <w:sz w:val="24"/>
          <w:szCs w:val="24"/>
        </w:rPr>
      </w:pPr>
    </w:p>
    <w:p w:rsidR="004A7172" w:rsidRDefault="004A7172" w:rsidP="00472B3A">
      <w:pPr>
        <w:spacing w:line="360" w:lineRule="auto"/>
        <w:jc w:val="both"/>
        <w:rPr>
          <w:rFonts w:ascii="Garamond" w:hAnsi="Garamond"/>
          <w:color w:val="000000"/>
          <w:sz w:val="24"/>
          <w:szCs w:val="24"/>
        </w:rPr>
      </w:pPr>
    </w:p>
    <w:p w:rsidR="002B7723" w:rsidRPr="002B7723" w:rsidRDefault="002B7723" w:rsidP="00472B3A">
      <w:pPr>
        <w:spacing w:line="360" w:lineRule="auto"/>
        <w:jc w:val="both"/>
        <w:rPr>
          <w:rFonts w:ascii="Garamond" w:hAnsi="Garamond"/>
          <w:color w:val="000000"/>
          <w:sz w:val="24"/>
          <w:szCs w:val="24"/>
        </w:rPr>
      </w:pPr>
    </w:p>
    <w:p w:rsidR="00F907C9" w:rsidRDefault="00472B3A" w:rsidP="00F907C9">
      <w:pPr>
        <w:keepNext/>
        <w:spacing w:line="360" w:lineRule="auto"/>
        <w:jc w:val="center"/>
      </w:pPr>
      <w:r>
        <w:rPr>
          <w:rFonts w:ascii="Garamond" w:hAnsi="Garamond"/>
          <w:i/>
          <w:noProof/>
          <w:sz w:val="24"/>
          <w:szCs w:val="24"/>
          <w:lang w:eastAsia="en-GB"/>
        </w:rPr>
        <w:drawing>
          <wp:inline distT="0" distB="0" distL="0" distR="0">
            <wp:extent cx="5079774" cy="3759200"/>
            <wp:effectExtent l="57150" t="38100" r="44676" b="12700"/>
            <wp:docPr id="22" name="Picture 1" descr="C:\Users\hugh crosfield\Desktop\Share of annual global cocoa prod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Share of annual global cocoa production.png"/>
                    <pic:cNvPicPr>
                      <a:picLocks noChangeAspect="1" noChangeArrowheads="1"/>
                    </pic:cNvPicPr>
                  </pic:nvPicPr>
                  <pic:blipFill>
                    <a:blip r:embed="rId70" cstate="print"/>
                    <a:srcRect/>
                    <a:stretch>
                      <a:fillRect/>
                    </a:stretch>
                  </pic:blipFill>
                  <pic:spPr bwMode="auto">
                    <a:xfrm>
                      <a:off x="0" y="0"/>
                      <a:ext cx="5072148" cy="3753557"/>
                    </a:xfrm>
                    <a:prstGeom prst="rect">
                      <a:avLst/>
                    </a:prstGeom>
                    <a:noFill/>
                    <a:ln w="31750">
                      <a:solidFill>
                        <a:schemeClr val="tx1"/>
                      </a:solidFill>
                      <a:miter lim="800000"/>
                      <a:headEnd/>
                      <a:tailEnd/>
                    </a:ln>
                  </pic:spPr>
                </pic:pic>
              </a:graphicData>
            </a:graphic>
          </wp:inline>
        </w:drawing>
      </w:r>
    </w:p>
    <w:p w:rsidR="00F907C9" w:rsidRPr="00DD2983" w:rsidRDefault="00F907C9" w:rsidP="00F907C9">
      <w:pPr>
        <w:pStyle w:val="Caption"/>
        <w:jc w:val="both"/>
        <w:rPr>
          <w:rFonts w:ascii="Perpetua" w:hAnsi="Perpetua"/>
          <w:b w:val="0"/>
          <w:i/>
          <w:color w:val="auto"/>
          <w:sz w:val="20"/>
          <w:szCs w:val="22"/>
        </w:rPr>
      </w:pPr>
      <w:bookmarkStart w:id="512" w:name="_Toc244578427"/>
      <w:r w:rsidRPr="006C1ED4">
        <w:rPr>
          <w:rFonts w:ascii="Perpetua" w:hAnsi="Perpetua"/>
          <w:color w:val="auto"/>
          <w:sz w:val="20"/>
          <w:szCs w:val="22"/>
        </w:rPr>
        <w:t xml:space="preserve">Table </w:t>
      </w:r>
      <w:r w:rsidR="00DF2DF8" w:rsidRPr="006C1ED4">
        <w:rPr>
          <w:rFonts w:ascii="Perpetua" w:hAnsi="Perpetua"/>
          <w:color w:val="auto"/>
          <w:sz w:val="20"/>
          <w:szCs w:val="22"/>
        </w:rPr>
        <w:fldChar w:fldCharType="begin"/>
      </w:r>
      <w:r w:rsidRPr="006C1ED4">
        <w:rPr>
          <w:rFonts w:ascii="Perpetua" w:hAnsi="Perpetua"/>
          <w:color w:val="auto"/>
          <w:sz w:val="20"/>
          <w:szCs w:val="22"/>
        </w:rPr>
        <w:instrText xml:space="preserve"> SEQ Table \* ARABIC </w:instrText>
      </w:r>
      <w:r w:rsidR="00DF2DF8" w:rsidRPr="006C1ED4">
        <w:rPr>
          <w:rFonts w:ascii="Perpetua" w:hAnsi="Perpetua"/>
          <w:color w:val="auto"/>
          <w:sz w:val="20"/>
          <w:szCs w:val="22"/>
        </w:rPr>
        <w:fldChar w:fldCharType="separate"/>
      </w:r>
      <w:r w:rsidR="002B3E92">
        <w:rPr>
          <w:rFonts w:ascii="Perpetua" w:hAnsi="Perpetua"/>
          <w:noProof/>
          <w:color w:val="auto"/>
          <w:sz w:val="20"/>
          <w:szCs w:val="22"/>
        </w:rPr>
        <w:t>6</w:t>
      </w:r>
      <w:r w:rsidR="00DF2DF8" w:rsidRPr="006C1ED4">
        <w:rPr>
          <w:rFonts w:ascii="Perpetua" w:hAnsi="Perpetua"/>
          <w:color w:val="auto"/>
          <w:sz w:val="20"/>
          <w:szCs w:val="22"/>
        </w:rPr>
        <w:fldChar w:fldCharType="end"/>
      </w:r>
      <w:r w:rsidRPr="006C1ED4">
        <w:rPr>
          <w:rFonts w:ascii="Perpetua" w:hAnsi="Perpetua"/>
          <w:color w:val="auto"/>
          <w:sz w:val="20"/>
          <w:szCs w:val="22"/>
        </w:rPr>
        <w:t>:</w:t>
      </w:r>
      <w:r w:rsidRPr="00DD2983">
        <w:rPr>
          <w:rFonts w:ascii="Perpetua" w:hAnsi="Perpetua"/>
          <w:b w:val="0"/>
          <w:color w:val="auto"/>
          <w:sz w:val="20"/>
          <w:szCs w:val="22"/>
        </w:rPr>
        <w:t xml:space="preserve"> Global Cocoa Production 2007-2010. Source, </w:t>
      </w:r>
      <w:r w:rsidRPr="00DD2983">
        <w:rPr>
          <w:rFonts w:ascii="Perpetua" w:hAnsi="Perpetua" w:cs="Times New Roman"/>
          <w:b w:val="0"/>
          <w:i/>
          <w:color w:val="auto"/>
          <w:sz w:val="20"/>
          <w:szCs w:val="22"/>
        </w:rPr>
        <w:t>ICCO Quarterly Bulletin of Cocoa Statistics</w:t>
      </w:r>
      <w:r w:rsidRPr="00DD2983">
        <w:rPr>
          <w:rFonts w:ascii="Perpetua" w:hAnsi="Perpetua" w:cs="Times New Roman"/>
          <w:b w:val="0"/>
          <w:color w:val="auto"/>
          <w:sz w:val="20"/>
          <w:szCs w:val="22"/>
        </w:rPr>
        <w:t>, 36, 4: 35</w:t>
      </w:r>
      <w:bookmarkEnd w:id="512"/>
    </w:p>
    <w:p w:rsidR="002B7723" w:rsidRDefault="002B7723" w:rsidP="00F907C9">
      <w:pPr>
        <w:pStyle w:val="Caption"/>
        <w:jc w:val="center"/>
      </w:pPr>
    </w:p>
    <w:p w:rsidR="00472B3A" w:rsidRPr="002B7723" w:rsidRDefault="00472B3A" w:rsidP="002B7723">
      <w:pPr>
        <w:pStyle w:val="Caption"/>
        <w:jc w:val="both"/>
        <w:rPr>
          <w:rFonts w:ascii="Perpetua" w:hAnsi="Perpetua"/>
          <w:b w:val="0"/>
          <w:i/>
          <w:color w:val="auto"/>
          <w:sz w:val="22"/>
          <w:szCs w:val="22"/>
        </w:rPr>
      </w:pPr>
    </w:p>
    <w:p w:rsidR="00F907C9" w:rsidRDefault="00472B3A" w:rsidP="00F907C9">
      <w:pPr>
        <w:keepNext/>
        <w:tabs>
          <w:tab w:val="right" w:pos="9026"/>
        </w:tabs>
        <w:spacing w:line="360" w:lineRule="auto"/>
      </w:pPr>
      <w:r>
        <w:rPr>
          <w:rFonts w:ascii="Garamond" w:hAnsi="Garamond"/>
          <w:noProof/>
          <w:sz w:val="24"/>
          <w:szCs w:val="24"/>
          <w:lang w:eastAsia="en-GB"/>
        </w:rPr>
        <w:lastRenderedPageBreak/>
        <w:drawing>
          <wp:inline distT="0" distB="0" distL="0" distR="0">
            <wp:extent cx="5075779" cy="5181600"/>
            <wp:effectExtent l="57150" t="38100" r="29621" b="19050"/>
            <wp:docPr id="23" name="Picture 2" descr="C:\Users\hugh crosfield\Desktop\Cocoa Certification Sche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gh crosfield\Desktop\Cocoa Certification Schemes.jpg"/>
                    <pic:cNvPicPr>
                      <a:picLocks noChangeAspect="1" noChangeArrowheads="1"/>
                    </pic:cNvPicPr>
                  </pic:nvPicPr>
                  <pic:blipFill>
                    <a:blip r:embed="rId71" cstate="print"/>
                    <a:srcRect/>
                    <a:stretch>
                      <a:fillRect/>
                    </a:stretch>
                  </pic:blipFill>
                  <pic:spPr bwMode="auto">
                    <a:xfrm>
                      <a:off x="0" y="0"/>
                      <a:ext cx="5077571" cy="5183429"/>
                    </a:xfrm>
                    <a:prstGeom prst="rect">
                      <a:avLst/>
                    </a:prstGeom>
                    <a:noFill/>
                    <a:ln w="31750">
                      <a:solidFill>
                        <a:schemeClr val="tx1"/>
                      </a:solidFill>
                      <a:miter lim="800000"/>
                      <a:headEnd/>
                      <a:tailEnd/>
                    </a:ln>
                  </pic:spPr>
                </pic:pic>
              </a:graphicData>
            </a:graphic>
          </wp:inline>
        </w:drawing>
      </w:r>
    </w:p>
    <w:p w:rsidR="00F907C9" w:rsidRPr="00DD2983" w:rsidRDefault="00F907C9" w:rsidP="00F907C9">
      <w:pPr>
        <w:jc w:val="both"/>
        <w:rPr>
          <w:rFonts w:ascii="Perpetua" w:hAnsi="Perpetua"/>
          <w:sz w:val="20"/>
        </w:rPr>
      </w:pPr>
      <w:bookmarkStart w:id="513" w:name="_Toc244578428"/>
      <w:r w:rsidRPr="00DD2983">
        <w:rPr>
          <w:rFonts w:ascii="Perpetua" w:hAnsi="Perpetua"/>
          <w:b/>
          <w:sz w:val="20"/>
        </w:rPr>
        <w:t xml:space="preserve">Table </w:t>
      </w:r>
      <w:r w:rsidR="00DF2DF8" w:rsidRPr="00DD2983">
        <w:rPr>
          <w:rFonts w:ascii="Perpetua" w:hAnsi="Perpetua"/>
          <w:b/>
          <w:sz w:val="20"/>
        </w:rPr>
        <w:fldChar w:fldCharType="begin"/>
      </w:r>
      <w:r w:rsidRPr="00DD2983">
        <w:rPr>
          <w:rFonts w:ascii="Perpetua" w:hAnsi="Perpetua"/>
          <w:b/>
          <w:sz w:val="20"/>
        </w:rPr>
        <w:instrText xml:space="preserve"> SEQ Table \* ARABIC </w:instrText>
      </w:r>
      <w:r w:rsidR="00DF2DF8" w:rsidRPr="00DD2983">
        <w:rPr>
          <w:rFonts w:ascii="Perpetua" w:hAnsi="Perpetua"/>
          <w:b/>
          <w:sz w:val="20"/>
        </w:rPr>
        <w:fldChar w:fldCharType="separate"/>
      </w:r>
      <w:r w:rsidR="002B3E92">
        <w:rPr>
          <w:rFonts w:ascii="Perpetua" w:hAnsi="Perpetua"/>
          <w:b/>
          <w:noProof/>
          <w:sz w:val="20"/>
        </w:rPr>
        <w:t>7</w:t>
      </w:r>
      <w:r w:rsidR="00DF2DF8" w:rsidRPr="00DD2983">
        <w:rPr>
          <w:rFonts w:ascii="Perpetua" w:hAnsi="Perpetua"/>
          <w:b/>
          <w:sz w:val="20"/>
        </w:rPr>
        <w:fldChar w:fldCharType="end"/>
      </w:r>
      <w:r w:rsidRPr="00DD2983">
        <w:rPr>
          <w:rFonts w:ascii="Perpetua" w:hAnsi="Perpetua"/>
          <w:b/>
          <w:sz w:val="20"/>
        </w:rPr>
        <w:t>:</w:t>
      </w:r>
      <w:r w:rsidRPr="00DD2983">
        <w:rPr>
          <w:rFonts w:ascii="Perpetua" w:hAnsi="Perpetua"/>
          <w:sz w:val="20"/>
        </w:rPr>
        <w:t xml:space="preserve"> Chocolate certification scheme structures in the Côte D’Ivoire. Utz, Rainforest Alliance and Fairtrade. Source: </w:t>
      </w:r>
      <w:r w:rsidRPr="00DD2983">
        <w:rPr>
          <w:rFonts w:ascii="Perpetua" w:hAnsi="Perpetua"/>
          <w:bCs/>
          <w:sz w:val="20"/>
        </w:rPr>
        <w:t xml:space="preserve">Hatløy H, Kebede T, Adeba P, Elvis C (2012: 21) </w:t>
      </w:r>
      <w:r w:rsidRPr="00DD2983">
        <w:rPr>
          <w:rFonts w:ascii="Perpetua" w:hAnsi="Perpetua"/>
          <w:bCs/>
          <w:i/>
          <w:sz w:val="20"/>
        </w:rPr>
        <w:t>Towards Côte d’Ivoire Sustainable Cocoa Initiative (CISCI) Baseline Study Report</w:t>
      </w:r>
      <w:r w:rsidRPr="00DD2983">
        <w:rPr>
          <w:rFonts w:ascii="Perpetua" w:hAnsi="Perpetua"/>
          <w:bCs/>
          <w:sz w:val="20"/>
        </w:rPr>
        <w:t xml:space="preserve">.  </w:t>
      </w:r>
      <w:r w:rsidRPr="00DD2983">
        <w:rPr>
          <w:rFonts w:ascii="Perpetua" w:hAnsi="Perpetua"/>
          <w:sz w:val="20"/>
        </w:rPr>
        <w:t>Fafo Institute for Applied International Studies, Norway.</w:t>
      </w:r>
      <w:bookmarkEnd w:id="513"/>
    </w:p>
    <w:p w:rsidR="00472B3A" w:rsidRPr="00E30EDC" w:rsidRDefault="00472B3A" w:rsidP="00F907C9">
      <w:pPr>
        <w:pStyle w:val="Caption"/>
        <w:rPr>
          <w:rFonts w:ascii="Garamond" w:hAnsi="Garamond"/>
          <w:sz w:val="24"/>
          <w:szCs w:val="24"/>
        </w:rPr>
      </w:pPr>
    </w:p>
    <w:p w:rsidR="00472B3A" w:rsidRDefault="00472B3A" w:rsidP="00472B3A">
      <w:pPr>
        <w:spacing w:line="360" w:lineRule="auto"/>
        <w:jc w:val="both"/>
        <w:rPr>
          <w:rFonts w:ascii="Garamond" w:hAnsi="Garamond"/>
          <w:sz w:val="24"/>
          <w:szCs w:val="24"/>
        </w:rPr>
      </w:pPr>
      <w:r>
        <w:rPr>
          <w:rFonts w:ascii="Garamond" w:hAnsi="Garamond"/>
          <w:sz w:val="24"/>
          <w:szCs w:val="24"/>
        </w:rPr>
        <w:t>The premise of the VOICE network is to streamline transnatio</w:t>
      </w:r>
      <w:r w:rsidR="0091291A">
        <w:rPr>
          <w:rFonts w:ascii="Garamond" w:hAnsi="Garamond"/>
          <w:sz w:val="24"/>
          <w:szCs w:val="24"/>
        </w:rPr>
        <w:t xml:space="preserve">nal activism from various NGOs </w:t>
      </w:r>
      <w:r>
        <w:rPr>
          <w:rFonts w:ascii="Garamond" w:hAnsi="Garamond"/>
          <w:sz w:val="24"/>
          <w:szCs w:val="24"/>
        </w:rPr>
        <w:t xml:space="preserve">to reform the cocoa industry. In their mission statement the coalition praise the work of individual organizations in preventing the “deterioration of the cocoa supply chain”, but:  </w:t>
      </w:r>
    </w:p>
    <w:p w:rsidR="00472B3A" w:rsidRPr="0042095B" w:rsidRDefault="00472B3A" w:rsidP="00472B3A">
      <w:pPr>
        <w:autoSpaceDE w:val="0"/>
        <w:autoSpaceDN w:val="0"/>
        <w:adjustRightInd w:val="0"/>
        <w:spacing w:after="0" w:line="240" w:lineRule="auto"/>
        <w:rPr>
          <w:rFonts w:ascii="Museo Sans 100" w:hAnsi="Museo Sans 100" w:cs="Museo Sans 100"/>
          <w:color w:val="000000"/>
          <w:sz w:val="24"/>
          <w:szCs w:val="24"/>
        </w:rPr>
      </w:pPr>
    </w:p>
    <w:p w:rsidR="00472B3A" w:rsidRPr="00146EA0" w:rsidRDefault="00472B3A" w:rsidP="00DD2983">
      <w:pPr>
        <w:autoSpaceDE w:val="0"/>
        <w:autoSpaceDN w:val="0"/>
        <w:adjustRightInd w:val="0"/>
        <w:spacing w:after="0" w:line="360" w:lineRule="auto"/>
        <w:ind w:left="284" w:right="284"/>
        <w:jc w:val="both"/>
        <w:rPr>
          <w:rFonts w:ascii="Garamond" w:hAnsi="Garamond" w:cs="Museo Sans 100"/>
          <w:color w:val="000000"/>
        </w:rPr>
      </w:pPr>
      <w:r w:rsidRPr="00146EA0">
        <w:rPr>
          <w:rFonts w:ascii="Garamond" w:hAnsi="Garamond" w:cs="Museo Sans 100"/>
          <w:color w:val="000000"/>
        </w:rPr>
        <w:t xml:space="preserve">despite these different initiatives, more effective action by a large number of stakeholders throughout the chain is needed to ensure the sector’s continuation </w:t>
      </w:r>
      <w:r w:rsidRPr="00146EA0">
        <w:rPr>
          <w:rFonts w:ascii="Garamond" w:hAnsi="Garamond" w:cs="Museo Sans 100"/>
          <w:i/>
          <w:iCs/>
          <w:color w:val="000000"/>
        </w:rPr>
        <w:t xml:space="preserve">“in a sustainable way”. </w:t>
      </w:r>
      <w:r w:rsidRPr="00146EA0">
        <w:rPr>
          <w:rFonts w:ascii="Garamond" w:hAnsi="Garamond" w:cs="Museo Sans 100"/>
          <w:color w:val="000000"/>
        </w:rPr>
        <w:t xml:space="preserve">A special focus is needed on social issues in the cocoa supply chain. Therefore a large number of European NGOs and Unions advocate for change throughout the sector, although mostly these organizations focus on their regional basis. As the cocoa sector is a </w:t>
      </w:r>
      <w:r w:rsidRPr="00146EA0">
        <w:rPr>
          <w:rFonts w:ascii="Garamond" w:hAnsi="Garamond" w:cs="Museo Sans 100"/>
          <w:color w:val="000000"/>
        </w:rPr>
        <w:lastRenderedPageBreak/>
        <w:t>highly international sector, more international cooperation between these organizations is of great importance.</w:t>
      </w:r>
      <w:r>
        <w:rPr>
          <w:rFonts w:ascii="Garamond" w:hAnsi="Garamond" w:cs="Museo Sans 100"/>
          <w:color w:val="000000"/>
        </w:rPr>
        <w:t xml:space="preserve"> (VOICE, 2012)</w:t>
      </w:r>
      <w:r w:rsidRPr="00146EA0">
        <w:rPr>
          <w:rFonts w:ascii="Garamond" w:hAnsi="Garamond" w:cs="Museo Sans 100"/>
          <w:color w:val="000000"/>
        </w:rPr>
        <w:t xml:space="preserve"> </w:t>
      </w:r>
      <w:r w:rsidRPr="00146EA0">
        <w:rPr>
          <w:rFonts w:ascii="Garamond" w:hAnsi="Garamond"/>
        </w:rPr>
        <w:t xml:space="preserve"> </w:t>
      </w:r>
    </w:p>
    <w:p w:rsidR="00472B3A" w:rsidRDefault="00472B3A" w:rsidP="00DD2983">
      <w:pPr>
        <w:spacing w:after="0" w:line="360" w:lineRule="auto"/>
        <w:jc w:val="both"/>
        <w:rPr>
          <w:rFonts w:ascii="Garamond" w:hAnsi="Garamond"/>
          <w:sz w:val="24"/>
          <w:szCs w:val="24"/>
        </w:rPr>
      </w:pPr>
    </w:p>
    <w:p w:rsidR="006C1ED4" w:rsidRDefault="00472B3A" w:rsidP="00DD2983">
      <w:pPr>
        <w:spacing w:after="0" w:line="360" w:lineRule="auto"/>
        <w:jc w:val="both"/>
        <w:rPr>
          <w:rFonts w:ascii="Garamond" w:hAnsi="Garamond"/>
          <w:sz w:val="24"/>
          <w:szCs w:val="24"/>
        </w:rPr>
      </w:pPr>
      <w:r w:rsidRPr="005D086E">
        <w:rPr>
          <w:rFonts w:ascii="Garamond" w:hAnsi="Garamond"/>
          <w:sz w:val="24"/>
          <w:szCs w:val="24"/>
        </w:rPr>
        <w:t>Cocoa for the global chocolate industry is grown on plantations in South America, and more prolifically on many thousands of small farms (80% of which are under two hectares in size, see Blowfield, 2003) in</w:t>
      </w:r>
      <w:r>
        <w:rPr>
          <w:rFonts w:ascii="Garamond" w:hAnsi="Garamond"/>
          <w:sz w:val="24"/>
          <w:szCs w:val="24"/>
        </w:rPr>
        <w:t xml:space="preserve"> Africa, especially</w:t>
      </w:r>
      <w:r w:rsidRPr="005D086E">
        <w:rPr>
          <w:rFonts w:ascii="Garamond" w:hAnsi="Garamond"/>
          <w:sz w:val="24"/>
          <w:szCs w:val="24"/>
        </w:rPr>
        <w:t xml:space="preserve"> </w:t>
      </w:r>
      <w:r>
        <w:rPr>
          <w:rFonts w:ascii="Garamond" w:hAnsi="Garamond"/>
          <w:sz w:val="24"/>
          <w:szCs w:val="24"/>
        </w:rPr>
        <w:t xml:space="preserve">in </w:t>
      </w:r>
      <w:r w:rsidRPr="005D086E">
        <w:rPr>
          <w:rFonts w:ascii="Garamond" w:hAnsi="Garamond"/>
          <w:sz w:val="24"/>
          <w:szCs w:val="24"/>
        </w:rPr>
        <w:t xml:space="preserve">the </w:t>
      </w:r>
      <w:r>
        <w:rPr>
          <w:rFonts w:ascii="Garamond" w:hAnsi="Garamond"/>
          <w:sz w:val="24"/>
          <w:szCs w:val="24"/>
        </w:rPr>
        <w:t>Côte</w:t>
      </w:r>
      <w:r w:rsidRPr="005D086E">
        <w:rPr>
          <w:rFonts w:ascii="Garamond" w:hAnsi="Garamond"/>
          <w:sz w:val="24"/>
          <w:szCs w:val="24"/>
        </w:rPr>
        <w:t xml:space="preserve"> D’Ivoire </w:t>
      </w:r>
      <w:r>
        <w:rPr>
          <w:rFonts w:ascii="Garamond" w:hAnsi="Garamond"/>
          <w:sz w:val="24"/>
          <w:szCs w:val="24"/>
        </w:rPr>
        <w:t>and</w:t>
      </w:r>
      <w:r w:rsidRPr="005D086E">
        <w:rPr>
          <w:rFonts w:ascii="Garamond" w:hAnsi="Garamond"/>
          <w:sz w:val="24"/>
          <w:szCs w:val="24"/>
        </w:rPr>
        <w:t xml:space="preserve"> Ghana. Requiring high levels of precipitation and sunlight, cocoa is only grown between the two tropics. </w:t>
      </w:r>
      <w:r>
        <w:rPr>
          <w:rFonts w:ascii="Garamond" w:hAnsi="Garamond"/>
          <w:sz w:val="24"/>
          <w:szCs w:val="24"/>
        </w:rPr>
        <w:t>In Ghana, cocoa f</w:t>
      </w:r>
      <w:r w:rsidRPr="005D086E">
        <w:rPr>
          <w:rFonts w:ascii="Garamond" w:hAnsi="Garamond"/>
          <w:sz w:val="24"/>
          <w:szCs w:val="24"/>
        </w:rPr>
        <w:t>arming</w:t>
      </w:r>
      <w:r>
        <w:rPr>
          <w:rFonts w:ascii="Garamond" w:hAnsi="Garamond"/>
          <w:sz w:val="24"/>
          <w:szCs w:val="24"/>
        </w:rPr>
        <w:t>, drying, fermentation and trading is almost entirely</w:t>
      </w:r>
      <w:r w:rsidRPr="005D086E">
        <w:rPr>
          <w:rFonts w:ascii="Garamond" w:hAnsi="Garamond"/>
          <w:sz w:val="24"/>
          <w:szCs w:val="24"/>
        </w:rPr>
        <w:t xml:space="preserve"> cont</w:t>
      </w:r>
      <w:r>
        <w:rPr>
          <w:rFonts w:ascii="Garamond" w:hAnsi="Garamond"/>
          <w:sz w:val="24"/>
          <w:szCs w:val="24"/>
        </w:rPr>
        <w:t xml:space="preserve">rolled by the </w:t>
      </w:r>
      <w:r w:rsidRPr="005D086E">
        <w:rPr>
          <w:rFonts w:ascii="Garamond" w:hAnsi="Garamond"/>
          <w:sz w:val="24"/>
          <w:szCs w:val="24"/>
        </w:rPr>
        <w:t>state</w:t>
      </w:r>
      <w:r>
        <w:rPr>
          <w:rFonts w:ascii="Garamond" w:hAnsi="Garamond"/>
          <w:sz w:val="24"/>
          <w:szCs w:val="24"/>
        </w:rPr>
        <w:t xml:space="preserve"> marketing board </w:t>
      </w:r>
      <w:r w:rsidRPr="00ED5E20">
        <w:rPr>
          <w:rFonts w:ascii="Garamond" w:hAnsi="Garamond"/>
          <w:i/>
          <w:sz w:val="24"/>
          <w:szCs w:val="24"/>
        </w:rPr>
        <w:t>Cocobod</w:t>
      </w:r>
      <w:r>
        <w:rPr>
          <w:rFonts w:ascii="Garamond" w:hAnsi="Garamond"/>
          <w:sz w:val="24"/>
          <w:szCs w:val="24"/>
        </w:rPr>
        <w:t xml:space="preserve">, which guarantees farmers a minimum of 70% of world cocoa prices at the beginning of each harvesting season (Hütz-Adams </w:t>
      </w:r>
      <w:r w:rsidR="00F152DB">
        <w:rPr>
          <w:rFonts w:ascii="Garamond" w:hAnsi="Garamond"/>
          <w:sz w:val="24"/>
          <w:szCs w:val="24"/>
        </w:rPr>
        <w:t>and</w:t>
      </w:r>
      <w:r>
        <w:rPr>
          <w:rFonts w:ascii="Garamond" w:hAnsi="Garamond"/>
          <w:sz w:val="24"/>
          <w:szCs w:val="24"/>
        </w:rPr>
        <w:t xml:space="preserve"> </w:t>
      </w:r>
      <w:r w:rsidRPr="00ED5E20">
        <w:rPr>
          <w:rFonts w:ascii="Garamond" w:hAnsi="Garamond"/>
          <w:sz w:val="24"/>
          <w:szCs w:val="24"/>
        </w:rPr>
        <w:t>Fountain</w:t>
      </w:r>
      <w:r>
        <w:rPr>
          <w:rFonts w:ascii="Garamond" w:hAnsi="Garamond"/>
          <w:sz w:val="24"/>
          <w:szCs w:val="24"/>
        </w:rPr>
        <w:t xml:space="preserve">, 2012). In contrast, </w:t>
      </w:r>
      <w:r w:rsidRPr="005D086E">
        <w:rPr>
          <w:rFonts w:ascii="Garamond" w:hAnsi="Garamond"/>
          <w:sz w:val="24"/>
          <w:szCs w:val="24"/>
        </w:rPr>
        <w:t xml:space="preserve">in the </w:t>
      </w:r>
      <w:r w:rsidRPr="00ED5E20">
        <w:rPr>
          <w:rFonts w:ascii="Garamond" w:hAnsi="Garamond" w:cs="Arial"/>
          <w:bCs/>
          <w:color w:val="000000"/>
          <w:sz w:val="24"/>
          <w:szCs w:val="24"/>
          <w:shd w:val="clear" w:color="auto" w:fill="FFFFFF"/>
        </w:rPr>
        <w:t>Côte</w:t>
      </w:r>
      <w:r w:rsidRPr="005D086E">
        <w:rPr>
          <w:rFonts w:ascii="Garamond" w:hAnsi="Garamond"/>
          <w:sz w:val="24"/>
          <w:szCs w:val="24"/>
        </w:rPr>
        <w:t xml:space="preserve"> D’Ivoire</w:t>
      </w:r>
      <w:r>
        <w:rPr>
          <w:rFonts w:ascii="Garamond" w:hAnsi="Garamond"/>
          <w:sz w:val="24"/>
          <w:szCs w:val="24"/>
        </w:rPr>
        <w:t xml:space="preserve"> </w:t>
      </w:r>
      <w:r w:rsidRPr="005D086E">
        <w:rPr>
          <w:rFonts w:ascii="Garamond" w:hAnsi="Garamond"/>
          <w:sz w:val="24"/>
          <w:szCs w:val="24"/>
        </w:rPr>
        <w:t>structural adjustment policies and free-trade</w:t>
      </w:r>
      <w:r>
        <w:rPr>
          <w:rFonts w:ascii="Garamond" w:hAnsi="Garamond"/>
          <w:sz w:val="24"/>
          <w:szCs w:val="24"/>
        </w:rPr>
        <w:t xml:space="preserve"> had come to characteriz</w:t>
      </w:r>
      <w:r w:rsidRPr="005D086E">
        <w:rPr>
          <w:rFonts w:ascii="Garamond" w:hAnsi="Garamond"/>
          <w:sz w:val="24"/>
          <w:szCs w:val="24"/>
        </w:rPr>
        <w:t xml:space="preserve">e production </w:t>
      </w:r>
      <w:r>
        <w:rPr>
          <w:rFonts w:ascii="Garamond" w:hAnsi="Garamond"/>
          <w:sz w:val="24"/>
          <w:szCs w:val="24"/>
        </w:rPr>
        <w:t>over the last twenty years</w:t>
      </w:r>
      <w:r w:rsidRPr="005D086E">
        <w:rPr>
          <w:rFonts w:ascii="Garamond" w:hAnsi="Garamond"/>
          <w:sz w:val="24"/>
          <w:szCs w:val="24"/>
        </w:rPr>
        <w:t xml:space="preserve"> (Fold, 2002).</w:t>
      </w:r>
      <w:r>
        <w:rPr>
          <w:rFonts w:ascii="Garamond" w:hAnsi="Garamond"/>
          <w:sz w:val="24"/>
          <w:szCs w:val="24"/>
        </w:rPr>
        <w:t xml:space="preserve"> However, since 2012 a similar state controlled marketing board, the</w:t>
      </w:r>
      <w:r w:rsidRPr="00F9164C">
        <w:rPr>
          <w:rFonts w:ascii="Garamond" w:hAnsi="Garamond"/>
          <w:sz w:val="24"/>
          <w:szCs w:val="24"/>
        </w:rPr>
        <w:t xml:space="preserve"> Conseil du Café-Cacao (CCC)</w:t>
      </w:r>
      <w:r>
        <w:rPr>
          <w:rFonts w:ascii="Garamond" w:hAnsi="Garamond"/>
          <w:sz w:val="24"/>
          <w:szCs w:val="24"/>
        </w:rPr>
        <w:t>,</w:t>
      </w:r>
      <w:r w:rsidRPr="00F9164C">
        <w:rPr>
          <w:rFonts w:ascii="Garamond" w:hAnsi="Garamond"/>
          <w:sz w:val="24"/>
          <w:szCs w:val="24"/>
          <w:shd w:val="clear" w:color="auto" w:fill="FFFFFF"/>
        </w:rPr>
        <w:t xml:space="preserve"> </w:t>
      </w:r>
      <w:r>
        <w:rPr>
          <w:rFonts w:ascii="Garamond" w:hAnsi="Garamond"/>
          <w:sz w:val="24"/>
          <w:szCs w:val="24"/>
          <w:shd w:val="clear" w:color="auto" w:fill="FFFFFF"/>
        </w:rPr>
        <w:t xml:space="preserve">has been implemented in the </w:t>
      </w:r>
      <w:r w:rsidRPr="00ED5E20">
        <w:rPr>
          <w:rFonts w:ascii="Garamond" w:hAnsi="Garamond" w:cs="Arial"/>
          <w:bCs/>
          <w:color w:val="000000"/>
          <w:sz w:val="24"/>
          <w:szCs w:val="24"/>
          <w:shd w:val="clear" w:color="auto" w:fill="FFFFFF"/>
        </w:rPr>
        <w:t>Côte</w:t>
      </w:r>
      <w:r w:rsidRPr="005D086E">
        <w:rPr>
          <w:rFonts w:ascii="Garamond" w:hAnsi="Garamond"/>
          <w:sz w:val="24"/>
          <w:szCs w:val="24"/>
        </w:rPr>
        <w:t xml:space="preserve"> D’Ivoire</w:t>
      </w:r>
      <w:r>
        <w:rPr>
          <w:rFonts w:ascii="Garamond" w:hAnsi="Garamond"/>
          <w:sz w:val="24"/>
          <w:szCs w:val="24"/>
        </w:rPr>
        <w:t xml:space="preserve"> to offer farmers protection from the volatile cocoa market (</w:t>
      </w:r>
      <w:r w:rsidRPr="00C11D37">
        <w:rPr>
          <w:rFonts w:ascii="Garamond" w:hAnsi="Garamond"/>
          <w:sz w:val="24"/>
          <w:szCs w:val="24"/>
        </w:rPr>
        <w:t>Hatløy</w:t>
      </w:r>
      <w:r>
        <w:rPr>
          <w:rFonts w:ascii="Garamond" w:hAnsi="Garamond"/>
          <w:sz w:val="24"/>
          <w:szCs w:val="24"/>
        </w:rPr>
        <w:t xml:space="preserve"> et al., 2012). The project offers hope of protecting farmers from the instability of price fluctuations, but is still in its infancy. </w:t>
      </w:r>
      <w:r w:rsidRPr="005D086E">
        <w:rPr>
          <w:rFonts w:ascii="Garamond" w:hAnsi="Garamond"/>
          <w:sz w:val="24"/>
          <w:szCs w:val="24"/>
        </w:rPr>
        <w:t xml:space="preserve"> </w:t>
      </w:r>
    </w:p>
    <w:p w:rsidR="00472B3A" w:rsidRDefault="00472B3A" w:rsidP="00DD2983">
      <w:pPr>
        <w:spacing w:after="0" w:line="360" w:lineRule="auto"/>
        <w:jc w:val="both"/>
        <w:rPr>
          <w:rFonts w:ascii="Garamond" w:hAnsi="Garamond"/>
          <w:sz w:val="24"/>
          <w:szCs w:val="24"/>
        </w:rPr>
      </w:pPr>
    </w:p>
    <w:p w:rsidR="00DD2983" w:rsidRDefault="00472B3A" w:rsidP="00DD2983">
      <w:pPr>
        <w:spacing w:after="0" w:line="360" w:lineRule="auto"/>
        <w:jc w:val="both"/>
        <w:rPr>
          <w:rStyle w:val="addmd"/>
        </w:rPr>
      </w:pPr>
      <w:r w:rsidRPr="005D086E">
        <w:rPr>
          <w:rFonts w:ascii="Garamond" w:hAnsi="Garamond"/>
          <w:sz w:val="24"/>
          <w:szCs w:val="24"/>
        </w:rPr>
        <w:t>West African cocoa is grown all year</w:t>
      </w:r>
      <w:r>
        <w:rPr>
          <w:rFonts w:ascii="Garamond" w:hAnsi="Garamond"/>
          <w:sz w:val="24"/>
          <w:szCs w:val="24"/>
        </w:rPr>
        <w:t xml:space="preserve"> round</w:t>
      </w:r>
      <w:r w:rsidRPr="005D086E">
        <w:rPr>
          <w:rFonts w:ascii="Garamond" w:hAnsi="Garamond"/>
          <w:sz w:val="24"/>
          <w:szCs w:val="24"/>
        </w:rPr>
        <w:t>, but there are two harvest seasons between October and March, and May and August. Harvesting is labour intensive</w:t>
      </w:r>
      <w:r>
        <w:rPr>
          <w:rFonts w:ascii="Garamond" w:hAnsi="Garamond"/>
          <w:sz w:val="24"/>
          <w:szCs w:val="24"/>
        </w:rPr>
        <w:t>;</w:t>
      </w:r>
      <w:r w:rsidRPr="005D086E">
        <w:rPr>
          <w:rFonts w:ascii="Garamond" w:hAnsi="Garamond"/>
          <w:sz w:val="24"/>
          <w:szCs w:val="24"/>
        </w:rPr>
        <w:t xml:space="preserve"> </w:t>
      </w:r>
      <w:r w:rsidRPr="005D086E">
        <w:rPr>
          <w:rStyle w:val="addmd"/>
          <w:rFonts w:ascii="Garamond" w:hAnsi="Garamond" w:cs="Times New Roman"/>
          <w:sz w:val="24"/>
          <w:szCs w:val="24"/>
        </w:rPr>
        <w:t>farm workers must climb the cocoa tree and</w:t>
      </w:r>
      <w:r>
        <w:rPr>
          <w:rStyle w:val="addmd"/>
          <w:rFonts w:ascii="Garamond" w:hAnsi="Garamond" w:cs="Times New Roman"/>
          <w:sz w:val="24"/>
          <w:szCs w:val="24"/>
        </w:rPr>
        <w:t>,</w:t>
      </w:r>
      <w:r w:rsidRPr="005D086E">
        <w:rPr>
          <w:rStyle w:val="addmd"/>
          <w:rFonts w:ascii="Garamond" w:hAnsi="Garamond" w:cs="Times New Roman"/>
          <w:sz w:val="24"/>
          <w:szCs w:val="24"/>
        </w:rPr>
        <w:t xml:space="preserve"> using a machete</w:t>
      </w:r>
      <w:r>
        <w:rPr>
          <w:rStyle w:val="addmd"/>
          <w:rFonts w:ascii="Garamond" w:hAnsi="Garamond" w:cs="Times New Roman"/>
          <w:sz w:val="24"/>
          <w:szCs w:val="24"/>
        </w:rPr>
        <w:t>,</w:t>
      </w:r>
      <w:r w:rsidRPr="005D086E">
        <w:rPr>
          <w:rStyle w:val="addmd"/>
          <w:rFonts w:ascii="Garamond" w:hAnsi="Garamond" w:cs="Times New Roman"/>
          <w:sz w:val="24"/>
          <w:szCs w:val="24"/>
        </w:rPr>
        <w:t xml:space="preserve"> sever the pods from thick stalks. Holding the pod in one hand and the machete in the other, the labourer makes four precise incisions into the pod in the shape of a rectangle, and uses the machete as a lever to prise the rhombus open. Due to the force and precision required, the skill requires months of practice, and in unskilled hands can result in serious injury (ILO, 2009). </w:t>
      </w:r>
    </w:p>
    <w:p w:rsidR="00472B3A" w:rsidRPr="005D086E" w:rsidRDefault="00472B3A" w:rsidP="00DD2983">
      <w:pPr>
        <w:spacing w:after="0" w:line="360" w:lineRule="auto"/>
        <w:jc w:val="both"/>
        <w:rPr>
          <w:rStyle w:val="addmd"/>
        </w:rPr>
      </w:pPr>
    </w:p>
    <w:p w:rsidR="00DD2983" w:rsidRDefault="00472B3A" w:rsidP="00DD2983">
      <w:pPr>
        <w:spacing w:after="0" w:line="360" w:lineRule="auto"/>
        <w:jc w:val="both"/>
        <w:rPr>
          <w:rStyle w:val="addmd"/>
        </w:rPr>
      </w:pPr>
      <w:r w:rsidRPr="005D086E">
        <w:rPr>
          <w:rStyle w:val="addmd"/>
          <w:rFonts w:ascii="Garamond" w:hAnsi="Garamond" w:cs="Times New Roman"/>
          <w:sz w:val="24"/>
          <w:szCs w:val="24"/>
        </w:rPr>
        <w:t>The harvesting of the pods is usually performed by boys and young men who work under the supervision of the head farmer, typically known affectionately as ‘Papa’ (</w:t>
      </w:r>
      <w:r w:rsidRPr="005D086E">
        <w:rPr>
          <w:rStyle w:val="addmd"/>
          <w:rFonts w:ascii="Garamond" w:hAnsi="Garamond" w:cs="Times New Roman"/>
          <w:i/>
          <w:sz w:val="24"/>
          <w:szCs w:val="24"/>
        </w:rPr>
        <w:t>Chocolate - The Bitter</w:t>
      </w:r>
      <w:r w:rsidRPr="005D086E">
        <w:rPr>
          <w:rStyle w:val="addmd"/>
          <w:rFonts w:ascii="Garamond" w:hAnsi="Garamond" w:cs="Times New Roman"/>
          <w:sz w:val="24"/>
          <w:szCs w:val="24"/>
        </w:rPr>
        <w:t xml:space="preserve"> </w:t>
      </w:r>
      <w:r w:rsidRPr="005D086E">
        <w:rPr>
          <w:rStyle w:val="addmd"/>
          <w:rFonts w:ascii="Garamond" w:hAnsi="Garamond" w:cs="Times New Roman"/>
          <w:i/>
          <w:sz w:val="24"/>
          <w:szCs w:val="24"/>
        </w:rPr>
        <w:t>Truth</w:t>
      </w:r>
      <w:r w:rsidRPr="005D086E">
        <w:rPr>
          <w:rStyle w:val="addmd"/>
          <w:rFonts w:ascii="Garamond" w:hAnsi="Garamond" w:cs="Times New Roman"/>
          <w:sz w:val="24"/>
          <w:szCs w:val="24"/>
        </w:rPr>
        <w:t>, 2009: Lawrance, 2010b). Male and female workers remove up to a total of fifty slimy white cocoa seeds from five cuticles in each pod (TIS, 2011), and pile the seeds into fermentation pits for several days, from where they are taken to an open clearing and spread under the sun to dry out and blacken into cocoa beans. The fermentation process impro</w:t>
      </w:r>
      <w:r>
        <w:rPr>
          <w:rStyle w:val="addmd"/>
          <w:rFonts w:ascii="Garamond" w:hAnsi="Garamond" w:cs="Times New Roman"/>
          <w:sz w:val="24"/>
          <w:szCs w:val="24"/>
        </w:rPr>
        <w:t>ves the bean ‘quality’ by oxidiz</w:t>
      </w:r>
      <w:r w:rsidRPr="005D086E">
        <w:rPr>
          <w:rStyle w:val="addmd"/>
          <w:rFonts w:ascii="Garamond" w:hAnsi="Garamond" w:cs="Times New Roman"/>
          <w:sz w:val="24"/>
          <w:szCs w:val="24"/>
        </w:rPr>
        <w:t>ing bitter tannins and developing a range of aromas (TIS, 2011</w:t>
      </w:r>
      <w:r>
        <w:rPr>
          <w:rStyle w:val="addmd"/>
          <w:rFonts w:ascii="Garamond" w:hAnsi="Garamond" w:cs="Times New Roman"/>
          <w:sz w:val="24"/>
          <w:szCs w:val="24"/>
        </w:rPr>
        <w:t>)</w:t>
      </w:r>
      <w:r w:rsidRPr="005D086E">
        <w:rPr>
          <w:rStyle w:val="FootnoteReference"/>
          <w:rFonts w:ascii="Garamond" w:hAnsi="Garamond"/>
          <w:sz w:val="24"/>
          <w:szCs w:val="24"/>
        </w:rPr>
        <w:footnoteReference w:id="105"/>
      </w:r>
      <w:r>
        <w:rPr>
          <w:rStyle w:val="addmd"/>
          <w:rFonts w:ascii="Garamond" w:hAnsi="Garamond" w:cs="Times New Roman"/>
          <w:sz w:val="24"/>
          <w:szCs w:val="24"/>
        </w:rPr>
        <w:t>. In</w:t>
      </w:r>
      <w:r w:rsidRPr="005D086E">
        <w:rPr>
          <w:rStyle w:val="addmd"/>
          <w:rFonts w:ascii="Garamond" w:hAnsi="Garamond" w:cs="Times New Roman"/>
          <w:sz w:val="24"/>
          <w:szCs w:val="24"/>
        </w:rPr>
        <w:t xml:space="preserve"> the growing regions of </w:t>
      </w:r>
      <w:r>
        <w:rPr>
          <w:rStyle w:val="addmd"/>
          <w:rFonts w:ascii="Garamond" w:hAnsi="Garamond" w:cs="Times New Roman"/>
          <w:sz w:val="24"/>
          <w:szCs w:val="24"/>
        </w:rPr>
        <w:t>Côte</w:t>
      </w:r>
      <w:r w:rsidRPr="005D086E">
        <w:rPr>
          <w:rStyle w:val="addmd"/>
          <w:rFonts w:ascii="Garamond" w:hAnsi="Garamond" w:cs="Times New Roman"/>
          <w:sz w:val="24"/>
          <w:szCs w:val="24"/>
        </w:rPr>
        <w:t xml:space="preserve"> D’Ivoire</w:t>
      </w:r>
      <w:r>
        <w:rPr>
          <w:rStyle w:val="addmd"/>
          <w:rFonts w:ascii="Garamond" w:hAnsi="Garamond" w:cs="Times New Roman"/>
          <w:sz w:val="24"/>
          <w:szCs w:val="24"/>
        </w:rPr>
        <w:t>,</w:t>
      </w:r>
      <w:r w:rsidRPr="005D086E">
        <w:rPr>
          <w:rStyle w:val="addmd"/>
          <w:rFonts w:ascii="Garamond" w:hAnsi="Garamond" w:cs="Times New Roman"/>
          <w:sz w:val="24"/>
          <w:szCs w:val="24"/>
        </w:rPr>
        <w:t xml:space="preserve"> the </w:t>
      </w:r>
      <w:r w:rsidRPr="005D086E">
        <w:rPr>
          <w:rStyle w:val="addmd"/>
          <w:rFonts w:ascii="Garamond" w:hAnsi="Garamond" w:cs="Times New Roman"/>
          <w:sz w:val="24"/>
          <w:szCs w:val="24"/>
        </w:rPr>
        <w:lastRenderedPageBreak/>
        <w:t>beans are sold to regional traders or international grinding companies for around 550 Western African Francs (CFA) per kilo (£0.80/Kg)</w:t>
      </w:r>
      <w:r>
        <w:rPr>
          <w:rStyle w:val="addmd"/>
          <w:rFonts w:ascii="Garamond" w:hAnsi="Garamond" w:cs="Times New Roman"/>
          <w:sz w:val="24"/>
          <w:szCs w:val="24"/>
        </w:rPr>
        <w:t>.</w:t>
      </w:r>
      <w:r w:rsidRPr="005D086E">
        <w:rPr>
          <w:rStyle w:val="FootnoteReference"/>
          <w:rFonts w:ascii="Garamond" w:hAnsi="Garamond"/>
          <w:sz w:val="24"/>
          <w:szCs w:val="24"/>
        </w:rPr>
        <w:footnoteReference w:id="106"/>
      </w:r>
    </w:p>
    <w:p w:rsidR="00472B3A" w:rsidRPr="005D086E" w:rsidRDefault="00472B3A" w:rsidP="00DD2983">
      <w:pPr>
        <w:spacing w:after="0" w:line="360" w:lineRule="auto"/>
        <w:jc w:val="both"/>
        <w:rPr>
          <w:rStyle w:val="addmd"/>
        </w:rPr>
      </w:pPr>
    </w:p>
    <w:p w:rsidR="006C1ED4" w:rsidRDefault="00472B3A" w:rsidP="00DD2983">
      <w:pPr>
        <w:spacing w:after="0" w:line="360" w:lineRule="auto"/>
        <w:jc w:val="both"/>
        <w:rPr>
          <w:rStyle w:val="addmd"/>
        </w:rPr>
      </w:pPr>
      <w:r w:rsidRPr="005D086E">
        <w:rPr>
          <w:rStyle w:val="addmd"/>
          <w:rFonts w:ascii="Garamond" w:hAnsi="Garamond" w:cs="Times New Roman"/>
          <w:sz w:val="24"/>
          <w:szCs w:val="24"/>
        </w:rPr>
        <w:t>The vast majority of farmers work outside of fair</w:t>
      </w:r>
      <w:r>
        <w:rPr>
          <w:rStyle w:val="addmd"/>
          <w:rFonts w:ascii="Garamond" w:hAnsi="Garamond" w:cs="Times New Roman"/>
          <w:sz w:val="24"/>
          <w:szCs w:val="24"/>
        </w:rPr>
        <w:t xml:space="preserve"> </w:t>
      </w:r>
      <w:r w:rsidRPr="005D086E">
        <w:rPr>
          <w:rStyle w:val="addmd"/>
          <w:rFonts w:ascii="Garamond" w:hAnsi="Garamond" w:cs="Times New Roman"/>
          <w:sz w:val="24"/>
          <w:szCs w:val="24"/>
        </w:rPr>
        <w:t>trade collectives</w:t>
      </w:r>
      <w:r>
        <w:rPr>
          <w:rStyle w:val="addmd"/>
          <w:rFonts w:ascii="Garamond" w:hAnsi="Garamond" w:cs="Times New Roman"/>
          <w:sz w:val="24"/>
          <w:szCs w:val="24"/>
        </w:rPr>
        <w:t>. A</w:t>
      </w:r>
      <w:r w:rsidRPr="005D086E">
        <w:rPr>
          <w:rStyle w:val="addmd"/>
          <w:rFonts w:ascii="Garamond" w:hAnsi="Garamond" w:cs="Times New Roman"/>
          <w:sz w:val="24"/>
          <w:szCs w:val="24"/>
        </w:rPr>
        <w:t>s such</w:t>
      </w:r>
      <w:r>
        <w:rPr>
          <w:rStyle w:val="addmd"/>
          <w:rFonts w:ascii="Garamond" w:hAnsi="Garamond" w:cs="Times New Roman"/>
          <w:sz w:val="24"/>
          <w:szCs w:val="24"/>
        </w:rPr>
        <w:t>,</w:t>
      </w:r>
      <w:r w:rsidRPr="005D086E">
        <w:rPr>
          <w:rStyle w:val="addmd"/>
          <w:rFonts w:ascii="Garamond" w:hAnsi="Garamond" w:cs="Times New Roman"/>
          <w:sz w:val="24"/>
          <w:szCs w:val="24"/>
        </w:rPr>
        <w:t xml:space="preserve"> they do</w:t>
      </w:r>
      <w:r>
        <w:rPr>
          <w:rStyle w:val="addmd"/>
          <w:rFonts w:ascii="Garamond" w:hAnsi="Garamond" w:cs="Times New Roman"/>
          <w:sz w:val="24"/>
          <w:szCs w:val="24"/>
        </w:rPr>
        <w:t xml:space="preserve"> </w:t>
      </w:r>
      <w:r w:rsidRPr="005D086E">
        <w:rPr>
          <w:rStyle w:val="addmd"/>
          <w:rFonts w:ascii="Garamond" w:hAnsi="Garamond" w:cs="Times New Roman"/>
          <w:sz w:val="24"/>
          <w:szCs w:val="24"/>
        </w:rPr>
        <w:t>n</w:t>
      </w:r>
      <w:r>
        <w:rPr>
          <w:rStyle w:val="addmd"/>
          <w:rFonts w:ascii="Garamond" w:hAnsi="Garamond" w:cs="Times New Roman"/>
          <w:sz w:val="24"/>
          <w:szCs w:val="24"/>
        </w:rPr>
        <w:t>o</w:t>
      </w:r>
      <w:r w:rsidRPr="005D086E">
        <w:rPr>
          <w:rStyle w:val="addmd"/>
          <w:rFonts w:ascii="Garamond" w:hAnsi="Garamond" w:cs="Times New Roman"/>
          <w:sz w:val="24"/>
          <w:szCs w:val="24"/>
        </w:rPr>
        <w:t>t receive a guaranteed price for their produce; prices change week-to-week depending on fluctuations in global demand (chocolate is a buyer led industry</w:t>
      </w:r>
      <w:r>
        <w:rPr>
          <w:rStyle w:val="addmd"/>
          <w:rFonts w:ascii="Garamond" w:hAnsi="Garamond" w:cs="Times New Roman"/>
          <w:sz w:val="24"/>
          <w:szCs w:val="24"/>
        </w:rPr>
        <w:t>;</w:t>
      </w:r>
      <w:r w:rsidRPr="005D086E">
        <w:rPr>
          <w:rStyle w:val="addmd"/>
          <w:rFonts w:ascii="Garamond" w:hAnsi="Garamond" w:cs="Times New Roman"/>
          <w:sz w:val="24"/>
          <w:szCs w:val="24"/>
        </w:rPr>
        <w:t xml:space="preserve"> see Davenport </w:t>
      </w:r>
      <w:r w:rsidR="00F152DB">
        <w:rPr>
          <w:rStyle w:val="addmd"/>
          <w:rFonts w:ascii="Garamond" w:hAnsi="Garamond" w:cs="Times New Roman"/>
          <w:sz w:val="24"/>
          <w:szCs w:val="24"/>
        </w:rPr>
        <w:t>and</w:t>
      </w:r>
      <w:r w:rsidRPr="005D086E">
        <w:rPr>
          <w:rStyle w:val="addmd"/>
          <w:rFonts w:ascii="Garamond" w:hAnsi="Garamond" w:cs="Times New Roman"/>
          <w:sz w:val="24"/>
          <w:szCs w:val="24"/>
        </w:rPr>
        <w:t xml:space="preserve"> Low, 2007), the size of beans, and the presence of mould (Reuters, 2011</w:t>
      </w:r>
      <w:r>
        <w:rPr>
          <w:rStyle w:val="addmd"/>
          <w:rFonts w:ascii="Garamond" w:hAnsi="Garamond" w:cs="Times New Roman"/>
          <w:sz w:val="24"/>
          <w:szCs w:val="24"/>
        </w:rPr>
        <w:t>)</w:t>
      </w:r>
      <w:r w:rsidRPr="005D086E">
        <w:rPr>
          <w:rStyle w:val="FootnoteReference"/>
          <w:rFonts w:ascii="Garamond" w:hAnsi="Garamond"/>
          <w:sz w:val="24"/>
          <w:szCs w:val="24"/>
        </w:rPr>
        <w:footnoteReference w:id="107"/>
      </w:r>
      <w:r w:rsidRPr="005D086E">
        <w:rPr>
          <w:rStyle w:val="addmd"/>
          <w:rFonts w:ascii="Garamond" w:hAnsi="Garamond" w:cs="Times New Roman"/>
          <w:sz w:val="24"/>
          <w:szCs w:val="24"/>
        </w:rPr>
        <w:t>. The crop is transported to the Atlantic port of San Pedro where ‘good’ quality beans are purchased by global industrial processor and grinder firms for 800-900 CFA per kilo (£1.10-1.25/kg). At this point in the chain the provenance of the cocoa is typically lost; if the beans are not from a fair trade growers co-operative like Kavovika or Kuapa Kokoo (and over 90% are not) there is no way of identifying their region or farm of origin. In West Africa, fair</w:t>
      </w:r>
      <w:r>
        <w:rPr>
          <w:rStyle w:val="addmd"/>
          <w:rFonts w:ascii="Garamond" w:hAnsi="Garamond" w:cs="Times New Roman"/>
          <w:sz w:val="24"/>
          <w:szCs w:val="24"/>
        </w:rPr>
        <w:t xml:space="preserve"> </w:t>
      </w:r>
      <w:r w:rsidRPr="005D086E">
        <w:rPr>
          <w:rStyle w:val="addmd"/>
          <w:rFonts w:ascii="Garamond" w:hAnsi="Garamond" w:cs="Times New Roman"/>
          <w:sz w:val="24"/>
          <w:szCs w:val="24"/>
        </w:rPr>
        <w:t xml:space="preserve">trade co-operatives usually comprise of upwards of 5000 farms (interview Fountain, 2011); these co-operatives receive a premium per tonne of fair trade cocoa in addition to a guaranteed bottom price. However the incentive for farmers to commit to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initiatives has become questionable in recent years due to levels of demand exceeding production, and the cash plus incentives rush for cocoa at the end of the growing season from a range of buyers (Ryan, 2011). As a result, the price for cocoa has risen to $2000 per tonne in 2011, which exceeds the bottom price of $1600 guaranteed by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initiatives (</w:t>
      </w:r>
      <w:r>
        <w:rPr>
          <w:rStyle w:val="addmd"/>
          <w:rFonts w:ascii="Garamond" w:hAnsi="Garamond" w:cs="Times New Roman"/>
          <w:sz w:val="24"/>
          <w:szCs w:val="24"/>
        </w:rPr>
        <w:t>Ryan</w:t>
      </w:r>
      <w:r w:rsidRPr="005D086E">
        <w:rPr>
          <w:rStyle w:val="addmd"/>
          <w:rFonts w:ascii="Garamond" w:hAnsi="Garamond" w:cs="Times New Roman"/>
          <w:sz w:val="24"/>
          <w:szCs w:val="24"/>
        </w:rPr>
        <w:t xml:space="preserve">, 2011).  Independent auditors perform random checks on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collective farms for </w:t>
      </w:r>
      <w:r>
        <w:rPr>
          <w:rStyle w:val="addmd"/>
          <w:rFonts w:ascii="Garamond" w:hAnsi="Garamond" w:cs="Times New Roman"/>
          <w:sz w:val="24"/>
          <w:szCs w:val="24"/>
        </w:rPr>
        <w:t xml:space="preserve">the </w:t>
      </w:r>
      <w:r w:rsidRPr="005D086E">
        <w:rPr>
          <w:rStyle w:val="addmd"/>
          <w:rFonts w:ascii="Garamond" w:hAnsi="Garamond" w:cs="Times New Roman"/>
          <w:sz w:val="24"/>
          <w:szCs w:val="24"/>
        </w:rPr>
        <w:t>‘worst forms of child labour’; as many farmers deploy children as cheap labour on their farms</w:t>
      </w:r>
      <w:r>
        <w:rPr>
          <w:rStyle w:val="addmd"/>
          <w:rFonts w:ascii="Garamond" w:hAnsi="Garamond" w:cs="Times New Roman"/>
          <w:sz w:val="24"/>
          <w:szCs w:val="24"/>
        </w:rPr>
        <w:t>,</w:t>
      </w:r>
      <w:r w:rsidRPr="005D086E">
        <w:rPr>
          <w:rStyle w:val="addmd"/>
          <w:rFonts w:ascii="Garamond" w:hAnsi="Garamond" w:cs="Times New Roman"/>
          <w:sz w:val="24"/>
          <w:szCs w:val="24"/>
        </w:rPr>
        <w:t xml:space="preserve"> this surveillance is a disincentiv</w:t>
      </w:r>
      <w:r>
        <w:rPr>
          <w:rStyle w:val="addmd"/>
          <w:rFonts w:ascii="Garamond" w:hAnsi="Garamond" w:cs="Times New Roman"/>
          <w:sz w:val="24"/>
          <w:szCs w:val="24"/>
        </w:rPr>
        <w:t>e to farmers who look to maximiz</w:t>
      </w:r>
      <w:r w:rsidRPr="005D086E">
        <w:rPr>
          <w:rStyle w:val="addmd"/>
          <w:rFonts w:ascii="Garamond" w:hAnsi="Garamond" w:cs="Times New Roman"/>
          <w:sz w:val="24"/>
          <w:szCs w:val="24"/>
        </w:rPr>
        <w:t xml:space="preserve">e their profits. According to the ILO, these </w:t>
      </w:r>
      <w:r>
        <w:rPr>
          <w:rStyle w:val="addmd"/>
          <w:rFonts w:ascii="Garamond" w:hAnsi="Garamond" w:cs="Times New Roman"/>
          <w:sz w:val="24"/>
          <w:szCs w:val="24"/>
        </w:rPr>
        <w:t>‘</w:t>
      </w:r>
      <w:r w:rsidRPr="005D086E">
        <w:rPr>
          <w:rStyle w:val="addmd"/>
          <w:rFonts w:ascii="Garamond" w:hAnsi="Garamond" w:cs="Times New Roman"/>
          <w:sz w:val="24"/>
          <w:szCs w:val="24"/>
        </w:rPr>
        <w:t>worst forms</w:t>
      </w:r>
      <w:r>
        <w:rPr>
          <w:rStyle w:val="addmd"/>
          <w:rFonts w:ascii="Garamond" w:hAnsi="Garamond" w:cs="Times New Roman"/>
          <w:sz w:val="24"/>
          <w:szCs w:val="24"/>
        </w:rPr>
        <w:t>’</w:t>
      </w:r>
      <w:r w:rsidRPr="005D086E">
        <w:rPr>
          <w:rStyle w:val="addmd"/>
          <w:rFonts w:ascii="Garamond" w:hAnsi="Garamond" w:cs="Times New Roman"/>
          <w:sz w:val="24"/>
          <w:szCs w:val="24"/>
        </w:rPr>
        <w:t xml:space="preserve"> are embodied as unschooled children working away from their parents</w:t>
      </w:r>
      <w:r>
        <w:rPr>
          <w:rStyle w:val="addmd"/>
          <w:rFonts w:ascii="Garamond" w:hAnsi="Garamond" w:cs="Times New Roman"/>
          <w:sz w:val="24"/>
          <w:szCs w:val="24"/>
        </w:rPr>
        <w:t xml:space="preserve"> (Ryan, 2011).</w:t>
      </w:r>
      <w:r w:rsidRPr="005D086E">
        <w:rPr>
          <w:rStyle w:val="addmd"/>
          <w:rFonts w:ascii="Garamond" w:hAnsi="Garamond" w:cs="Times New Roman"/>
          <w:sz w:val="24"/>
          <w:szCs w:val="24"/>
        </w:rPr>
        <w:t xml:space="preserve"> STT </w:t>
      </w:r>
      <w:r>
        <w:rPr>
          <w:rStyle w:val="addmd"/>
          <w:rFonts w:ascii="Garamond" w:hAnsi="Garamond" w:cs="Times New Roman"/>
          <w:sz w:val="24"/>
          <w:szCs w:val="24"/>
        </w:rPr>
        <w:t xml:space="preserve">understand them as involving </w:t>
      </w:r>
      <w:r w:rsidRPr="005D086E">
        <w:rPr>
          <w:rStyle w:val="addmd"/>
          <w:rFonts w:ascii="Garamond" w:hAnsi="Garamond" w:cs="Times New Roman"/>
          <w:sz w:val="24"/>
          <w:szCs w:val="24"/>
        </w:rPr>
        <w:t>trafficked children, or children that have been deceived, moved from their home and exploited. Auditor checks are criticized for being expensive and infrequent, and require place-specific knowledge (Shreck, 2005)</w:t>
      </w:r>
      <w:r>
        <w:rPr>
          <w:rStyle w:val="addmd"/>
          <w:rFonts w:ascii="Garamond" w:hAnsi="Garamond" w:cs="Times New Roman"/>
          <w:sz w:val="24"/>
          <w:szCs w:val="24"/>
        </w:rPr>
        <w:t>.</w:t>
      </w:r>
      <w:r w:rsidRPr="005D086E">
        <w:rPr>
          <w:rStyle w:val="addmd"/>
          <w:rFonts w:ascii="Garamond" w:hAnsi="Garamond" w:cs="Times New Roman"/>
          <w:sz w:val="24"/>
          <w:szCs w:val="24"/>
        </w:rPr>
        <w:t xml:space="preserve"> </w:t>
      </w:r>
      <w:r>
        <w:rPr>
          <w:rStyle w:val="addmd"/>
          <w:rFonts w:ascii="Garamond" w:hAnsi="Garamond" w:cs="Times New Roman"/>
          <w:sz w:val="24"/>
          <w:szCs w:val="24"/>
        </w:rPr>
        <w:t>T</w:t>
      </w:r>
      <w:r w:rsidRPr="005D086E">
        <w:rPr>
          <w:rStyle w:val="addmd"/>
          <w:rFonts w:ascii="Garamond" w:hAnsi="Garamond" w:cs="Times New Roman"/>
          <w:sz w:val="24"/>
          <w:szCs w:val="24"/>
        </w:rPr>
        <w:t>he co-operatives vary on their stringency for expelling farmers using</w:t>
      </w:r>
      <w:r>
        <w:rPr>
          <w:rStyle w:val="addmd"/>
          <w:rFonts w:ascii="Garamond" w:hAnsi="Garamond" w:cs="Times New Roman"/>
          <w:sz w:val="24"/>
          <w:szCs w:val="24"/>
        </w:rPr>
        <w:t xml:space="preserve"> the</w:t>
      </w:r>
      <w:r w:rsidRPr="005D086E">
        <w:rPr>
          <w:rStyle w:val="addmd"/>
          <w:rFonts w:ascii="Garamond" w:hAnsi="Garamond" w:cs="Times New Roman"/>
          <w:sz w:val="24"/>
          <w:szCs w:val="24"/>
        </w:rPr>
        <w:t xml:space="preserve"> ‘worst forms of child labour’. Most co-operatives wield little power outside of West Africa</w:t>
      </w:r>
      <w:r>
        <w:rPr>
          <w:rStyle w:val="addmd"/>
          <w:rFonts w:ascii="Garamond" w:hAnsi="Garamond" w:cs="Times New Roman"/>
          <w:sz w:val="24"/>
          <w:szCs w:val="24"/>
        </w:rPr>
        <w:t>,</w:t>
      </w:r>
      <w:r w:rsidRPr="005D086E">
        <w:rPr>
          <w:rStyle w:val="addmd"/>
          <w:rFonts w:ascii="Garamond" w:hAnsi="Garamond" w:cs="Times New Roman"/>
          <w:sz w:val="24"/>
          <w:szCs w:val="24"/>
        </w:rPr>
        <w:t xml:space="preserve"> as attempts of functional upgrading into grinding ventures have been taken over by leading multinational grinding firms (Bernstein </w:t>
      </w:r>
      <w:r w:rsidR="00F152DB">
        <w:rPr>
          <w:rStyle w:val="addmd"/>
          <w:rFonts w:ascii="Garamond" w:hAnsi="Garamond" w:cs="Times New Roman"/>
          <w:sz w:val="24"/>
          <w:szCs w:val="24"/>
        </w:rPr>
        <w:t>and</w:t>
      </w:r>
      <w:r w:rsidRPr="005D086E">
        <w:rPr>
          <w:rStyle w:val="addmd"/>
          <w:rFonts w:ascii="Garamond" w:hAnsi="Garamond" w:cs="Times New Roman"/>
          <w:sz w:val="24"/>
          <w:szCs w:val="24"/>
        </w:rPr>
        <w:t xml:space="preserve"> Campling, 2006). However, the Ghanaian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co-operative, Kuapa Kokoo, has produced cocoa for Divine chocolate since 1997, and it now owns </w:t>
      </w:r>
      <w:r w:rsidRPr="005D086E">
        <w:rPr>
          <w:rStyle w:val="addmd"/>
          <w:rFonts w:ascii="Garamond" w:hAnsi="Garamond" w:cs="Times New Roman"/>
          <w:sz w:val="24"/>
          <w:szCs w:val="24"/>
        </w:rPr>
        <w:lastRenderedPageBreak/>
        <w:t xml:space="preserve">50% of Divine’s parent company, The Day Chocolate Company. In 2010 the co-operative expanded so that it could provide cocoa for Cadbury’s Dairy Milk bar. Farmers democratically elect representatives on the co-operatives who decide either to re-invest the fair trade premium into infrastructure </w:t>
      </w:r>
      <w:r>
        <w:rPr>
          <w:rStyle w:val="addmd"/>
          <w:rFonts w:ascii="Garamond" w:hAnsi="Garamond" w:cs="Times New Roman"/>
          <w:sz w:val="24"/>
          <w:szCs w:val="24"/>
        </w:rPr>
        <w:t xml:space="preserve">(e.g. </w:t>
      </w:r>
      <w:r w:rsidRPr="005D086E">
        <w:rPr>
          <w:rStyle w:val="addmd"/>
          <w:rFonts w:ascii="Garamond" w:hAnsi="Garamond" w:cs="Times New Roman"/>
          <w:sz w:val="24"/>
          <w:szCs w:val="24"/>
        </w:rPr>
        <w:t>better equipment, schools, roads and sanitation facilities</w:t>
      </w:r>
      <w:r>
        <w:rPr>
          <w:rStyle w:val="addmd"/>
          <w:rFonts w:ascii="Garamond" w:hAnsi="Garamond" w:cs="Times New Roman"/>
          <w:sz w:val="24"/>
          <w:szCs w:val="24"/>
        </w:rPr>
        <w:t xml:space="preserve">) </w:t>
      </w:r>
      <w:r w:rsidRPr="005D086E">
        <w:rPr>
          <w:rStyle w:val="addmd"/>
          <w:rFonts w:ascii="Garamond" w:hAnsi="Garamond" w:cs="Times New Roman"/>
          <w:sz w:val="24"/>
          <w:szCs w:val="24"/>
        </w:rPr>
        <w:t>or to pay a dividend to individual farmers (interview Fountain, 2011).</w:t>
      </w:r>
    </w:p>
    <w:p w:rsidR="00472B3A" w:rsidRPr="00E21201" w:rsidRDefault="00472B3A" w:rsidP="00DD2983">
      <w:pPr>
        <w:spacing w:after="0" w:line="360" w:lineRule="auto"/>
        <w:jc w:val="both"/>
        <w:rPr>
          <w:rStyle w:val="addmd"/>
        </w:rPr>
      </w:pPr>
    </w:p>
    <w:p w:rsidR="00DD2983" w:rsidRDefault="00472B3A" w:rsidP="00DD2983">
      <w:pPr>
        <w:spacing w:after="0" w:line="360" w:lineRule="auto"/>
        <w:jc w:val="both"/>
        <w:rPr>
          <w:rStyle w:val="addmd"/>
        </w:rPr>
      </w:pPr>
      <w:r w:rsidRPr="005D086E">
        <w:rPr>
          <w:rStyle w:val="addmd"/>
          <w:rFonts w:ascii="Garamond" w:hAnsi="Garamond" w:cs="Times New Roman"/>
          <w:sz w:val="24"/>
          <w:szCs w:val="24"/>
        </w:rPr>
        <w:t xml:space="preserve">Anti-trafficking organizations tend to illustrate their egalitarian principles through campaigns that juxtapose the embodied violence done to labourers in forms of slavery with the comfortable consumer lifestyles in the West (interview </w:t>
      </w:r>
      <w:r w:rsidR="00AF727C">
        <w:rPr>
          <w:rStyle w:val="addmd"/>
          <w:rFonts w:ascii="Garamond" w:hAnsi="Garamond" w:cs="Times New Roman"/>
          <w:sz w:val="24"/>
          <w:szCs w:val="24"/>
        </w:rPr>
        <w:t>Rachel</w:t>
      </w:r>
      <w:r w:rsidRPr="005D086E">
        <w:rPr>
          <w:rStyle w:val="addmd"/>
          <w:rFonts w:ascii="Garamond" w:hAnsi="Garamond" w:cs="Times New Roman"/>
          <w:sz w:val="24"/>
          <w:szCs w:val="24"/>
        </w:rPr>
        <w:t>, 2011). Here, the child body is presented as a passive recipient of violence done by cocoa production (sometimes any form of child labour is interpreted as violence). The child cocoa labourer is frequently presented as a victim through the lens of Western cultural ideals of childhood, centred</w:t>
      </w:r>
      <w:r w:rsidRPr="005D086E">
        <w:rPr>
          <w:rFonts w:ascii="Garamond" w:hAnsi="Garamond" w:cs="Times New Roman"/>
          <w:sz w:val="24"/>
          <w:szCs w:val="24"/>
          <w:shd w:val="clear" w:color="auto" w:fill="FFFFFF"/>
        </w:rPr>
        <w:t xml:space="preserve"> on </w:t>
      </w:r>
      <w:r>
        <w:rPr>
          <w:rFonts w:ascii="Garamond" w:hAnsi="Garamond" w:cs="Times New Roman"/>
          <w:sz w:val="24"/>
          <w:szCs w:val="24"/>
          <w:shd w:val="clear" w:color="auto" w:fill="FFFFFF"/>
        </w:rPr>
        <w:t>“</w:t>
      </w:r>
      <w:r w:rsidRPr="005D086E">
        <w:rPr>
          <w:rFonts w:ascii="Garamond" w:hAnsi="Garamond" w:cs="Times New Roman"/>
          <w:sz w:val="24"/>
          <w:szCs w:val="24"/>
          <w:shd w:val="clear" w:color="auto" w:fill="FFFFFF"/>
        </w:rPr>
        <w:t>pre-conceived moral judgments about what a childhood should look like</w:t>
      </w:r>
      <w:r>
        <w:rPr>
          <w:rFonts w:ascii="Garamond" w:hAnsi="Garamond" w:cs="Times New Roman"/>
          <w:sz w:val="24"/>
          <w:szCs w:val="24"/>
          <w:shd w:val="clear" w:color="auto" w:fill="FFFFFF"/>
        </w:rPr>
        <w:t>”</w:t>
      </w:r>
      <w:r w:rsidRPr="005D086E">
        <w:rPr>
          <w:rFonts w:ascii="Garamond" w:hAnsi="Garamond" w:cs="Times New Roman"/>
          <w:sz w:val="24"/>
          <w:szCs w:val="24"/>
          <w:shd w:val="clear" w:color="auto" w:fill="FFFFFF"/>
        </w:rPr>
        <w:t xml:space="preserve"> (Berlan, 2010</w:t>
      </w:r>
      <w:r>
        <w:rPr>
          <w:rFonts w:ascii="Garamond" w:hAnsi="Garamond" w:cs="Times New Roman"/>
          <w:sz w:val="24"/>
          <w:szCs w:val="24"/>
          <w:shd w:val="clear" w:color="auto" w:fill="FFFFFF"/>
        </w:rPr>
        <w:t>).</w:t>
      </w:r>
      <w:r w:rsidRPr="005D086E">
        <w:rPr>
          <w:rFonts w:ascii="Garamond" w:hAnsi="Garamond" w:cs="Times New Roman"/>
          <w:sz w:val="24"/>
          <w:szCs w:val="24"/>
          <w:shd w:val="clear" w:color="auto" w:fill="FFFFFF"/>
        </w:rPr>
        <w:t xml:space="preserve"> </w:t>
      </w:r>
      <w:r w:rsidRPr="005D086E">
        <w:rPr>
          <w:rStyle w:val="addmd"/>
          <w:rFonts w:ascii="Garamond" w:hAnsi="Garamond" w:cs="Times New Roman"/>
          <w:sz w:val="24"/>
          <w:szCs w:val="24"/>
        </w:rPr>
        <w:t>The consumer is mot</w:t>
      </w:r>
      <w:r>
        <w:rPr>
          <w:rStyle w:val="addmd"/>
          <w:rFonts w:ascii="Garamond" w:hAnsi="Garamond" w:cs="Times New Roman"/>
          <w:sz w:val="24"/>
          <w:szCs w:val="24"/>
        </w:rPr>
        <w:t>ivated by appeals to humanitarian caring</w:t>
      </w:r>
      <w:r w:rsidRPr="005D086E">
        <w:rPr>
          <w:rStyle w:val="addmd"/>
          <w:rFonts w:ascii="Garamond" w:hAnsi="Garamond" w:cs="Times New Roman"/>
          <w:sz w:val="24"/>
          <w:szCs w:val="24"/>
        </w:rPr>
        <w:t xml:space="preserve"> and given agency to ameliorate the situation through their purchasing power.</w:t>
      </w:r>
    </w:p>
    <w:p w:rsidR="00DD2983" w:rsidRDefault="00DD2983" w:rsidP="00DD2983">
      <w:pPr>
        <w:spacing w:after="0" w:line="360" w:lineRule="auto"/>
        <w:jc w:val="both"/>
        <w:rPr>
          <w:rStyle w:val="addmd"/>
        </w:rPr>
      </w:pPr>
    </w:p>
    <w:p w:rsidR="00DD2983" w:rsidRDefault="00472B3A" w:rsidP="00DD2983">
      <w:pPr>
        <w:spacing w:after="0" w:line="360" w:lineRule="auto"/>
        <w:jc w:val="both"/>
        <w:rPr>
          <w:rStyle w:val="addmd"/>
        </w:rPr>
      </w:pPr>
      <w:r w:rsidRPr="005D086E">
        <w:rPr>
          <w:rFonts w:ascii="Garamond" w:hAnsi="Garamond" w:cs="Times New Roman"/>
          <w:sz w:val="24"/>
          <w:szCs w:val="24"/>
        </w:rPr>
        <w:t xml:space="preserve">There is an important distinction between anti-trafficking initiatives that present child bodies as passive, and </w:t>
      </w:r>
      <w:r>
        <w:rPr>
          <w:rFonts w:ascii="Garamond" w:hAnsi="Garamond" w:cs="Times New Roman"/>
          <w:sz w:val="24"/>
          <w:szCs w:val="24"/>
        </w:rPr>
        <w:t>fair trade</w:t>
      </w:r>
      <w:r w:rsidRPr="005D086E">
        <w:rPr>
          <w:rFonts w:ascii="Garamond" w:hAnsi="Garamond" w:cs="Times New Roman"/>
          <w:sz w:val="24"/>
          <w:szCs w:val="24"/>
        </w:rPr>
        <w:t xml:space="preserve"> initiatives that accept the child as proactive economic bod</w:t>
      </w:r>
      <w:r>
        <w:rPr>
          <w:rFonts w:ascii="Garamond" w:hAnsi="Garamond" w:cs="Times New Roman"/>
          <w:sz w:val="24"/>
          <w:szCs w:val="24"/>
        </w:rPr>
        <w:t>ies</w:t>
      </w:r>
      <w:r w:rsidRPr="005D086E">
        <w:rPr>
          <w:rFonts w:ascii="Garamond" w:hAnsi="Garamond" w:cs="Times New Roman"/>
          <w:sz w:val="24"/>
          <w:szCs w:val="24"/>
        </w:rPr>
        <w:t xml:space="preserve"> (within strictly defined limits). While popularized representations from the anti-trafficking lobby as a whole are more prone to the former position, STT Amsterdam realize that </w:t>
      </w:r>
      <w:r>
        <w:rPr>
          <w:rFonts w:ascii="Garamond" w:hAnsi="Garamond" w:cs="Times New Roman"/>
          <w:sz w:val="24"/>
          <w:szCs w:val="24"/>
        </w:rPr>
        <w:t>fair trade</w:t>
      </w:r>
      <w:r w:rsidRPr="005D086E">
        <w:rPr>
          <w:rFonts w:ascii="Garamond" w:hAnsi="Garamond" w:cs="Times New Roman"/>
          <w:sz w:val="24"/>
          <w:szCs w:val="24"/>
        </w:rPr>
        <w:t xml:space="preserve"> is not just about humanitarian appeals, but also about the everyday routines and contexts of cocoa production and banal consumption. </w:t>
      </w:r>
      <w:r w:rsidRPr="005D086E">
        <w:rPr>
          <w:rStyle w:val="addmd"/>
          <w:rFonts w:ascii="Garamond" w:hAnsi="Garamond" w:cs="Times New Roman"/>
          <w:sz w:val="24"/>
          <w:szCs w:val="24"/>
        </w:rPr>
        <w:t xml:space="preserve">In practice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works to materialize egalitarian principles through trading co-operatives. Western consumers are informed of the wider structural inequities of North/South trading partnerships (</w:t>
      </w:r>
      <w:r>
        <w:rPr>
          <w:rStyle w:val="addmd"/>
          <w:rFonts w:ascii="Garamond" w:hAnsi="Garamond" w:cs="Times New Roman"/>
          <w:sz w:val="24"/>
          <w:szCs w:val="24"/>
        </w:rPr>
        <w:t>Fairtrade</w:t>
      </w:r>
      <w:r w:rsidRPr="005D086E">
        <w:rPr>
          <w:rStyle w:val="addmd"/>
          <w:rFonts w:ascii="Garamond" w:hAnsi="Garamond" w:cs="Times New Roman"/>
          <w:sz w:val="24"/>
          <w:szCs w:val="24"/>
        </w:rPr>
        <w:t xml:space="preserve"> Foundation, 1999) and </w:t>
      </w:r>
      <w:r>
        <w:rPr>
          <w:rStyle w:val="addmd"/>
          <w:rFonts w:ascii="Garamond" w:hAnsi="Garamond" w:cs="Times New Roman"/>
          <w:sz w:val="24"/>
          <w:szCs w:val="24"/>
        </w:rPr>
        <w:t>Fairtrade</w:t>
      </w:r>
      <w:r w:rsidRPr="005D086E">
        <w:rPr>
          <w:rStyle w:val="addmd"/>
          <w:rFonts w:ascii="Garamond" w:hAnsi="Garamond" w:cs="Times New Roman"/>
          <w:sz w:val="24"/>
          <w:szCs w:val="24"/>
        </w:rPr>
        <w:t xml:space="preserve"> Labelling Organizations (FLOs) work with marginalized cocoa producers to create more sustainable, transparent (and protected) trading partnerships with global consumers (FLO, 2006)</w:t>
      </w:r>
      <w:r>
        <w:rPr>
          <w:rStyle w:val="FootnoteReference"/>
          <w:rFonts w:ascii="Garamond" w:hAnsi="Garamond"/>
          <w:sz w:val="24"/>
          <w:szCs w:val="24"/>
        </w:rPr>
        <w:footnoteReference w:id="108"/>
      </w:r>
      <w:r w:rsidRPr="005D086E">
        <w:rPr>
          <w:rStyle w:val="addmd"/>
          <w:rFonts w:ascii="Garamond" w:hAnsi="Garamond" w:cs="Times New Roman"/>
          <w:sz w:val="24"/>
          <w:szCs w:val="24"/>
        </w:rPr>
        <w:t xml:space="preserve">. In recent years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chocolate has appealed increasingly to the mainstream consumer. STT have played an</w:t>
      </w:r>
      <w:r>
        <w:rPr>
          <w:rStyle w:val="addmd"/>
          <w:rFonts w:ascii="Garamond" w:hAnsi="Garamond" w:cs="Times New Roman"/>
          <w:sz w:val="24"/>
          <w:szCs w:val="24"/>
        </w:rPr>
        <w:t xml:space="preserve"> important role in this conversion</w:t>
      </w:r>
      <w:r w:rsidRPr="005D086E">
        <w:rPr>
          <w:rStyle w:val="addmd"/>
          <w:rFonts w:ascii="Garamond" w:hAnsi="Garamond" w:cs="Times New Roman"/>
          <w:sz w:val="24"/>
          <w:szCs w:val="24"/>
        </w:rPr>
        <w:t xml:space="preserve">.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chocolate has improved in taste (interview Mandy, 2011) and has achieved mainstream credibility (Afoakwa, 2010)</w:t>
      </w:r>
      <w:r>
        <w:rPr>
          <w:rStyle w:val="addmd"/>
          <w:rFonts w:ascii="Garamond" w:hAnsi="Garamond" w:cs="Times New Roman"/>
          <w:sz w:val="24"/>
          <w:szCs w:val="24"/>
        </w:rPr>
        <w:t>. This</w:t>
      </w:r>
      <w:r w:rsidRPr="005D086E">
        <w:rPr>
          <w:rStyle w:val="addmd"/>
          <w:rFonts w:ascii="Garamond" w:hAnsi="Garamond" w:cs="Times New Roman"/>
          <w:sz w:val="24"/>
          <w:szCs w:val="24"/>
        </w:rPr>
        <w:t xml:space="preserve"> credibility </w:t>
      </w:r>
      <w:r>
        <w:rPr>
          <w:rStyle w:val="addmd"/>
          <w:rFonts w:ascii="Garamond" w:hAnsi="Garamond" w:cs="Times New Roman"/>
          <w:sz w:val="24"/>
          <w:szCs w:val="24"/>
        </w:rPr>
        <w:t xml:space="preserve">has been </w:t>
      </w:r>
      <w:r w:rsidRPr="005D086E">
        <w:rPr>
          <w:rStyle w:val="addmd"/>
          <w:rFonts w:ascii="Garamond" w:hAnsi="Garamond" w:cs="Times New Roman"/>
          <w:sz w:val="24"/>
          <w:szCs w:val="24"/>
        </w:rPr>
        <w:t>enabled</w:t>
      </w:r>
      <w:r>
        <w:rPr>
          <w:rStyle w:val="addmd"/>
          <w:rFonts w:ascii="Garamond" w:hAnsi="Garamond" w:cs="Times New Roman"/>
          <w:sz w:val="24"/>
          <w:szCs w:val="24"/>
        </w:rPr>
        <w:t xml:space="preserve"> in part by publiciz</w:t>
      </w:r>
      <w:r w:rsidRPr="005D086E">
        <w:rPr>
          <w:rStyle w:val="addmd"/>
          <w:rFonts w:ascii="Garamond" w:hAnsi="Garamond" w:cs="Times New Roman"/>
          <w:sz w:val="24"/>
          <w:szCs w:val="24"/>
        </w:rPr>
        <w:t xml:space="preserve">ed conversions to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first by the </w:t>
      </w:r>
      <w:r w:rsidRPr="005D086E">
        <w:rPr>
          <w:rStyle w:val="addmd"/>
          <w:rFonts w:ascii="Garamond" w:hAnsi="Garamond" w:cs="Times New Roman"/>
          <w:sz w:val="24"/>
          <w:szCs w:val="24"/>
        </w:rPr>
        <w:lastRenderedPageBreak/>
        <w:t>Dutch manufacturer Royal Verkade (who converted all their production lines in 2008 after STT launched a consumer campaign against the company), and subsequently through the conversion of Cadbury’s Dairy Milk</w:t>
      </w:r>
      <w:r>
        <w:rPr>
          <w:rStyle w:val="addmd"/>
          <w:rFonts w:ascii="Garamond" w:hAnsi="Garamond" w:cs="Times New Roman"/>
          <w:sz w:val="24"/>
          <w:szCs w:val="24"/>
        </w:rPr>
        <w:t xml:space="preserve"> (2008), </w:t>
      </w:r>
      <w:r w:rsidRPr="005D086E">
        <w:rPr>
          <w:rStyle w:val="addmd"/>
          <w:rFonts w:ascii="Garamond" w:hAnsi="Garamond" w:cs="Times New Roman"/>
          <w:sz w:val="24"/>
          <w:szCs w:val="24"/>
        </w:rPr>
        <w:t>Nestlé’s four fingered Kit-Kat</w:t>
      </w:r>
      <w:r>
        <w:rPr>
          <w:rStyle w:val="addmd"/>
          <w:rFonts w:ascii="Garamond" w:hAnsi="Garamond" w:cs="Times New Roman"/>
          <w:sz w:val="24"/>
          <w:szCs w:val="24"/>
        </w:rPr>
        <w:t xml:space="preserve"> (2011), and a 2012 commitment from Mars to used 100 percent certified cocoa by 2020.</w:t>
      </w:r>
      <w:r w:rsidRPr="005D086E">
        <w:rPr>
          <w:rStyle w:val="addmd"/>
          <w:rFonts w:ascii="Garamond" w:hAnsi="Garamond" w:cs="Times New Roman"/>
          <w:sz w:val="24"/>
          <w:szCs w:val="24"/>
        </w:rPr>
        <w:t xml:space="preserve"> </w:t>
      </w:r>
      <w:r>
        <w:rPr>
          <w:rStyle w:val="addmd"/>
          <w:rFonts w:ascii="Garamond" w:hAnsi="Garamond" w:cs="Times New Roman"/>
          <w:sz w:val="24"/>
          <w:szCs w:val="24"/>
        </w:rPr>
        <w:t>According to chocolate processors and branders, the diversification of</w:t>
      </w:r>
      <w:r w:rsidRPr="005D086E">
        <w:rPr>
          <w:rStyle w:val="addmd"/>
          <w:rFonts w:ascii="Garamond" w:hAnsi="Garamond" w:cs="Times New Roman"/>
          <w:sz w:val="24"/>
          <w:szCs w:val="24"/>
        </w:rPr>
        <w:t xml:space="preserve"> chocolate ranges to incorporate ethical imperat</w:t>
      </w:r>
      <w:r>
        <w:rPr>
          <w:rStyle w:val="addmd"/>
          <w:rFonts w:ascii="Garamond" w:hAnsi="Garamond" w:cs="Times New Roman"/>
          <w:sz w:val="24"/>
          <w:szCs w:val="24"/>
        </w:rPr>
        <w:t>ives had resulted in a short supply of</w:t>
      </w:r>
      <w:r w:rsidRPr="005D086E">
        <w:rPr>
          <w:rStyle w:val="addmd"/>
          <w:rFonts w:ascii="Garamond" w:hAnsi="Garamond" w:cs="Times New Roman"/>
          <w:sz w:val="24"/>
          <w:szCs w:val="24"/>
        </w:rPr>
        <w:t xml:space="preserve">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cocoa </w:t>
      </w:r>
      <w:r>
        <w:rPr>
          <w:rStyle w:val="addmd"/>
          <w:rFonts w:ascii="Garamond" w:hAnsi="Garamond" w:cs="Times New Roman"/>
          <w:sz w:val="24"/>
          <w:szCs w:val="24"/>
        </w:rPr>
        <w:t xml:space="preserve">(interview Fountain, 2011; </w:t>
      </w:r>
      <w:r>
        <w:rPr>
          <w:rFonts w:ascii="Garamond" w:hAnsi="Garamond"/>
          <w:sz w:val="24"/>
          <w:szCs w:val="24"/>
        </w:rPr>
        <w:t xml:space="preserve">Hütz-Adams </w:t>
      </w:r>
      <w:r w:rsidR="00F152DB">
        <w:rPr>
          <w:rFonts w:ascii="Garamond" w:hAnsi="Garamond"/>
          <w:sz w:val="24"/>
          <w:szCs w:val="24"/>
        </w:rPr>
        <w:t>and</w:t>
      </w:r>
      <w:r>
        <w:rPr>
          <w:rFonts w:ascii="Garamond" w:hAnsi="Garamond"/>
          <w:sz w:val="24"/>
          <w:szCs w:val="24"/>
        </w:rPr>
        <w:t xml:space="preserve"> </w:t>
      </w:r>
      <w:r w:rsidRPr="00ED5E20">
        <w:rPr>
          <w:rFonts w:ascii="Garamond" w:hAnsi="Garamond"/>
          <w:sz w:val="24"/>
          <w:szCs w:val="24"/>
        </w:rPr>
        <w:t>Fountain</w:t>
      </w:r>
      <w:r>
        <w:rPr>
          <w:rFonts w:ascii="Garamond" w:hAnsi="Garamond"/>
          <w:sz w:val="24"/>
          <w:szCs w:val="24"/>
        </w:rPr>
        <w:t>, 2012</w:t>
      </w:r>
      <w:r>
        <w:rPr>
          <w:rStyle w:val="addmd"/>
          <w:rFonts w:ascii="Garamond" w:hAnsi="Garamond" w:cs="Times New Roman"/>
          <w:sz w:val="24"/>
          <w:szCs w:val="24"/>
        </w:rPr>
        <w:t>). This is contested by the FLOs, who suggest that supply still outstrips demand. But where Royal Verkade and Cadbury</w:t>
      </w:r>
      <w:r w:rsidRPr="005D086E">
        <w:rPr>
          <w:rStyle w:val="addmd"/>
          <w:rFonts w:ascii="Garamond" w:hAnsi="Garamond" w:cs="Times New Roman"/>
          <w:sz w:val="24"/>
          <w:szCs w:val="24"/>
        </w:rPr>
        <w:t xml:space="preserve"> were able to buy into existing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co-operatives and “make chocolate bars 10% smaller and more expensive to cover the conversion” (Fountain, 2011), future </w:t>
      </w:r>
      <w:r>
        <w:rPr>
          <w:rStyle w:val="addmd"/>
          <w:rFonts w:ascii="Garamond" w:hAnsi="Garamond" w:cs="Times New Roman"/>
          <w:sz w:val="24"/>
          <w:szCs w:val="24"/>
        </w:rPr>
        <w:t>fair trade conversions will require:</w:t>
      </w:r>
    </w:p>
    <w:p w:rsidR="00472B3A" w:rsidRPr="005D086E" w:rsidRDefault="00472B3A" w:rsidP="00DD2983">
      <w:pPr>
        <w:spacing w:after="0" w:line="360" w:lineRule="auto"/>
        <w:jc w:val="both"/>
        <w:rPr>
          <w:rStyle w:val="addmd"/>
        </w:rPr>
      </w:pPr>
    </w:p>
    <w:p w:rsidR="00472B3A" w:rsidRPr="005D086E" w:rsidRDefault="00472B3A" w:rsidP="00DD2983">
      <w:pPr>
        <w:spacing w:after="0" w:line="360" w:lineRule="auto"/>
        <w:ind w:left="284" w:right="284"/>
        <w:jc w:val="both"/>
        <w:rPr>
          <w:rStyle w:val="addmd"/>
        </w:rPr>
      </w:pPr>
      <w:r w:rsidRPr="005D086E">
        <w:rPr>
          <w:rFonts w:ascii="Garamond" w:hAnsi="Garamond" w:cs="Times New Roman"/>
        </w:rPr>
        <w:t>companies actually having to improve their own supply chains to do it. Which is what you want, it really is a lot more work for other companies…</w:t>
      </w:r>
      <w:r>
        <w:rPr>
          <w:rFonts w:ascii="Garamond" w:hAnsi="Garamond" w:cs="Times New Roman"/>
        </w:rPr>
        <w:t xml:space="preserve"> </w:t>
      </w:r>
      <w:r w:rsidRPr="005D086E">
        <w:rPr>
          <w:rFonts w:ascii="Garamond" w:hAnsi="Garamond" w:cs="Times New Roman"/>
        </w:rPr>
        <w:t>And that is an expensive business, but they’ve had revenue of upwards of a thousand billion dollars over the last ten years, and I’ve no problem at all in them spending so</w:t>
      </w:r>
      <w:r>
        <w:rPr>
          <w:rFonts w:ascii="Garamond" w:hAnsi="Garamond" w:cs="Times New Roman"/>
        </w:rPr>
        <w:t>me of that to reform the system.</w:t>
      </w:r>
      <w:r w:rsidRPr="005D086E">
        <w:rPr>
          <w:rFonts w:ascii="Garamond" w:hAnsi="Garamond" w:cs="Times New Roman"/>
        </w:rPr>
        <w:t xml:space="preserve"> (interview Fountain, 2011)</w:t>
      </w:r>
    </w:p>
    <w:p w:rsidR="00DD2983" w:rsidRDefault="00DD2983" w:rsidP="00DD2983">
      <w:pPr>
        <w:spacing w:after="0" w:line="360" w:lineRule="auto"/>
        <w:jc w:val="both"/>
        <w:rPr>
          <w:rStyle w:val="addmd"/>
        </w:rPr>
      </w:pPr>
    </w:p>
    <w:p w:rsidR="00943FE2" w:rsidRDefault="00472B3A" w:rsidP="00DD2983">
      <w:pPr>
        <w:spacing w:after="0" w:line="360" w:lineRule="auto"/>
        <w:jc w:val="both"/>
        <w:rPr>
          <w:rStyle w:val="addmd"/>
        </w:rPr>
      </w:pPr>
      <w:r w:rsidRPr="005D086E">
        <w:rPr>
          <w:rStyle w:val="addmd"/>
          <w:rFonts w:ascii="Garamond" w:hAnsi="Garamond" w:cs="Times New Roman"/>
          <w:sz w:val="24"/>
          <w:szCs w:val="24"/>
        </w:rPr>
        <w:t xml:space="preserve">In addition to the increasing cost of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to chocolate manufacturers and branders, there are other barriers to i</w:t>
      </w:r>
      <w:r>
        <w:rPr>
          <w:rStyle w:val="addmd"/>
          <w:rFonts w:ascii="Garamond" w:hAnsi="Garamond" w:cs="Times New Roman"/>
          <w:sz w:val="24"/>
          <w:szCs w:val="24"/>
        </w:rPr>
        <w:t>ts widespread implementation. S</w:t>
      </w:r>
      <w:r w:rsidRPr="005D086E">
        <w:rPr>
          <w:rStyle w:val="addmd"/>
          <w:rFonts w:ascii="Garamond" w:hAnsi="Garamond" w:cs="Times New Roman"/>
          <w:sz w:val="24"/>
          <w:szCs w:val="24"/>
        </w:rPr>
        <w:t xml:space="preserve">hreck (2005) and Afoakwa (2010) posit that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is still considered ‘counter hegemonic’ due to three limitations: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product distinction is based on social imperatives of production and is contradictory to the WTO</w:t>
      </w:r>
      <w:r>
        <w:rPr>
          <w:rStyle w:val="addmd"/>
          <w:rFonts w:ascii="Garamond" w:hAnsi="Garamond" w:cs="Times New Roman"/>
          <w:sz w:val="24"/>
          <w:szCs w:val="24"/>
        </w:rPr>
        <w:t>’</w:t>
      </w:r>
      <w:r w:rsidRPr="005D086E">
        <w:rPr>
          <w:rStyle w:val="addmd"/>
          <w:rFonts w:ascii="Garamond" w:hAnsi="Garamond" w:cs="Times New Roman"/>
          <w:sz w:val="24"/>
          <w:szCs w:val="24"/>
        </w:rPr>
        <w:t xml:space="preserve">s liberalization of markets; certification initiatives compete over market shares and consumers risk developing label fatigue for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w:t>
      </w:r>
      <w:r>
        <w:rPr>
          <w:rStyle w:val="addmd"/>
          <w:rFonts w:ascii="Garamond" w:hAnsi="Garamond" w:cs="Times New Roman"/>
          <w:sz w:val="24"/>
          <w:szCs w:val="24"/>
        </w:rPr>
        <w:t xml:space="preserve">and </w:t>
      </w:r>
      <w:r w:rsidRPr="005D086E">
        <w:rPr>
          <w:rStyle w:val="addmd"/>
          <w:rFonts w:ascii="Garamond" w:hAnsi="Garamond" w:cs="Times New Roman"/>
          <w:sz w:val="24"/>
          <w:szCs w:val="24"/>
        </w:rPr>
        <w:t xml:space="preserve">consumer knowledge of the </w:t>
      </w:r>
      <w:r>
        <w:rPr>
          <w:rStyle w:val="addmd"/>
          <w:rFonts w:ascii="Garamond" w:hAnsi="Garamond" w:cs="Times New Roman"/>
          <w:sz w:val="24"/>
          <w:szCs w:val="24"/>
        </w:rPr>
        <w:t>fair trade</w:t>
      </w:r>
      <w:r w:rsidRPr="005D086E">
        <w:rPr>
          <w:rStyle w:val="addmd"/>
          <w:rFonts w:ascii="Garamond" w:hAnsi="Garamond" w:cs="Times New Roman"/>
          <w:sz w:val="24"/>
          <w:szCs w:val="24"/>
        </w:rPr>
        <w:t xml:space="preserve"> market is weak and transformative change in partnerships is limited by knowledge disparities. STT work in partnership with FLOs to target these limitations.</w:t>
      </w:r>
    </w:p>
    <w:p w:rsidR="00472B3A" w:rsidRDefault="00472B3A" w:rsidP="00DD2983">
      <w:pPr>
        <w:spacing w:after="0" w:line="360" w:lineRule="auto"/>
        <w:jc w:val="both"/>
        <w:rPr>
          <w:rStyle w:val="addmd"/>
        </w:rPr>
      </w:pPr>
    </w:p>
    <w:p w:rsidR="00472B3A" w:rsidRDefault="00472B3A" w:rsidP="00472B3A">
      <w:pPr>
        <w:spacing w:line="360" w:lineRule="auto"/>
        <w:jc w:val="both"/>
        <w:rPr>
          <w:rFonts w:ascii="Garamond" w:hAnsi="Garamond" w:cs="Times New Roman"/>
          <w:sz w:val="24"/>
          <w:szCs w:val="24"/>
        </w:rPr>
      </w:pPr>
      <w:r w:rsidRPr="005D086E">
        <w:rPr>
          <w:rFonts w:ascii="Garamond" w:hAnsi="Garamond" w:cs="Times New Roman"/>
          <w:sz w:val="24"/>
          <w:szCs w:val="24"/>
        </w:rPr>
        <w:t>There are two interpretative fra</w:t>
      </w:r>
      <w:r>
        <w:rPr>
          <w:rFonts w:ascii="Garamond" w:hAnsi="Garamond" w:cs="Times New Roman"/>
          <w:sz w:val="24"/>
          <w:szCs w:val="24"/>
        </w:rPr>
        <w:t>mes through which I contextualiz</w:t>
      </w:r>
      <w:r w:rsidRPr="005D086E">
        <w:rPr>
          <w:rFonts w:ascii="Garamond" w:hAnsi="Garamond" w:cs="Times New Roman"/>
          <w:sz w:val="24"/>
          <w:szCs w:val="24"/>
        </w:rPr>
        <w:t>e STT</w:t>
      </w:r>
      <w:r>
        <w:rPr>
          <w:rFonts w:ascii="Garamond" w:hAnsi="Garamond" w:cs="Times New Roman"/>
          <w:sz w:val="24"/>
          <w:szCs w:val="24"/>
        </w:rPr>
        <w:t>’</w:t>
      </w:r>
      <w:r w:rsidRPr="005D086E">
        <w:rPr>
          <w:rFonts w:ascii="Garamond" w:hAnsi="Garamond" w:cs="Times New Roman"/>
          <w:sz w:val="24"/>
          <w:szCs w:val="24"/>
        </w:rPr>
        <w:t>s chocolate campaigns. Firstly I analyse STT’s tacti</w:t>
      </w:r>
      <w:r>
        <w:rPr>
          <w:rFonts w:ascii="Garamond" w:hAnsi="Garamond" w:cs="Times New Roman"/>
          <w:sz w:val="24"/>
          <w:szCs w:val="24"/>
        </w:rPr>
        <w:t>cs through the lens of global</w:t>
      </w:r>
      <w:r w:rsidRPr="005D086E">
        <w:rPr>
          <w:rFonts w:ascii="Garamond" w:hAnsi="Garamond" w:cs="Times New Roman"/>
          <w:sz w:val="24"/>
          <w:szCs w:val="24"/>
        </w:rPr>
        <w:t xml:space="preserve"> responsibility and ethical consumption</w:t>
      </w:r>
      <w:r>
        <w:rPr>
          <w:rFonts w:ascii="Garamond" w:hAnsi="Garamond" w:cs="Times New Roman"/>
          <w:sz w:val="24"/>
          <w:szCs w:val="24"/>
        </w:rPr>
        <w:t>;</w:t>
      </w:r>
      <w:r w:rsidRPr="005D086E">
        <w:rPr>
          <w:rFonts w:ascii="Garamond" w:hAnsi="Garamond" w:cs="Times New Roman"/>
          <w:sz w:val="24"/>
          <w:szCs w:val="24"/>
        </w:rPr>
        <w:t xml:space="preserve"> and secondly I assess the value of the chocolate campaigns to STT’s wider production of an anti-trafficking brand. </w:t>
      </w:r>
      <w:r>
        <w:rPr>
          <w:rFonts w:ascii="Garamond" w:hAnsi="Garamond" w:cs="Times New Roman"/>
          <w:sz w:val="24"/>
          <w:szCs w:val="24"/>
        </w:rPr>
        <w:t>I will now take each of these in turn.</w:t>
      </w:r>
      <w:r w:rsidRPr="005D086E">
        <w:rPr>
          <w:rFonts w:ascii="Garamond" w:hAnsi="Garamond" w:cs="Times New Roman"/>
          <w:sz w:val="24"/>
          <w:szCs w:val="24"/>
        </w:rPr>
        <w:t xml:space="preserve">  </w:t>
      </w:r>
    </w:p>
    <w:p w:rsidR="00DD2983" w:rsidRDefault="00DD2983" w:rsidP="00472B3A">
      <w:pPr>
        <w:spacing w:line="360" w:lineRule="auto"/>
        <w:jc w:val="both"/>
        <w:rPr>
          <w:rFonts w:ascii="Garamond" w:hAnsi="Garamond" w:cs="Times New Roman"/>
          <w:sz w:val="24"/>
          <w:szCs w:val="24"/>
        </w:rPr>
      </w:pPr>
    </w:p>
    <w:p w:rsidR="00DD2983" w:rsidRDefault="00DD2983" w:rsidP="00472B3A">
      <w:pPr>
        <w:spacing w:line="360" w:lineRule="auto"/>
        <w:jc w:val="both"/>
        <w:rPr>
          <w:rFonts w:ascii="Garamond" w:hAnsi="Garamond" w:cs="Times New Roman"/>
          <w:sz w:val="24"/>
          <w:szCs w:val="24"/>
        </w:rPr>
      </w:pPr>
    </w:p>
    <w:p w:rsidR="00472B3A" w:rsidRPr="003916ED" w:rsidRDefault="00472B3A" w:rsidP="00472B3A">
      <w:pPr>
        <w:spacing w:line="360" w:lineRule="auto"/>
        <w:jc w:val="both"/>
        <w:rPr>
          <w:rStyle w:val="addmd"/>
        </w:rPr>
      </w:pPr>
      <w:r w:rsidRPr="003916ED">
        <w:rPr>
          <w:rStyle w:val="addmd"/>
          <w:rFonts w:ascii="Garamond" w:hAnsi="Garamond" w:cs="Times New Roman"/>
          <w:b/>
          <w:i/>
          <w:szCs w:val="20"/>
        </w:rPr>
        <w:lastRenderedPageBreak/>
        <w:t>Contextualizing STT’s chocolate campaigns in a politics of global responsibility</w:t>
      </w:r>
      <w:r w:rsidRPr="003916ED">
        <w:rPr>
          <w:rStyle w:val="addmd"/>
          <w:rFonts w:ascii="Garamond" w:hAnsi="Garamond"/>
          <w:b/>
          <w:i/>
          <w:szCs w:val="20"/>
        </w:rPr>
        <w:t xml:space="preserve">                       </w:t>
      </w:r>
    </w:p>
    <w:p w:rsidR="00DD2983" w:rsidRDefault="00472B3A" w:rsidP="00472B3A">
      <w:pPr>
        <w:spacing w:line="360" w:lineRule="auto"/>
        <w:jc w:val="both"/>
        <w:rPr>
          <w:rFonts w:ascii="Garamond" w:hAnsi="Garamond" w:cs="Times New Roman"/>
          <w:sz w:val="24"/>
          <w:szCs w:val="24"/>
        </w:rPr>
      </w:pPr>
      <w:r w:rsidRPr="005D086E">
        <w:rPr>
          <w:rFonts w:ascii="Garamond" w:hAnsi="Garamond" w:cs="Times New Roman"/>
          <w:sz w:val="24"/>
          <w:szCs w:val="24"/>
        </w:rPr>
        <w:t xml:space="preserve">STT do not explicitly advocate the use of consumer boycotts. </w:t>
      </w:r>
      <w:r>
        <w:rPr>
          <w:rFonts w:ascii="Garamond" w:hAnsi="Garamond" w:cs="Times New Roman"/>
          <w:sz w:val="24"/>
          <w:szCs w:val="24"/>
        </w:rPr>
        <w:t>This is despite much of STT</w:t>
      </w:r>
      <w:r w:rsidR="00AF727C">
        <w:rPr>
          <w:rFonts w:ascii="Garamond" w:hAnsi="Garamond" w:cs="Times New Roman"/>
          <w:sz w:val="24"/>
          <w:szCs w:val="24"/>
        </w:rPr>
        <w:t>’</w:t>
      </w:r>
      <w:r>
        <w:rPr>
          <w:rFonts w:ascii="Garamond" w:hAnsi="Garamond" w:cs="Times New Roman"/>
          <w:sz w:val="24"/>
          <w:szCs w:val="24"/>
        </w:rPr>
        <w:t>s</w:t>
      </w:r>
      <w:r w:rsidRPr="005D086E">
        <w:rPr>
          <w:rFonts w:ascii="Garamond" w:hAnsi="Garamond" w:cs="Times New Roman"/>
          <w:sz w:val="24"/>
          <w:szCs w:val="24"/>
        </w:rPr>
        <w:t xml:space="preserve"> campaign material implicitly </w:t>
      </w:r>
      <w:r>
        <w:rPr>
          <w:rFonts w:ascii="Garamond" w:hAnsi="Garamond" w:cs="Times New Roman"/>
          <w:sz w:val="24"/>
          <w:szCs w:val="24"/>
        </w:rPr>
        <w:t xml:space="preserve">encouraging </w:t>
      </w:r>
      <w:r w:rsidRPr="005D086E">
        <w:rPr>
          <w:rFonts w:ascii="Garamond" w:hAnsi="Garamond" w:cs="Times New Roman"/>
          <w:sz w:val="24"/>
          <w:szCs w:val="24"/>
        </w:rPr>
        <w:t>the boycott of non-</w:t>
      </w:r>
      <w:r>
        <w:rPr>
          <w:rFonts w:ascii="Garamond" w:hAnsi="Garamond" w:cs="Times New Roman"/>
          <w:sz w:val="24"/>
          <w:szCs w:val="24"/>
        </w:rPr>
        <w:t xml:space="preserve">fair trade cocoa. Individual ad-busting campaigns have been launched against Mars, Nestlé and Mondalez (who own both Kraft and Cadbury), and a widely </w:t>
      </w:r>
      <w:r w:rsidRPr="005D086E">
        <w:rPr>
          <w:rFonts w:ascii="Garamond" w:hAnsi="Garamond" w:cs="Times New Roman"/>
          <w:sz w:val="24"/>
          <w:szCs w:val="24"/>
        </w:rPr>
        <w:t xml:space="preserve">dispersed STT pamphlet admonishes - ‘you don’t have to feel sick to eat </w:t>
      </w:r>
      <w:r w:rsidRPr="005D086E">
        <w:rPr>
          <w:rFonts w:ascii="Garamond" w:hAnsi="Garamond" w:cs="Times New Roman"/>
          <w:i/>
          <w:sz w:val="24"/>
          <w:szCs w:val="24"/>
        </w:rPr>
        <w:t>this</w:t>
      </w:r>
      <w:r>
        <w:rPr>
          <w:rFonts w:ascii="Garamond" w:hAnsi="Garamond" w:cs="Times New Roman"/>
          <w:sz w:val="24"/>
          <w:szCs w:val="24"/>
        </w:rPr>
        <w:t xml:space="preserve"> chocolate’. But</w:t>
      </w:r>
      <w:r w:rsidRPr="005D086E">
        <w:rPr>
          <w:rFonts w:ascii="Garamond" w:hAnsi="Garamond" w:cs="Times New Roman"/>
          <w:sz w:val="24"/>
          <w:szCs w:val="24"/>
        </w:rPr>
        <w:t xml:space="preserve"> at no stage in their publications do they use the verb</w:t>
      </w:r>
      <w:r>
        <w:rPr>
          <w:rFonts w:ascii="Garamond" w:hAnsi="Garamond" w:cs="Times New Roman"/>
          <w:sz w:val="24"/>
          <w:szCs w:val="24"/>
        </w:rPr>
        <w:t xml:space="preserve"> 'to</w:t>
      </w:r>
      <w:r w:rsidRPr="005D086E">
        <w:rPr>
          <w:rFonts w:ascii="Garamond" w:hAnsi="Garamond" w:cs="Times New Roman"/>
          <w:sz w:val="24"/>
          <w:szCs w:val="24"/>
        </w:rPr>
        <w:t xml:space="preserve"> boycott</w:t>
      </w:r>
      <w:r>
        <w:rPr>
          <w:rFonts w:ascii="Garamond" w:hAnsi="Garamond" w:cs="Times New Roman"/>
          <w:sz w:val="24"/>
          <w:szCs w:val="24"/>
        </w:rPr>
        <w:t>'</w:t>
      </w:r>
      <w:r w:rsidRPr="005D086E">
        <w:rPr>
          <w:rFonts w:ascii="Garamond" w:hAnsi="Garamond"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DD2983">
        <w:tc>
          <w:tcPr>
            <w:tcW w:w="4258" w:type="dxa"/>
          </w:tcPr>
          <w:p w:rsidR="00DD2983" w:rsidRPr="00DD2983" w:rsidRDefault="00DD2983" w:rsidP="00472B3A">
            <w:pPr>
              <w:spacing w:line="360" w:lineRule="auto"/>
              <w:jc w:val="both"/>
              <w:rPr>
                <w:rFonts w:ascii="Garamond" w:hAnsi="Garamond" w:cs="Times New Roman"/>
                <w:sz w:val="24"/>
                <w:szCs w:val="24"/>
              </w:rPr>
            </w:pPr>
            <w:r w:rsidRPr="00DD2983">
              <w:rPr>
                <w:rFonts w:ascii="Garamond" w:hAnsi="Garamond" w:cs="Times New Roman"/>
                <w:noProof/>
                <w:sz w:val="24"/>
                <w:szCs w:val="24"/>
                <w:lang w:eastAsia="en-GB"/>
              </w:rPr>
              <w:drawing>
                <wp:inline distT="0" distB="0" distL="0" distR="0">
                  <wp:extent cx="2103948" cy="2929100"/>
                  <wp:effectExtent l="57150" t="38100" r="29652" b="23650"/>
                  <wp:docPr id="16" name="Picture 33" descr="C:\Users\hugh crosfield\Desktop\You dont have to eat this chocolate for it to make you feel s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ugh crosfield\Desktop\You dont have to eat this chocolate for it to make you feel sick.jpg"/>
                          <pic:cNvPicPr>
                            <a:picLocks noChangeAspect="1" noChangeArrowheads="1"/>
                          </pic:cNvPicPr>
                        </pic:nvPicPr>
                        <pic:blipFill>
                          <a:blip r:embed="rId72" cstate="print"/>
                          <a:srcRect/>
                          <a:stretch>
                            <a:fillRect/>
                          </a:stretch>
                        </pic:blipFill>
                        <pic:spPr bwMode="auto">
                          <a:xfrm>
                            <a:off x="0" y="0"/>
                            <a:ext cx="2105908" cy="2931829"/>
                          </a:xfrm>
                          <a:prstGeom prst="rect">
                            <a:avLst/>
                          </a:prstGeom>
                          <a:noFill/>
                          <a:ln w="31750">
                            <a:solidFill>
                              <a:schemeClr val="tx1"/>
                            </a:solidFill>
                            <a:miter lim="800000"/>
                            <a:headEnd/>
                            <a:tailEnd/>
                          </a:ln>
                        </pic:spPr>
                      </pic:pic>
                    </a:graphicData>
                  </a:graphic>
                </wp:inline>
              </w:drawing>
            </w:r>
          </w:p>
        </w:tc>
        <w:tc>
          <w:tcPr>
            <w:tcW w:w="4258" w:type="dxa"/>
          </w:tcPr>
          <w:p w:rsidR="00504CFD" w:rsidRDefault="00107CF0" w:rsidP="00107CF0">
            <w:pPr>
              <w:pStyle w:val="Caption"/>
              <w:rPr>
                <w:rFonts w:ascii="Perpetua" w:hAnsi="Perpetua"/>
                <w:b w:val="0"/>
                <w:color w:val="auto"/>
                <w:sz w:val="20"/>
              </w:rPr>
            </w:pPr>
            <w:bookmarkStart w:id="514" w:name="_Toc263509037"/>
            <w:bookmarkStart w:id="515" w:name="_Toc263510824"/>
            <w:bookmarkStart w:id="516" w:name="_Toc244508240"/>
            <w:bookmarkStart w:id="517" w:name="_Toc244577302"/>
            <w:bookmarkStart w:id="518" w:name="_Toc263495771"/>
            <w:r w:rsidRPr="00107CF0">
              <w:rPr>
                <w:rFonts w:ascii="Perpetua" w:hAnsi="Perpetua"/>
                <w:b w:val="0"/>
                <w:color w:val="auto"/>
                <w:sz w:val="20"/>
              </w:rPr>
              <w:t xml:space="preserve">Figure </w:t>
            </w:r>
            <w:r w:rsidR="00DF2DF8" w:rsidRPr="00107CF0">
              <w:rPr>
                <w:rFonts w:ascii="Perpetua" w:hAnsi="Perpetua"/>
                <w:b w:val="0"/>
                <w:color w:val="auto"/>
                <w:sz w:val="20"/>
              </w:rPr>
              <w:fldChar w:fldCharType="begin"/>
            </w:r>
            <w:r w:rsidRPr="00107CF0">
              <w:rPr>
                <w:rFonts w:ascii="Perpetua" w:hAnsi="Perpetua"/>
                <w:b w:val="0"/>
                <w:color w:val="auto"/>
                <w:sz w:val="20"/>
              </w:rPr>
              <w:instrText xml:space="preserve"> SEQ Figure \* ARABIC </w:instrText>
            </w:r>
            <w:r w:rsidR="00DF2DF8" w:rsidRPr="00107CF0">
              <w:rPr>
                <w:rFonts w:ascii="Perpetua" w:hAnsi="Perpetua"/>
                <w:b w:val="0"/>
                <w:color w:val="auto"/>
                <w:sz w:val="20"/>
              </w:rPr>
              <w:fldChar w:fldCharType="separate"/>
            </w:r>
            <w:r w:rsidR="002B3E92">
              <w:rPr>
                <w:rFonts w:ascii="Perpetua" w:hAnsi="Perpetua"/>
                <w:b w:val="0"/>
                <w:noProof/>
                <w:color w:val="auto"/>
                <w:sz w:val="20"/>
              </w:rPr>
              <w:t>40</w:t>
            </w:r>
            <w:r w:rsidR="00DF2DF8" w:rsidRPr="00107CF0">
              <w:rPr>
                <w:rFonts w:ascii="Perpetua" w:hAnsi="Perpetua"/>
                <w:b w:val="0"/>
                <w:color w:val="auto"/>
                <w:sz w:val="20"/>
              </w:rPr>
              <w:fldChar w:fldCharType="end"/>
            </w:r>
            <w:r w:rsidRPr="00107CF0">
              <w:rPr>
                <w:rFonts w:ascii="Perpetua" w:hAnsi="Perpetua"/>
                <w:b w:val="0"/>
                <w:color w:val="auto"/>
                <w:sz w:val="20"/>
              </w:rPr>
              <w:t>: STT leaflet, 2011. 'You don't have to eat this chocolate for it to make you feel sick'.</w:t>
            </w:r>
            <w:bookmarkEnd w:id="514"/>
            <w:bookmarkEnd w:id="515"/>
            <w:r w:rsidRPr="00107CF0">
              <w:rPr>
                <w:rFonts w:ascii="Perpetua" w:hAnsi="Perpetua"/>
                <w:b w:val="0"/>
                <w:color w:val="auto"/>
                <w:sz w:val="20"/>
              </w:rPr>
              <w:t xml:space="preserve"> </w:t>
            </w:r>
          </w:p>
          <w:p w:rsidR="00DD2983" w:rsidRPr="00504CFD" w:rsidRDefault="00DD2983" w:rsidP="00504CFD">
            <w:pPr>
              <w:rPr>
                <w:rFonts w:ascii="Perpetua" w:hAnsi="Perpetua"/>
                <w:sz w:val="20"/>
              </w:rPr>
            </w:pPr>
            <w:r w:rsidRPr="00504CFD">
              <w:rPr>
                <w:rFonts w:ascii="Perpetua" w:hAnsi="Perpetua"/>
                <w:sz w:val="20"/>
              </w:rPr>
              <w:t>Encouraging visceral abjection of chocolate</w:t>
            </w:r>
            <w:r w:rsidR="00107CF0" w:rsidRPr="00504CFD">
              <w:rPr>
                <w:rFonts w:ascii="Perpetua" w:hAnsi="Perpetua"/>
                <w:sz w:val="20"/>
              </w:rPr>
              <w:t xml:space="preserve">. </w:t>
            </w:r>
            <w:r w:rsidRPr="00504CFD">
              <w:rPr>
                <w:rFonts w:ascii="Perpetua" w:hAnsi="Perpetua"/>
                <w:sz w:val="20"/>
              </w:rPr>
              <w:t>STT facilitate engagement from action groups by making their chocolate campaign materials easily downloadable from their website.  (http://www.stopthetraffik.org /404) Accessed 3/9/2012.</w:t>
            </w:r>
            <w:bookmarkEnd w:id="516"/>
            <w:bookmarkEnd w:id="517"/>
            <w:bookmarkEnd w:id="518"/>
          </w:p>
          <w:p w:rsidR="00DD2983" w:rsidRDefault="00DD2983" w:rsidP="00107CF0">
            <w:pPr>
              <w:keepNext/>
              <w:spacing w:line="360" w:lineRule="auto"/>
              <w:jc w:val="both"/>
              <w:rPr>
                <w:rFonts w:ascii="Garamond" w:hAnsi="Garamond" w:cs="Times New Roman"/>
                <w:sz w:val="24"/>
                <w:szCs w:val="24"/>
              </w:rPr>
            </w:pPr>
          </w:p>
        </w:tc>
      </w:tr>
    </w:tbl>
    <w:p w:rsidR="00504CFD" w:rsidRDefault="00504CFD" w:rsidP="00DD2983">
      <w:pPr>
        <w:spacing w:after="0" w:line="360" w:lineRule="auto"/>
        <w:jc w:val="both"/>
        <w:rPr>
          <w:rFonts w:ascii="Garamond" w:hAnsi="Garamond" w:cs="Times New Roman"/>
          <w:sz w:val="24"/>
          <w:szCs w:val="24"/>
        </w:rPr>
      </w:pPr>
    </w:p>
    <w:p w:rsidR="00DD2983" w:rsidRDefault="00472B3A" w:rsidP="00DD2983">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I put the question </w:t>
      </w:r>
      <w:r>
        <w:rPr>
          <w:rFonts w:ascii="Garamond" w:hAnsi="Garamond" w:cs="Times New Roman"/>
          <w:sz w:val="24"/>
          <w:szCs w:val="24"/>
        </w:rPr>
        <w:t>of boycotts to Antonie Fountain, the global co-ordinator of STT's</w:t>
      </w:r>
      <w:r w:rsidRPr="005D086E">
        <w:rPr>
          <w:rFonts w:ascii="Garamond" w:hAnsi="Garamond" w:cs="Times New Roman"/>
          <w:sz w:val="24"/>
          <w:szCs w:val="24"/>
        </w:rPr>
        <w:t xml:space="preserve"> chocolate campaigns:</w:t>
      </w:r>
    </w:p>
    <w:p w:rsidR="00472B3A" w:rsidRPr="005D086E" w:rsidRDefault="00472B3A" w:rsidP="00DD2983">
      <w:pPr>
        <w:spacing w:after="0" w:line="360" w:lineRule="auto"/>
        <w:jc w:val="both"/>
        <w:rPr>
          <w:rFonts w:ascii="Garamond" w:hAnsi="Garamond" w:cs="Times New Roman"/>
          <w:sz w:val="24"/>
          <w:szCs w:val="24"/>
        </w:rPr>
      </w:pP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Why don’t STT want people to do boycotts?</w:t>
      </w:r>
    </w:p>
    <w:p w:rsidR="00472B3A" w:rsidRPr="005D086E" w:rsidRDefault="00472B3A" w:rsidP="00DD2983">
      <w:pPr>
        <w:spacing w:line="360" w:lineRule="auto"/>
        <w:ind w:left="284" w:right="284"/>
        <w:jc w:val="both"/>
        <w:rPr>
          <w:rFonts w:ascii="Garamond" w:hAnsi="Garamond" w:cs="Times New Roman"/>
        </w:rPr>
      </w:pPr>
      <w:r w:rsidRPr="005D086E">
        <w:rPr>
          <w:rFonts w:ascii="Garamond" w:hAnsi="Garamond" w:cs="Times New Roman"/>
        </w:rPr>
        <w:t>A</w:t>
      </w:r>
      <w:r>
        <w:rPr>
          <w:rFonts w:ascii="Garamond" w:hAnsi="Garamond" w:cs="Times New Roman"/>
        </w:rPr>
        <w:t>NTONIE: T</w:t>
      </w:r>
      <w:r w:rsidRPr="005D086E">
        <w:rPr>
          <w:rFonts w:ascii="Garamond" w:hAnsi="Garamond" w:cs="Times New Roman"/>
        </w:rPr>
        <w:t>he people you will actually hurt the most with a boycott are the growers, and we don’t want to do that. We are doing this because we care deeply about the people who are working in the plantations in West Africa. It means if we do the boycott it would mean they would get significantly less.</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xml:space="preserve">: But </w:t>
      </w:r>
      <w:r>
        <w:rPr>
          <w:rFonts w:ascii="Garamond" w:hAnsi="Garamond" w:cs="Times New Roman"/>
        </w:rPr>
        <w:t>isn't there</w:t>
      </w:r>
      <w:r w:rsidRPr="005D086E">
        <w:rPr>
          <w:rFonts w:ascii="Garamond" w:hAnsi="Garamond" w:cs="Times New Roman"/>
        </w:rPr>
        <w:t xml:space="preserve"> a potential sacrifice that farmers are required to make to convert to </w:t>
      </w:r>
      <w:r>
        <w:rPr>
          <w:rFonts w:ascii="Garamond" w:hAnsi="Garamond" w:cs="Times New Roman"/>
        </w:rPr>
        <w:t>fair trade</w:t>
      </w:r>
      <w:r w:rsidRPr="005D086E">
        <w:rPr>
          <w:rFonts w:ascii="Garamond" w:hAnsi="Garamond" w:cs="Times New Roman"/>
        </w:rPr>
        <w:t>?</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xml:space="preserve">: I think the sacrifice is on our side and not theirs. I mean, they’ve got nothing to sacrifice, and that’s our responsibility. </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xml:space="preserve">: So our sacrifice is paying the premium to get </w:t>
      </w:r>
      <w:r>
        <w:rPr>
          <w:rFonts w:ascii="Garamond" w:hAnsi="Garamond" w:cs="Times New Roman"/>
        </w:rPr>
        <w:t>fair trade</w:t>
      </w:r>
      <w:r w:rsidRPr="005D086E">
        <w:rPr>
          <w:rFonts w:ascii="Garamond" w:hAnsi="Garamond" w:cs="Times New Roman"/>
        </w:rPr>
        <w:t>?</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lastRenderedPageBreak/>
        <w:t>ANTONIE</w:t>
      </w:r>
      <w:r w:rsidRPr="005D086E">
        <w:rPr>
          <w:rFonts w:ascii="Garamond" w:hAnsi="Garamond" w:cs="Times New Roman"/>
        </w:rPr>
        <w:t>: Well not just the premium, but to pay a decent price for the product they are making us, the luxury product.</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xml:space="preserve">: What do STT think the public can do other than buy </w:t>
      </w:r>
      <w:r>
        <w:rPr>
          <w:rFonts w:ascii="Garamond" w:hAnsi="Garamond" w:cs="Times New Roman"/>
        </w:rPr>
        <w:t>fair trade</w:t>
      </w:r>
      <w:r w:rsidRPr="005D086E">
        <w:rPr>
          <w:rFonts w:ascii="Garamond" w:hAnsi="Garamond" w:cs="Times New Roman"/>
        </w:rPr>
        <w:t xml:space="preserve"> chocolate?</w:t>
      </w:r>
    </w:p>
    <w:p w:rsidR="00DD2983" w:rsidRDefault="00472B3A" w:rsidP="00DD2983">
      <w:pPr>
        <w:spacing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It</w:t>
      </w:r>
      <w:r>
        <w:rPr>
          <w:rFonts w:ascii="Garamond" w:hAnsi="Garamond" w:cs="Times New Roman"/>
        </w:rPr>
        <w:t>’</w:t>
      </w:r>
      <w:r w:rsidRPr="005D086E">
        <w:rPr>
          <w:rFonts w:ascii="Garamond" w:hAnsi="Garamond" w:cs="Times New Roman"/>
        </w:rPr>
        <w:t>s more than one thing, it</w:t>
      </w:r>
      <w:r>
        <w:rPr>
          <w:rFonts w:ascii="Garamond" w:hAnsi="Garamond" w:cs="Times New Roman"/>
        </w:rPr>
        <w:t>’</w:t>
      </w:r>
      <w:r w:rsidRPr="005D086E">
        <w:rPr>
          <w:rFonts w:ascii="Garamond" w:hAnsi="Garamond" w:cs="Times New Roman"/>
        </w:rPr>
        <w:t>s buying the good stuff, but it’s also being a voice. Let your voice be heard, speak out, pressure your politicians, pressure the companies. You see</w:t>
      </w:r>
      <w:r>
        <w:rPr>
          <w:rFonts w:ascii="Garamond" w:hAnsi="Garamond" w:cs="Times New Roman"/>
        </w:rPr>
        <w:t>,</w:t>
      </w:r>
      <w:r w:rsidRPr="005D086E">
        <w:rPr>
          <w:rFonts w:ascii="Garamond" w:hAnsi="Garamond" w:cs="Times New Roman"/>
        </w:rPr>
        <w:t xml:space="preserve"> just buying the good stuff is a good first step, but it’s still passive. Step one is change your spending practices, step two is make the people in power know you are not in agreement with how it works.</w:t>
      </w:r>
    </w:p>
    <w:p w:rsidR="00472B3A" w:rsidRPr="005D086E" w:rsidRDefault="00472B3A" w:rsidP="00DD2983">
      <w:pPr>
        <w:spacing w:after="0" w:line="360" w:lineRule="auto"/>
        <w:ind w:left="284" w:right="284"/>
        <w:jc w:val="both"/>
        <w:rPr>
          <w:rFonts w:ascii="Garamond" w:hAnsi="Garamond" w:cs="Times New Roman"/>
        </w:rPr>
      </w:pPr>
    </w:p>
    <w:p w:rsidR="00DD2983" w:rsidRDefault="00472B3A" w:rsidP="00DD2983">
      <w:pPr>
        <w:spacing w:after="0" w:line="360" w:lineRule="auto"/>
        <w:jc w:val="both"/>
        <w:rPr>
          <w:rFonts w:ascii="Garamond" w:hAnsi="Garamond" w:cs="Times New Roman"/>
          <w:sz w:val="24"/>
          <w:szCs w:val="24"/>
        </w:rPr>
      </w:pPr>
      <w:r w:rsidRPr="005D086E">
        <w:rPr>
          <w:rFonts w:ascii="Garamond" w:hAnsi="Garamond" w:cs="Times New Roman"/>
          <w:sz w:val="24"/>
          <w:szCs w:val="24"/>
        </w:rPr>
        <w:t>Anti-apartheid boycotts, as exem</w:t>
      </w:r>
      <w:r>
        <w:rPr>
          <w:rFonts w:ascii="Garamond" w:hAnsi="Garamond" w:cs="Times New Roman"/>
          <w:sz w:val="24"/>
          <w:szCs w:val="24"/>
        </w:rPr>
        <w:t>plified by the BOA, often utiliz</w:t>
      </w:r>
      <w:r w:rsidRPr="005D086E">
        <w:rPr>
          <w:rFonts w:ascii="Garamond" w:hAnsi="Garamond" w:cs="Times New Roman"/>
          <w:sz w:val="24"/>
          <w:szCs w:val="24"/>
        </w:rPr>
        <w:t xml:space="preserve">ed the meme of ‘global </w:t>
      </w:r>
      <w:r w:rsidRPr="0046398B">
        <w:rPr>
          <w:rFonts w:ascii="Garamond" w:hAnsi="Garamond" w:cs="Times New Roman"/>
          <w:sz w:val="24"/>
          <w:szCs w:val="24"/>
        </w:rPr>
        <w:t>solidarity’</w:t>
      </w:r>
      <w:r w:rsidRPr="00F907C9">
        <w:rPr>
          <w:rFonts w:ascii="Garamond" w:hAnsi="Garamond" w:cs="Times New Roman"/>
          <w:sz w:val="24"/>
          <w:szCs w:val="24"/>
        </w:rPr>
        <w:t xml:space="preserve"> (</w:t>
      </w:r>
      <w:r w:rsidRPr="00F907C9">
        <w:rPr>
          <w:rFonts w:ascii="Garamond" w:hAnsi="Garamond" w:cs="Arial"/>
          <w:bCs/>
          <w:sz w:val="24"/>
          <w:szCs w:val="24"/>
          <w:bdr w:val="none" w:sz="0" w:space="0" w:color="auto" w:frame="1"/>
          <w:shd w:val="clear" w:color="auto" w:fill="FFFFFF"/>
        </w:rPr>
        <w:t>Thörn</w:t>
      </w:r>
      <w:r w:rsidRPr="00F907C9">
        <w:rPr>
          <w:rFonts w:ascii="Garamond" w:hAnsi="Garamond" w:cs="Times New Roman"/>
          <w:sz w:val="24"/>
          <w:szCs w:val="24"/>
        </w:rPr>
        <w:t>,</w:t>
      </w:r>
      <w:r>
        <w:rPr>
          <w:rFonts w:ascii="Garamond" w:hAnsi="Garamond" w:cs="Times New Roman"/>
          <w:sz w:val="24"/>
          <w:szCs w:val="24"/>
        </w:rPr>
        <w:t xml:space="preserve"> 2006</w:t>
      </w:r>
      <w:r w:rsidRPr="0046398B">
        <w:rPr>
          <w:rFonts w:ascii="Garamond" w:hAnsi="Garamond" w:cs="Times New Roman"/>
          <w:sz w:val="24"/>
          <w:szCs w:val="24"/>
        </w:rPr>
        <w:t>).</w:t>
      </w:r>
      <w:r w:rsidRPr="005D086E">
        <w:rPr>
          <w:rFonts w:ascii="Garamond" w:hAnsi="Garamond" w:cs="Times New Roman"/>
          <w:sz w:val="24"/>
          <w:szCs w:val="24"/>
        </w:rPr>
        <w:t xml:space="preserve"> The BOA’s politics of global solidarity were defined by conversations and meetings between boycott activists and a range of actors from South Africa, including SACTU émigré’s and ANC spokespeople, and were materialized by boycotts and sanctions in Europe, and pickets, boycotts and violent resistance in South Africa. In contradistinction, STT’s chocolate campaigns are contex</w:t>
      </w:r>
      <w:r>
        <w:rPr>
          <w:rFonts w:ascii="Garamond" w:hAnsi="Garamond" w:cs="Times New Roman"/>
          <w:sz w:val="24"/>
          <w:szCs w:val="24"/>
        </w:rPr>
        <w:t>tualized by a politics of</w:t>
      </w:r>
      <w:r w:rsidRPr="005D086E">
        <w:rPr>
          <w:rFonts w:ascii="Garamond" w:hAnsi="Garamond" w:cs="Times New Roman"/>
          <w:sz w:val="24"/>
          <w:szCs w:val="24"/>
        </w:rPr>
        <w:t xml:space="preserve"> responsibility. As the above conversation indicates, STT encourage consumers to act out of </w:t>
      </w:r>
      <w:r w:rsidRPr="005D086E">
        <w:rPr>
          <w:rFonts w:ascii="Garamond" w:hAnsi="Garamond" w:cs="Times New Roman"/>
          <w:i/>
          <w:sz w:val="24"/>
          <w:szCs w:val="24"/>
        </w:rPr>
        <w:t>responsibility for</w:t>
      </w:r>
      <w:r w:rsidRPr="005D086E">
        <w:rPr>
          <w:rFonts w:ascii="Garamond" w:hAnsi="Garamond" w:cs="Times New Roman"/>
          <w:sz w:val="24"/>
          <w:szCs w:val="24"/>
        </w:rPr>
        <w:t xml:space="preserve"> cocoa producers</w:t>
      </w:r>
      <w:r>
        <w:rPr>
          <w:rFonts w:ascii="Garamond" w:hAnsi="Garamond" w:cs="Times New Roman"/>
          <w:sz w:val="24"/>
          <w:szCs w:val="24"/>
        </w:rPr>
        <w:t>.</w:t>
      </w:r>
      <w:r w:rsidRPr="005D086E">
        <w:rPr>
          <w:rFonts w:ascii="Garamond" w:hAnsi="Garamond" w:cs="Times New Roman"/>
          <w:sz w:val="24"/>
          <w:szCs w:val="24"/>
        </w:rPr>
        <w:t xml:space="preserve"> </w:t>
      </w:r>
      <w:r>
        <w:rPr>
          <w:rFonts w:ascii="Garamond" w:hAnsi="Garamond" w:cs="Times New Roman"/>
          <w:sz w:val="24"/>
          <w:szCs w:val="24"/>
        </w:rPr>
        <w:t>C</w:t>
      </w:r>
      <w:r w:rsidRPr="005D086E">
        <w:rPr>
          <w:rFonts w:ascii="Garamond" w:hAnsi="Garamond" w:cs="Times New Roman"/>
          <w:sz w:val="24"/>
          <w:szCs w:val="24"/>
        </w:rPr>
        <w:t>ritically, there is no dialogue between individual farmers and STT (althou</w:t>
      </w:r>
      <w:r>
        <w:rPr>
          <w:rFonts w:ascii="Garamond" w:hAnsi="Garamond" w:cs="Times New Roman"/>
          <w:sz w:val="24"/>
          <w:szCs w:val="24"/>
        </w:rPr>
        <w:t>gh Western cooperative schemes are engaged</w:t>
      </w:r>
      <w:r w:rsidRPr="005D086E">
        <w:rPr>
          <w:rFonts w:ascii="Garamond" w:hAnsi="Garamond" w:cs="Times New Roman"/>
          <w:sz w:val="24"/>
          <w:szCs w:val="24"/>
        </w:rPr>
        <w:t xml:space="preserve">), and the needs of producers are spoken for. </w:t>
      </w:r>
      <w:r>
        <w:rPr>
          <w:rFonts w:ascii="Garamond" w:hAnsi="Garamond" w:cs="Times New Roman"/>
          <w:sz w:val="24"/>
          <w:szCs w:val="24"/>
        </w:rPr>
        <w:t>In STT’s account, s</w:t>
      </w:r>
      <w:r w:rsidRPr="005D086E">
        <w:rPr>
          <w:rFonts w:ascii="Garamond" w:hAnsi="Garamond" w:cs="Times New Roman"/>
          <w:sz w:val="24"/>
          <w:szCs w:val="24"/>
        </w:rPr>
        <w:t xml:space="preserve">acrifices are not required by producers in the </w:t>
      </w:r>
      <w:r>
        <w:rPr>
          <w:rFonts w:ascii="Garamond" w:hAnsi="Garamond" w:cs="Times New Roman"/>
          <w:sz w:val="24"/>
          <w:szCs w:val="24"/>
        </w:rPr>
        <w:t>Côte</w:t>
      </w:r>
      <w:r w:rsidRPr="005D086E">
        <w:rPr>
          <w:rFonts w:ascii="Garamond" w:hAnsi="Garamond" w:cs="Times New Roman"/>
          <w:sz w:val="24"/>
          <w:szCs w:val="24"/>
        </w:rPr>
        <w:t xml:space="preserve"> D’Ivoire and Ghana as there is little recognition of a unified resistance to the chocolate agribusiness.</w:t>
      </w:r>
      <w:r w:rsidRPr="005D086E">
        <w:rPr>
          <w:rFonts w:ascii="Garamond" w:hAnsi="Garamond"/>
        </w:rPr>
        <w:t xml:space="preserve"> </w:t>
      </w:r>
      <w:r w:rsidRPr="005D086E">
        <w:rPr>
          <w:rFonts w:ascii="Garamond" w:hAnsi="Garamond" w:cs="Times New Roman"/>
          <w:sz w:val="24"/>
          <w:szCs w:val="24"/>
        </w:rPr>
        <w:t>STT apply small incremental step</w:t>
      </w:r>
      <w:r>
        <w:rPr>
          <w:rFonts w:ascii="Garamond" w:hAnsi="Garamond" w:cs="Times New Roman"/>
          <w:sz w:val="24"/>
          <w:szCs w:val="24"/>
        </w:rPr>
        <w:t>s towards cocoa industry reform. T</w:t>
      </w:r>
      <w:r w:rsidRPr="005D086E">
        <w:rPr>
          <w:rFonts w:ascii="Garamond" w:hAnsi="Garamond" w:cs="Times New Roman"/>
          <w:sz w:val="24"/>
          <w:szCs w:val="24"/>
        </w:rPr>
        <w:t xml:space="preserve">heirs is </w:t>
      </w:r>
      <w:r>
        <w:rPr>
          <w:rFonts w:ascii="Garamond" w:hAnsi="Garamond" w:cs="Times New Roman"/>
          <w:sz w:val="24"/>
          <w:szCs w:val="24"/>
        </w:rPr>
        <w:t>a more gradual pressure, focused on advocacy rather than the sort of regime overhaul</w:t>
      </w:r>
      <w:r w:rsidRPr="005D086E">
        <w:rPr>
          <w:rFonts w:ascii="Garamond" w:hAnsi="Garamond" w:cs="Times New Roman"/>
          <w:sz w:val="24"/>
          <w:szCs w:val="24"/>
        </w:rPr>
        <w:t xml:space="preserve"> sought by the BOA in relation to apartheid</w:t>
      </w:r>
      <w:r>
        <w:rPr>
          <w:rFonts w:ascii="Garamond" w:hAnsi="Garamond" w:cs="Times New Roman"/>
          <w:sz w:val="24"/>
          <w:szCs w:val="24"/>
        </w:rPr>
        <w:t>.</w:t>
      </w:r>
      <w:r w:rsidRPr="005D086E">
        <w:rPr>
          <w:rStyle w:val="FootnoteReference"/>
          <w:rFonts w:ascii="Garamond" w:hAnsi="Garamond"/>
          <w:sz w:val="24"/>
          <w:szCs w:val="24"/>
        </w:rPr>
        <w:footnoteReference w:id="109"/>
      </w:r>
      <w:r w:rsidRPr="005D086E">
        <w:rPr>
          <w:rFonts w:ascii="Garamond" w:hAnsi="Garamond"/>
        </w:rPr>
        <w:t xml:space="preserve"> </w:t>
      </w:r>
      <w:r w:rsidRPr="005D086E">
        <w:rPr>
          <w:rFonts w:ascii="Garamond" w:hAnsi="Garamond" w:cs="Times New Roman"/>
          <w:sz w:val="24"/>
          <w:szCs w:val="24"/>
        </w:rPr>
        <w:t xml:space="preserve">Boycotts require sacrifice on the part of cocoa producers, and to implement them successfully and </w:t>
      </w:r>
      <w:r>
        <w:rPr>
          <w:rFonts w:ascii="Garamond" w:hAnsi="Garamond" w:cs="Times New Roman"/>
          <w:sz w:val="24"/>
          <w:szCs w:val="24"/>
        </w:rPr>
        <w:t xml:space="preserve">to </w:t>
      </w:r>
      <w:r w:rsidRPr="005D086E">
        <w:rPr>
          <w:rFonts w:ascii="Garamond" w:hAnsi="Garamond" w:cs="Times New Roman"/>
          <w:sz w:val="24"/>
          <w:szCs w:val="24"/>
        </w:rPr>
        <w:t xml:space="preserve">encourage market disengagement </w:t>
      </w:r>
      <w:r>
        <w:rPr>
          <w:rFonts w:ascii="Garamond" w:hAnsi="Garamond" w:cs="Times New Roman"/>
          <w:sz w:val="24"/>
          <w:szCs w:val="24"/>
        </w:rPr>
        <w:t xml:space="preserve">would </w:t>
      </w:r>
      <w:r w:rsidRPr="005D086E">
        <w:rPr>
          <w:rFonts w:ascii="Garamond" w:hAnsi="Garamond" w:cs="Times New Roman"/>
          <w:sz w:val="24"/>
          <w:szCs w:val="24"/>
        </w:rPr>
        <w:t xml:space="preserve">require the sustained and concentrated application of “bleeding heart communications” (interview Fountain, 2011) that unify consumers with egregious forms of production in a negative topos of visceral disgust and abjection. According to STT, too much exposure to such topoi can cause apathy: </w:t>
      </w:r>
    </w:p>
    <w:p w:rsidR="00472B3A" w:rsidRPr="005D086E" w:rsidRDefault="00472B3A" w:rsidP="00DD2983">
      <w:pPr>
        <w:spacing w:after="0" w:line="360" w:lineRule="auto"/>
        <w:jc w:val="both"/>
        <w:rPr>
          <w:rFonts w:ascii="Garamond" w:hAnsi="Garamond" w:cs="Times New Roman"/>
          <w:sz w:val="24"/>
          <w:szCs w:val="24"/>
        </w:rPr>
      </w:pP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xml:space="preserve">: You have a pamphlet telling consumers that ‘you don’t have to eat this chocolate for it to </w:t>
      </w:r>
      <w:r>
        <w:rPr>
          <w:rFonts w:ascii="Garamond" w:hAnsi="Garamond" w:cs="Times New Roman"/>
        </w:rPr>
        <w:t>make you feel sick’</w:t>
      </w:r>
      <w:r w:rsidRPr="005D086E">
        <w:rPr>
          <w:rFonts w:ascii="Garamond" w:hAnsi="Garamond" w:cs="Times New Roman"/>
        </w:rPr>
        <w:t>. Have STT produced more variants on this theme?</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lastRenderedPageBreak/>
        <w:t>ANTONIE</w:t>
      </w:r>
      <w:r w:rsidRPr="005D086E">
        <w:rPr>
          <w:rFonts w:ascii="Garamond" w:hAnsi="Garamond" w:cs="Times New Roman"/>
        </w:rPr>
        <w:t>: Not necessarily on the taste aspect stuff. We often reference the quote from the BBC documentary where the boy says ‘if you eat this chocolate you are eating my flesh’, but in the main we try to stay clear from bleeding heart communications. We choose to go more positive, because we think that a positive message actually excites people much more to get involved than</w:t>
      </w:r>
      <w:r>
        <w:rPr>
          <w:rFonts w:ascii="Garamond" w:hAnsi="Garamond" w:cs="Times New Roman"/>
        </w:rPr>
        <w:t>,</w:t>
      </w:r>
      <w:r w:rsidRPr="005D086E">
        <w:rPr>
          <w:rFonts w:ascii="Garamond" w:hAnsi="Garamond" w:cs="Times New Roman"/>
        </w:rPr>
        <w:t xml:space="preserve"> you know, describing the next worst thing that happens</w:t>
      </w:r>
      <w:r>
        <w:rPr>
          <w:rFonts w:ascii="Garamond" w:hAnsi="Garamond" w:cs="Times New Roman"/>
        </w:rPr>
        <w:t>.</w:t>
      </w:r>
      <w:r w:rsidRPr="005D086E">
        <w:rPr>
          <w:rFonts w:ascii="Garamond" w:hAnsi="Garamond" w:cs="Times New Roman"/>
        </w:rPr>
        <w:t xml:space="preserve"> </w:t>
      </w:r>
      <w:r>
        <w:rPr>
          <w:rFonts w:ascii="Garamond" w:hAnsi="Garamond" w:cs="Times New Roman"/>
        </w:rPr>
        <w:t>P</w:t>
      </w:r>
      <w:r w:rsidRPr="005D086E">
        <w:rPr>
          <w:rFonts w:ascii="Garamond" w:hAnsi="Garamond" w:cs="Times New Roman"/>
        </w:rPr>
        <w:t xml:space="preserve">eople can get a fatigue of horrible news. </w:t>
      </w:r>
    </w:p>
    <w:p w:rsidR="00472B3A" w:rsidRPr="005D086E" w:rsidRDefault="00472B3A" w:rsidP="00DD2983">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But by making stuff fun for consumers isn’t there a risk here of depoliticizing your message?</w:t>
      </w:r>
    </w:p>
    <w:p w:rsidR="00DD2983" w:rsidRDefault="00472B3A" w:rsidP="00DD2983">
      <w:pPr>
        <w:spacing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xml:space="preserve">: Only if depoliticizing our message means discouraging people from getting involved.  </w:t>
      </w:r>
    </w:p>
    <w:p w:rsidR="00472B3A" w:rsidRDefault="00472B3A" w:rsidP="00DD2983">
      <w:pPr>
        <w:spacing w:after="0" w:line="360" w:lineRule="auto"/>
        <w:ind w:left="284" w:right="284"/>
        <w:jc w:val="both"/>
        <w:rPr>
          <w:rFonts w:ascii="Garamond" w:hAnsi="Garamond" w:cs="Times New Roman"/>
        </w:rPr>
      </w:pPr>
    </w:p>
    <w:p w:rsidR="00DD2983" w:rsidRDefault="00472B3A" w:rsidP="00DD2983">
      <w:pPr>
        <w:spacing w:after="0" w:line="360" w:lineRule="auto"/>
        <w:jc w:val="both"/>
        <w:rPr>
          <w:rFonts w:ascii="Garamond" w:eastAsia="Times New Roman" w:hAnsi="Garamond" w:cs="Times New Roman"/>
          <w:color w:val="000000"/>
          <w:sz w:val="24"/>
          <w:szCs w:val="24"/>
          <w:shd w:val="clear" w:color="auto" w:fill="FFFFFF"/>
          <w:lang w:eastAsia="en-GB"/>
        </w:rPr>
      </w:pPr>
      <w:r w:rsidRPr="005D086E">
        <w:rPr>
          <w:rFonts w:ascii="Garamond" w:eastAsia="Times New Roman" w:hAnsi="Garamond" w:cs="Times New Roman"/>
          <w:color w:val="000000"/>
          <w:sz w:val="24"/>
          <w:szCs w:val="24"/>
          <w:shd w:val="clear" w:color="auto" w:fill="FFFFFF"/>
          <w:lang w:eastAsia="en-GB"/>
        </w:rPr>
        <w:t>STT’s anti-trafficking handbook (2009: 105) outlines an uncomplicated six-point plan to commit the chocolate industry to transparency, ethical sourcing, fair prices for cocoa, infrastructural changes to producer livelihoods, new anti-trafficking laws, and the rehabilitation of children. Individual timelines, promises and the complicated negotiations involved behind the six points are deliberately overlooked to present a unified message to consumer</w:t>
      </w:r>
      <w:r>
        <w:rPr>
          <w:rFonts w:ascii="Garamond" w:eastAsia="Times New Roman" w:hAnsi="Garamond" w:cs="Times New Roman"/>
          <w:color w:val="000000"/>
          <w:sz w:val="24"/>
          <w:szCs w:val="24"/>
          <w:shd w:val="clear" w:color="auto" w:fill="FFFFFF"/>
          <w:lang w:eastAsia="en-GB"/>
        </w:rPr>
        <w:t>s</w:t>
      </w:r>
      <w:r w:rsidRPr="005D086E">
        <w:rPr>
          <w:rFonts w:ascii="Garamond" w:eastAsia="Times New Roman" w:hAnsi="Garamond" w:cs="Times New Roman"/>
          <w:color w:val="000000"/>
          <w:sz w:val="24"/>
          <w:szCs w:val="24"/>
          <w:shd w:val="clear" w:color="auto" w:fill="FFFFFF"/>
          <w:lang w:eastAsia="en-GB"/>
        </w:rPr>
        <w:t>. ‘Rude’ or ‘less negotiable’ companies are identified as targets for ad-busting campaigns (</w:t>
      </w:r>
      <w:r>
        <w:rPr>
          <w:rFonts w:ascii="Garamond" w:eastAsia="Times New Roman" w:hAnsi="Garamond" w:cs="Times New Roman"/>
          <w:color w:val="000000"/>
          <w:sz w:val="24"/>
          <w:szCs w:val="24"/>
          <w:shd w:val="clear" w:color="auto" w:fill="FFFFFF"/>
          <w:lang w:eastAsia="en-GB"/>
        </w:rPr>
        <w:t>STT</w:t>
      </w:r>
      <w:r w:rsidRPr="005D086E">
        <w:rPr>
          <w:rFonts w:ascii="Garamond" w:eastAsia="Times New Roman" w:hAnsi="Garamond" w:cs="Times New Roman"/>
          <w:color w:val="000000"/>
          <w:sz w:val="24"/>
          <w:szCs w:val="24"/>
          <w:shd w:val="clear" w:color="auto" w:fill="FFFFFF"/>
          <w:lang w:eastAsia="en-GB"/>
        </w:rPr>
        <w:t xml:space="preserve">, 2011). At a community level, screenings of key contemporary witness documentaries of cocoa trafficking such as </w:t>
      </w:r>
      <w:r w:rsidRPr="005D086E">
        <w:rPr>
          <w:rFonts w:ascii="Garamond" w:eastAsia="Times New Roman" w:hAnsi="Garamond" w:cs="Times New Roman"/>
          <w:i/>
          <w:color w:val="000000"/>
          <w:sz w:val="24"/>
          <w:szCs w:val="24"/>
          <w:shd w:val="clear" w:color="auto" w:fill="FFFFFF"/>
          <w:lang w:eastAsia="en-GB"/>
        </w:rPr>
        <w:t xml:space="preserve">The Dark Side of Chocolate </w:t>
      </w:r>
      <w:r w:rsidRPr="005D086E">
        <w:rPr>
          <w:rFonts w:ascii="Garamond" w:eastAsia="Times New Roman" w:hAnsi="Garamond" w:cs="Times New Roman"/>
          <w:color w:val="000000"/>
          <w:sz w:val="24"/>
          <w:szCs w:val="24"/>
          <w:shd w:val="clear" w:color="auto" w:fill="FFFFFF"/>
          <w:lang w:eastAsia="en-GB"/>
        </w:rPr>
        <w:t xml:space="preserve">(2009), and </w:t>
      </w:r>
      <w:r w:rsidRPr="005D086E">
        <w:rPr>
          <w:rFonts w:ascii="Garamond" w:eastAsia="Times New Roman" w:hAnsi="Garamond" w:cs="Times New Roman"/>
          <w:i/>
          <w:color w:val="000000"/>
          <w:sz w:val="24"/>
          <w:szCs w:val="24"/>
          <w:shd w:val="clear" w:color="auto" w:fill="FFFFFF"/>
          <w:lang w:eastAsia="en-GB"/>
        </w:rPr>
        <w:t>Chocolate: The Bitter Truth</w:t>
      </w:r>
      <w:r w:rsidRPr="005D086E">
        <w:rPr>
          <w:rFonts w:ascii="Garamond" w:eastAsia="Times New Roman" w:hAnsi="Garamond" w:cs="Times New Roman"/>
          <w:color w:val="000000"/>
          <w:sz w:val="24"/>
          <w:szCs w:val="24"/>
          <w:shd w:val="clear" w:color="auto" w:fill="FFFFFF"/>
          <w:lang w:eastAsia="en-GB"/>
        </w:rPr>
        <w:t xml:space="preserve"> (2010) are arranged with schools and church groups (interview</w:t>
      </w:r>
      <w:r w:rsidR="00AF727C">
        <w:rPr>
          <w:rFonts w:ascii="Garamond" w:eastAsia="Times New Roman" w:hAnsi="Garamond" w:cs="Times New Roman"/>
          <w:color w:val="000000"/>
          <w:sz w:val="24"/>
          <w:szCs w:val="24"/>
          <w:shd w:val="clear" w:color="auto" w:fill="FFFFFF"/>
          <w:lang w:eastAsia="en-GB"/>
        </w:rPr>
        <w:t xml:space="preserve"> Rachel</w:t>
      </w:r>
      <w:r w:rsidRPr="005D086E">
        <w:rPr>
          <w:rFonts w:ascii="Garamond" w:eastAsia="Times New Roman" w:hAnsi="Garamond" w:cs="Times New Roman"/>
          <w:color w:val="000000"/>
          <w:sz w:val="24"/>
          <w:szCs w:val="24"/>
          <w:shd w:val="clear" w:color="auto" w:fill="FFFFFF"/>
          <w:lang w:eastAsia="en-GB"/>
        </w:rPr>
        <w:t>, 2011). In the UK</w:t>
      </w:r>
      <w:r>
        <w:rPr>
          <w:rFonts w:ascii="Garamond" w:eastAsia="Times New Roman" w:hAnsi="Garamond" w:cs="Times New Roman"/>
          <w:color w:val="000000"/>
          <w:sz w:val="24"/>
          <w:szCs w:val="24"/>
          <w:shd w:val="clear" w:color="auto" w:fill="FFFFFF"/>
          <w:lang w:eastAsia="en-GB"/>
        </w:rPr>
        <w:t>,</w:t>
      </w:r>
      <w:r w:rsidRPr="005D086E">
        <w:rPr>
          <w:rFonts w:ascii="Garamond" w:eastAsia="Times New Roman" w:hAnsi="Garamond" w:cs="Times New Roman"/>
          <w:color w:val="000000"/>
          <w:sz w:val="24"/>
          <w:szCs w:val="24"/>
          <w:shd w:val="clear" w:color="auto" w:fill="FFFFFF"/>
          <w:lang w:eastAsia="en-GB"/>
        </w:rPr>
        <w:t xml:space="preserve"> the educational materials and information packs on chocolate trafficking are used by several hundred schools, and STT played an influential role in the production of </w:t>
      </w:r>
      <w:r w:rsidRPr="005D086E">
        <w:rPr>
          <w:rFonts w:ascii="Garamond" w:eastAsia="Times New Roman" w:hAnsi="Garamond" w:cs="Times New Roman"/>
          <w:i/>
          <w:color w:val="000000"/>
          <w:sz w:val="24"/>
          <w:szCs w:val="24"/>
          <w:shd w:val="clear" w:color="auto" w:fill="FFFFFF"/>
          <w:lang w:eastAsia="en-GB"/>
        </w:rPr>
        <w:t xml:space="preserve">The Dark Side of Chocolate </w:t>
      </w:r>
      <w:r w:rsidRPr="005D086E">
        <w:rPr>
          <w:rFonts w:ascii="Garamond" w:eastAsia="Times New Roman" w:hAnsi="Garamond" w:cs="Times New Roman"/>
          <w:color w:val="000000"/>
          <w:sz w:val="24"/>
          <w:szCs w:val="24"/>
          <w:shd w:val="clear" w:color="auto" w:fill="FFFFFF"/>
          <w:lang w:eastAsia="en-GB"/>
        </w:rPr>
        <w:t xml:space="preserve">and the marketing campaign of the Hollywood abolitionist historical drama, </w:t>
      </w:r>
      <w:r w:rsidRPr="005D086E">
        <w:rPr>
          <w:rFonts w:ascii="Garamond" w:eastAsia="Times New Roman" w:hAnsi="Garamond" w:cs="Times New Roman"/>
          <w:i/>
          <w:color w:val="000000"/>
          <w:sz w:val="24"/>
          <w:szCs w:val="24"/>
          <w:shd w:val="clear" w:color="auto" w:fill="FFFFFF"/>
          <w:lang w:eastAsia="en-GB"/>
        </w:rPr>
        <w:t xml:space="preserve">Amazing Grace </w:t>
      </w:r>
      <w:r w:rsidRPr="005D086E">
        <w:rPr>
          <w:rFonts w:ascii="Garamond" w:eastAsia="Times New Roman" w:hAnsi="Garamond" w:cs="Times New Roman"/>
          <w:color w:val="000000"/>
          <w:sz w:val="24"/>
          <w:szCs w:val="24"/>
          <w:shd w:val="clear" w:color="auto" w:fill="FFFFFF"/>
          <w:lang w:eastAsia="en-GB"/>
        </w:rPr>
        <w:t>(interview Fountain, 2011).</w:t>
      </w:r>
    </w:p>
    <w:p w:rsidR="00DD2983" w:rsidRDefault="00DD2983" w:rsidP="00DD2983">
      <w:pPr>
        <w:spacing w:after="0" w:line="360" w:lineRule="auto"/>
        <w:jc w:val="both"/>
        <w:rPr>
          <w:rFonts w:ascii="Garamond" w:eastAsia="Times New Roman" w:hAnsi="Garamond" w:cs="Times New Roman"/>
          <w:color w:val="000000"/>
          <w:sz w:val="24"/>
          <w:szCs w:val="24"/>
          <w:shd w:val="clear" w:color="auto" w:fill="FFFFFF"/>
          <w:lang w:eastAsia="en-GB"/>
        </w:rPr>
      </w:pPr>
    </w:p>
    <w:p w:rsidR="00E4533B" w:rsidRDefault="00472B3A" w:rsidP="00DD2983">
      <w:pPr>
        <w:spacing w:after="0" w:line="360" w:lineRule="auto"/>
        <w:jc w:val="both"/>
        <w:rPr>
          <w:rFonts w:ascii="Garamond" w:hAnsi="Garamond" w:cs="Times New Roman"/>
          <w:sz w:val="24"/>
          <w:szCs w:val="24"/>
        </w:rPr>
      </w:pPr>
      <w:r w:rsidRPr="005D086E">
        <w:rPr>
          <w:rFonts w:ascii="Garamond" w:hAnsi="Garamond" w:cs="Times New Roman"/>
          <w:sz w:val="24"/>
          <w:szCs w:val="24"/>
        </w:rPr>
        <w:t>Antonie confirms that too much consumer exposure to the visceralities of boycott revulsion and disgust is counterproductive for STT’s politics of global chocolate responsibility. What is required instead is a politics that encourages positive engagement from consumers</w:t>
      </w:r>
      <w:r>
        <w:rPr>
          <w:rFonts w:ascii="Garamond" w:hAnsi="Garamond" w:cs="Times New Roman"/>
          <w:sz w:val="24"/>
          <w:szCs w:val="24"/>
        </w:rPr>
        <w:t>.</w:t>
      </w:r>
      <w:r w:rsidRPr="005D086E">
        <w:rPr>
          <w:rFonts w:ascii="Garamond" w:hAnsi="Garamond" w:cs="Times New Roman"/>
          <w:sz w:val="24"/>
          <w:szCs w:val="24"/>
        </w:rPr>
        <w:t xml:space="preserve"> both instrumentally in the form of labelling scheme </w:t>
      </w:r>
      <w:r>
        <w:rPr>
          <w:rFonts w:ascii="Garamond" w:hAnsi="Garamond" w:cs="Times New Roman"/>
          <w:sz w:val="24"/>
          <w:szCs w:val="24"/>
        </w:rPr>
        <w:t>‘</w:t>
      </w:r>
      <w:r w:rsidRPr="005D086E">
        <w:rPr>
          <w:rFonts w:ascii="Garamond" w:hAnsi="Garamond" w:cs="Times New Roman"/>
          <w:sz w:val="24"/>
          <w:szCs w:val="24"/>
        </w:rPr>
        <w:t>buycotts</w:t>
      </w:r>
      <w:r>
        <w:rPr>
          <w:rFonts w:ascii="Garamond" w:hAnsi="Garamond" w:cs="Times New Roman"/>
          <w:sz w:val="24"/>
          <w:szCs w:val="24"/>
        </w:rPr>
        <w:t>’ (Micheletti, 2006</w:t>
      </w:r>
      <w:r w:rsidRPr="005D086E">
        <w:rPr>
          <w:rFonts w:ascii="Garamond" w:hAnsi="Garamond" w:cs="Times New Roman"/>
          <w:sz w:val="24"/>
          <w:szCs w:val="24"/>
        </w:rPr>
        <w:t xml:space="preserve">) and practically in the creation of fun and convivial projects, schemes which Soper </w:t>
      </w:r>
      <w:r>
        <w:rPr>
          <w:rFonts w:ascii="Garamond" w:hAnsi="Garamond" w:cs="Times New Roman"/>
          <w:sz w:val="24"/>
          <w:szCs w:val="24"/>
        </w:rPr>
        <w:t>and Thomas (2006</w:t>
      </w:r>
      <w:r w:rsidRPr="005D086E">
        <w:rPr>
          <w:rFonts w:ascii="Garamond" w:hAnsi="Garamond" w:cs="Times New Roman"/>
          <w:sz w:val="24"/>
          <w:szCs w:val="24"/>
        </w:rPr>
        <w:t>) term ‘alternative hedonisms’.</w:t>
      </w:r>
      <w:r>
        <w:rPr>
          <w:rFonts w:ascii="Garamond" w:hAnsi="Garamond" w:cs="Times New Roman"/>
          <w:sz w:val="24"/>
          <w:szCs w:val="24"/>
        </w:rPr>
        <w:t xml:space="preserve"> Here the focus is on actively engaging the public and crowd-sharing by giving individuals and groups the responsibility to design campaign material and take initiative in influencing opinion. This </w:t>
      </w:r>
      <w:r>
        <w:rPr>
          <w:rFonts w:ascii="Garamond" w:hAnsi="Garamond" w:cs="Times New Roman"/>
          <w:sz w:val="24"/>
          <w:szCs w:val="24"/>
        </w:rPr>
        <w:lastRenderedPageBreak/>
        <w:t xml:space="preserve">is achieved through marketing competitions for particular images or slogans on their website; via Twitter and Facebook (interview </w:t>
      </w:r>
      <w:r w:rsidR="00AF727C">
        <w:rPr>
          <w:rFonts w:ascii="Garamond" w:hAnsi="Garamond" w:cs="Times New Roman"/>
          <w:sz w:val="24"/>
          <w:szCs w:val="24"/>
        </w:rPr>
        <w:t>Rachel</w:t>
      </w:r>
      <w:r>
        <w:rPr>
          <w:rFonts w:ascii="Garamond" w:hAnsi="Garamond" w:cs="Times New Roman"/>
          <w:sz w:val="24"/>
          <w:szCs w:val="24"/>
        </w:rPr>
        <w:t>, 2011); and by deploying new global media technologies and mobile applications (as of 2013, Shout and Thunderclap have been embedded into various STT campaigns) for fundraising, crowd-sourcing and pressure group politics.</w:t>
      </w:r>
    </w:p>
    <w:p w:rsidR="00E4533B" w:rsidRDefault="00E4533B" w:rsidP="00DD2983">
      <w:pPr>
        <w:spacing w:after="0" w:line="360" w:lineRule="auto"/>
        <w:jc w:val="both"/>
        <w:rPr>
          <w:rFonts w:ascii="Garamond" w:hAnsi="Garamond" w:cs="Times New Roman"/>
          <w:sz w:val="24"/>
          <w:szCs w:val="24"/>
        </w:rPr>
      </w:pPr>
    </w:p>
    <w:p w:rsidR="00E4533B" w:rsidRDefault="00472B3A" w:rsidP="00E4533B">
      <w:pPr>
        <w:spacing w:after="0" w:line="360" w:lineRule="auto"/>
        <w:jc w:val="both"/>
        <w:rPr>
          <w:rFonts w:ascii="Garamond" w:hAnsi="Garamond" w:cs="Times New Roman"/>
          <w:sz w:val="24"/>
          <w:szCs w:val="24"/>
        </w:rPr>
      </w:pPr>
      <w:r>
        <w:rPr>
          <w:rFonts w:ascii="Garamond" w:hAnsi="Garamond" w:cs="Times New Roman"/>
          <w:sz w:val="24"/>
          <w:szCs w:val="24"/>
        </w:rPr>
        <w:t>Given STT's open dismissal of the commodity boycott as a form of consumer pressure, the conversions that the organization have managed to wring out from chocolate manufacturers have been impressive. As c</w:t>
      </w:r>
      <w:r w:rsidRPr="005D086E">
        <w:rPr>
          <w:rFonts w:ascii="Garamond" w:hAnsi="Garamond" w:cs="Times New Roman"/>
          <w:sz w:val="24"/>
          <w:szCs w:val="24"/>
        </w:rPr>
        <w:t xml:space="preserve">hocolate manufacturers are more likely to reform production processes when their image and profit margins are threatened, I </w:t>
      </w:r>
      <w:r>
        <w:rPr>
          <w:rFonts w:ascii="Garamond" w:hAnsi="Garamond" w:cs="Times New Roman"/>
          <w:sz w:val="24"/>
          <w:szCs w:val="24"/>
        </w:rPr>
        <w:t>wanted to understand how STT summoned the necessary pressure to achieve their first wholesale conversion of a chocolate processor to certified cocoa:</w:t>
      </w:r>
      <w:r w:rsidRPr="005D086E">
        <w:rPr>
          <w:rFonts w:ascii="Garamond" w:hAnsi="Garamond" w:cs="Times New Roman"/>
          <w:sz w:val="24"/>
          <w:szCs w:val="24"/>
        </w:rPr>
        <w:t xml:space="preserve">    </w:t>
      </w:r>
    </w:p>
    <w:p w:rsidR="00472B3A" w:rsidRPr="00DD2983" w:rsidRDefault="00472B3A" w:rsidP="00E4533B">
      <w:pPr>
        <w:spacing w:after="0" w:line="360" w:lineRule="auto"/>
        <w:jc w:val="both"/>
        <w:rPr>
          <w:rFonts w:ascii="Garamond" w:eastAsia="Times New Roman" w:hAnsi="Garamond" w:cs="Times New Roman"/>
          <w:color w:val="000000"/>
          <w:sz w:val="24"/>
          <w:szCs w:val="24"/>
          <w:shd w:val="clear" w:color="auto" w:fill="FFFFFF"/>
          <w:lang w:eastAsia="en-GB"/>
        </w:rPr>
      </w:pPr>
    </w:p>
    <w:p w:rsidR="00472B3A" w:rsidRDefault="00472B3A" w:rsidP="00E4533B">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xml:space="preserve">: How did you get Royal Verkade to convert to 100% </w:t>
      </w:r>
      <w:r>
        <w:rPr>
          <w:rFonts w:ascii="Garamond" w:hAnsi="Garamond" w:cs="Times New Roman"/>
        </w:rPr>
        <w:t>certified cocoa</w:t>
      </w:r>
      <w:r w:rsidRPr="005D086E">
        <w:rPr>
          <w:rFonts w:ascii="Garamond" w:hAnsi="Garamond" w:cs="Times New Roman"/>
        </w:rPr>
        <w:t>?</w:t>
      </w:r>
    </w:p>
    <w:p w:rsidR="00472B3A" w:rsidRPr="005D086E" w:rsidRDefault="00472B3A" w:rsidP="00E4533B">
      <w:pPr>
        <w:spacing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What we had wanted to do was to hand out a prize to the company willing to commit the most to improvement, but none of them wanted to commit to anything. It was kinda like Plan A. And Plan B was together with Fairfood, we ran a full page advertisement on the back page on one of the country’s free newspapers [</w:t>
      </w:r>
      <w:r w:rsidRPr="005D086E">
        <w:rPr>
          <w:rFonts w:ascii="Garamond" w:hAnsi="Garamond" w:cs="Times New Roman"/>
          <w:i/>
        </w:rPr>
        <w:t>Der Pers</w:t>
      </w:r>
      <w:r w:rsidRPr="005D086E">
        <w:rPr>
          <w:rFonts w:ascii="Garamond" w:hAnsi="Garamond" w:cs="Times New Roman"/>
        </w:rPr>
        <w:t>]. We grabbed Verkade’s logo and did an adbusting thing on that. Their slogan is a play on the idea o</w:t>
      </w:r>
      <w:r>
        <w:rPr>
          <w:rFonts w:ascii="Garamond" w:hAnsi="Garamond" w:cs="Times New Roman"/>
        </w:rPr>
        <w:t>f</w:t>
      </w:r>
      <w:r w:rsidRPr="005D086E">
        <w:rPr>
          <w:rFonts w:ascii="Garamond" w:hAnsi="Garamond" w:cs="Times New Roman"/>
        </w:rPr>
        <w:t xml:space="preserve"> ‘the girl next door’, so instead of this (which in Dutch works differently) we turned it into ‘the children working for your</w:t>
      </w:r>
      <w:r>
        <w:rPr>
          <w:rFonts w:ascii="Garamond" w:hAnsi="Garamond" w:cs="Times New Roman"/>
        </w:rPr>
        <w:t xml:space="preserve"> </w:t>
      </w:r>
      <w:r w:rsidRPr="005D086E">
        <w:rPr>
          <w:rFonts w:ascii="Garamond" w:hAnsi="Garamond" w:cs="Times New Roman"/>
        </w:rPr>
        <w:t xml:space="preserve">cocoa’. Factually we put a very correct statement on there. But obviously they didn’t like </w:t>
      </w:r>
      <w:r>
        <w:rPr>
          <w:rFonts w:ascii="Garamond" w:hAnsi="Garamond" w:cs="Times New Roman"/>
        </w:rPr>
        <w:t xml:space="preserve">it </w:t>
      </w:r>
      <w:r w:rsidRPr="005D086E">
        <w:rPr>
          <w:rFonts w:ascii="Garamond" w:hAnsi="Garamond" w:cs="Times New Roman"/>
        </w:rPr>
        <w:t>one little bit at all.</w:t>
      </w:r>
    </w:p>
    <w:p w:rsidR="00472B3A" w:rsidRPr="005D086E" w:rsidRDefault="00472B3A" w:rsidP="00E4533B">
      <w:pPr>
        <w:spacing w:line="360" w:lineRule="auto"/>
        <w:ind w:left="284" w:right="284"/>
        <w:rPr>
          <w:rFonts w:ascii="Garamond" w:hAnsi="Garamond" w:cs="Times New Roman"/>
        </w:rPr>
      </w:pPr>
      <w:r>
        <w:rPr>
          <w:rFonts w:ascii="Garamond" w:hAnsi="Garamond" w:cs="Times New Roman"/>
        </w:rPr>
        <w:t>HUGH</w:t>
      </w:r>
      <w:r w:rsidRPr="005D086E">
        <w:rPr>
          <w:rFonts w:ascii="Garamond" w:hAnsi="Garamond" w:cs="Times New Roman"/>
        </w:rPr>
        <w:t xml:space="preserve">: So they were worried </w:t>
      </w:r>
      <w:r>
        <w:rPr>
          <w:rFonts w:ascii="Garamond" w:hAnsi="Garamond" w:cs="Times New Roman"/>
        </w:rPr>
        <w:t xml:space="preserve">by </w:t>
      </w:r>
      <w:r w:rsidRPr="005D086E">
        <w:rPr>
          <w:rFonts w:ascii="Garamond" w:hAnsi="Garamond" w:cs="Times New Roman"/>
        </w:rPr>
        <w:t>your adbusting campaign?</w:t>
      </w:r>
    </w:p>
    <w:p w:rsidR="00767529" w:rsidRDefault="00472B3A" w:rsidP="00E4533B">
      <w:pPr>
        <w:spacing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Well</w:t>
      </w:r>
      <w:r>
        <w:rPr>
          <w:rFonts w:ascii="Garamond" w:hAnsi="Garamond" w:cs="Times New Roman"/>
        </w:rPr>
        <w:t>,</w:t>
      </w:r>
      <w:r w:rsidRPr="005D086E">
        <w:rPr>
          <w:rFonts w:ascii="Garamond" w:hAnsi="Garamond" w:cs="Times New Roman"/>
        </w:rPr>
        <w:t xml:space="preserve"> they picked it up within a few hours of it being released. We’d also coupled that with a public activity on the square outside the houses of parliament, so we had a few MPs come out and make some statements next to cardboard cut-outs of black consumers wearing ad-busted Verkade t-shirts, and that got into the newspaper the next day. Ferrero were also really rude to us so we did an ad-busting campaign on them too with Kinder Bueno. In Dutch kinder means child, so it was very easy to take the Kinder Bueno logo and turn ‘Child Goodness’ into ‘Child Labour?’</w:t>
      </w:r>
      <w:r>
        <w:rPr>
          <w:rFonts w:ascii="Garamond" w:hAnsi="Garamond" w:cs="Times New Roman"/>
        </w:rPr>
        <w:t>,</w:t>
      </w:r>
      <w:r w:rsidRPr="005D086E">
        <w:rPr>
          <w:rFonts w:ascii="Garamond" w:hAnsi="Garamond" w:cs="Times New Roman"/>
        </w:rPr>
        <w:t xml:space="preserve"> </w:t>
      </w:r>
      <w:r>
        <w:rPr>
          <w:rFonts w:ascii="Garamond" w:hAnsi="Garamond" w:cs="Times New Roman"/>
        </w:rPr>
        <w:t>w</w:t>
      </w:r>
      <w:r w:rsidRPr="005D086E">
        <w:rPr>
          <w:rFonts w:ascii="Garamond" w:hAnsi="Garamond" w:cs="Times New Roman"/>
        </w:rPr>
        <w:t>ith a question mark to make people think.</w:t>
      </w:r>
      <w:r w:rsidR="00767529">
        <w:rPr>
          <w:rFonts w:ascii="Garamond" w:hAnsi="Garamond" w:cs="Times New Roman"/>
        </w:rPr>
        <w:t xml:space="preserve"> </w:t>
      </w:r>
    </w:p>
    <w:p w:rsidR="00472B3A" w:rsidRPr="005D086E" w:rsidRDefault="00767529" w:rsidP="00E4533B">
      <w:pPr>
        <w:spacing w:line="360" w:lineRule="auto"/>
        <w:ind w:left="284" w:right="284"/>
        <w:jc w:val="both"/>
        <w:rPr>
          <w:rFonts w:ascii="Garamond" w:hAnsi="Garamond" w:cs="Times New Roman"/>
        </w:rPr>
      </w:pPr>
      <w:r>
        <w:rPr>
          <w:rFonts w:ascii="Garamond" w:hAnsi="Garamond" w:cs="Times New Roman"/>
        </w:rPr>
        <w:t>(Interview Fountain 2011)</w:t>
      </w:r>
    </w:p>
    <w:p w:rsidR="00F907C9" w:rsidRDefault="00472B3A" w:rsidP="00F907C9">
      <w:pPr>
        <w:keepNext/>
        <w:spacing w:line="360" w:lineRule="auto"/>
        <w:jc w:val="center"/>
      </w:pPr>
      <w:r w:rsidRPr="005D086E">
        <w:rPr>
          <w:rFonts w:ascii="Garamond" w:hAnsi="Garamond"/>
          <w:noProof/>
          <w:lang w:eastAsia="en-GB"/>
        </w:rPr>
        <w:lastRenderedPageBreak/>
        <w:drawing>
          <wp:inline distT="0" distB="0" distL="0" distR="0">
            <wp:extent cx="5054600" cy="1512542"/>
            <wp:effectExtent l="57150" t="38100" r="31750" b="11458"/>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053076" cy="1512086"/>
                    </a:xfrm>
                    <a:prstGeom prst="rect">
                      <a:avLst/>
                    </a:prstGeom>
                    <a:ln w="28575">
                      <a:solidFill>
                        <a:schemeClr val="tx1"/>
                      </a:solidFill>
                    </a:ln>
                  </pic:spPr>
                </pic:pic>
              </a:graphicData>
            </a:graphic>
          </wp:inline>
        </w:drawing>
      </w:r>
    </w:p>
    <w:p w:rsidR="00504CFD" w:rsidRDefault="00F907C9" w:rsidP="00504CFD">
      <w:pPr>
        <w:tabs>
          <w:tab w:val="left" w:pos="1690"/>
        </w:tabs>
        <w:ind w:left="142"/>
        <w:jc w:val="both"/>
        <w:rPr>
          <w:rFonts w:ascii="Perpetua" w:hAnsi="Perpetua" w:cs="Times New Roman"/>
          <w:sz w:val="20"/>
        </w:rPr>
      </w:pPr>
      <w:bookmarkStart w:id="519" w:name="_Toc263509038"/>
      <w:bookmarkStart w:id="520" w:name="_Toc263510825"/>
      <w:bookmarkStart w:id="521" w:name="_Toc244508241"/>
      <w:bookmarkStart w:id="522" w:name="_Toc244577303"/>
      <w:bookmarkStart w:id="523" w:name="_Toc263495772"/>
      <w:r w:rsidRPr="00504CFD">
        <w:rPr>
          <w:rFonts w:ascii="Perpetua" w:hAnsi="Perpetua"/>
          <w:sz w:val="20"/>
        </w:rPr>
        <w:t xml:space="preserve">Figure </w:t>
      </w:r>
      <w:r w:rsidR="00DF2DF8" w:rsidRPr="00504CFD">
        <w:rPr>
          <w:rFonts w:ascii="Perpetua" w:hAnsi="Perpetua"/>
          <w:sz w:val="20"/>
        </w:rPr>
        <w:fldChar w:fldCharType="begin"/>
      </w:r>
      <w:r w:rsidRPr="00504CFD">
        <w:rPr>
          <w:rFonts w:ascii="Perpetua" w:hAnsi="Perpetua"/>
          <w:sz w:val="20"/>
        </w:rPr>
        <w:instrText xml:space="preserve"> SEQ Figure \* ARABIC </w:instrText>
      </w:r>
      <w:r w:rsidR="00DF2DF8" w:rsidRPr="00504CFD">
        <w:rPr>
          <w:rFonts w:ascii="Perpetua" w:hAnsi="Perpetua"/>
          <w:sz w:val="20"/>
        </w:rPr>
        <w:fldChar w:fldCharType="separate"/>
      </w:r>
      <w:r w:rsidR="002B3E92">
        <w:rPr>
          <w:rFonts w:ascii="Perpetua" w:hAnsi="Perpetua"/>
          <w:noProof/>
          <w:sz w:val="20"/>
        </w:rPr>
        <w:t>41</w:t>
      </w:r>
      <w:r w:rsidR="00DF2DF8" w:rsidRPr="00504CFD">
        <w:rPr>
          <w:rFonts w:ascii="Perpetua" w:hAnsi="Perpetua"/>
          <w:sz w:val="20"/>
        </w:rPr>
        <w:fldChar w:fldCharType="end"/>
      </w:r>
      <w:r w:rsidRPr="00504CFD">
        <w:rPr>
          <w:rFonts w:ascii="Perpetua" w:hAnsi="Perpetua" w:cs="Times New Roman"/>
          <w:sz w:val="20"/>
        </w:rPr>
        <w:t>:</w:t>
      </w:r>
      <w:r w:rsidRPr="00E4533B">
        <w:rPr>
          <w:rFonts w:ascii="Perpetua" w:hAnsi="Perpetua" w:cs="Times New Roman"/>
          <w:sz w:val="20"/>
        </w:rPr>
        <w:t xml:space="preserve"> Photograph of cardboard cut-outs for the Verkade and Kinder Campaigns on The Plein outside the Dutch parliament in The Hague on December 17th, 2007.</w:t>
      </w:r>
      <w:bookmarkEnd w:id="519"/>
      <w:bookmarkEnd w:id="520"/>
      <w:r w:rsidRPr="00E4533B">
        <w:rPr>
          <w:rFonts w:ascii="Perpetua" w:hAnsi="Perpetua" w:cs="Times New Roman"/>
          <w:sz w:val="20"/>
        </w:rPr>
        <w:t xml:space="preserve"> </w:t>
      </w:r>
    </w:p>
    <w:p w:rsidR="00F907C9" w:rsidRPr="00504CFD" w:rsidRDefault="00F907C9" w:rsidP="00504CFD">
      <w:pPr>
        <w:ind w:left="142"/>
        <w:rPr>
          <w:rFonts w:ascii="Perpetua" w:hAnsi="Perpetua"/>
          <w:sz w:val="20"/>
        </w:rPr>
      </w:pPr>
      <w:r w:rsidRPr="00504CFD">
        <w:rPr>
          <w:rFonts w:ascii="Perpetua" w:hAnsi="Perpetua"/>
          <w:sz w:val="20"/>
        </w:rPr>
        <w:t>Newspapers reported that the cut-outs were made by the 'hands of children' in a shared project between STT Amsterdam and Fairfood. The action led to national press coverage and anti-trafficking pledges from politicians from the Christian Union (CU), Social Democrats (SD) and the Dutch Labour Party (PvdA).</w:t>
      </w:r>
      <w:bookmarkEnd w:id="521"/>
      <w:bookmarkEnd w:id="522"/>
      <w:bookmarkEnd w:id="523"/>
      <w:r w:rsidR="00504CFD">
        <w:rPr>
          <w:rStyle w:val="FootnoteReference"/>
          <w:rFonts w:ascii="Perpetua" w:hAnsi="Perpetua"/>
          <w:sz w:val="20"/>
        </w:rPr>
        <w:footnoteReference w:id="110"/>
      </w:r>
    </w:p>
    <w:p w:rsidR="00472B3A" w:rsidRDefault="00472B3A" w:rsidP="00F907C9">
      <w:pPr>
        <w:pStyle w:val="Caption"/>
        <w:jc w:val="center"/>
        <w:rPr>
          <w:rFonts w:ascii="Garamond" w:hAnsi="Garamond" w:cs="Times New Roman"/>
          <w:sz w:val="24"/>
          <w:szCs w:val="24"/>
        </w:rPr>
      </w:pPr>
    </w:p>
    <w:p w:rsidR="00BF7262" w:rsidRDefault="00472B3A" w:rsidP="00BF7262">
      <w:pPr>
        <w:keepNext/>
        <w:spacing w:line="360" w:lineRule="auto"/>
        <w:jc w:val="center"/>
      </w:pPr>
      <w:r w:rsidRPr="005D086E">
        <w:rPr>
          <w:rFonts w:ascii="Garamond" w:hAnsi="Garamond"/>
          <w:noProof/>
          <w:lang w:eastAsia="en-GB"/>
        </w:rPr>
        <w:drawing>
          <wp:inline distT="0" distB="0" distL="0" distR="0">
            <wp:extent cx="2278767" cy="1818632"/>
            <wp:effectExtent l="57150" t="38100" r="45333" b="10168"/>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2280292" cy="1819849"/>
                    </a:xfrm>
                    <a:prstGeom prst="rect">
                      <a:avLst/>
                    </a:prstGeom>
                    <a:ln w="28575">
                      <a:solidFill>
                        <a:schemeClr val="tx1"/>
                      </a:solidFill>
                    </a:ln>
                  </pic:spPr>
                </pic:pic>
              </a:graphicData>
            </a:graphic>
          </wp:inline>
        </w:drawing>
      </w:r>
      <w:r w:rsidR="00BF7262" w:rsidRPr="005D086E">
        <w:rPr>
          <w:rFonts w:ascii="Garamond" w:hAnsi="Garamond"/>
          <w:noProof/>
          <w:lang w:eastAsia="en-GB"/>
        </w:rPr>
        <w:drawing>
          <wp:inline distT="0" distB="0" distL="0" distR="0">
            <wp:extent cx="2641027" cy="1811324"/>
            <wp:effectExtent l="57150" t="38100" r="45023" b="17476"/>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2639250" cy="1810105"/>
                    </a:xfrm>
                    <a:prstGeom prst="rect">
                      <a:avLst/>
                    </a:prstGeom>
                    <a:ln w="31750">
                      <a:solidFill>
                        <a:schemeClr val="tx1"/>
                      </a:solidFill>
                    </a:ln>
                  </pic:spPr>
                </pic:pic>
              </a:graphicData>
            </a:graphic>
          </wp:inline>
        </w:drawing>
      </w:r>
    </w:p>
    <w:p w:rsidR="00504CFD" w:rsidRPr="00504CFD" w:rsidRDefault="00BF7262" w:rsidP="00504CFD">
      <w:pPr>
        <w:pStyle w:val="Caption"/>
        <w:ind w:left="567"/>
        <w:rPr>
          <w:rFonts w:ascii="Perpetua" w:hAnsi="Perpetua"/>
          <w:b w:val="0"/>
          <w:color w:val="auto"/>
          <w:sz w:val="20"/>
        </w:rPr>
      </w:pPr>
      <w:bookmarkStart w:id="524" w:name="_Toc244508242"/>
      <w:bookmarkStart w:id="525" w:name="_Toc244577304"/>
      <w:bookmarkStart w:id="526" w:name="_Toc263495773"/>
      <w:bookmarkStart w:id="527" w:name="_Toc263509039"/>
      <w:bookmarkStart w:id="528" w:name="_Toc263510826"/>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42</w:t>
      </w:r>
      <w:r w:rsidR="00DF2DF8" w:rsidRPr="00504CFD">
        <w:rPr>
          <w:rFonts w:ascii="Perpetua" w:hAnsi="Perpetua"/>
          <w:b w:val="0"/>
          <w:color w:val="auto"/>
          <w:sz w:val="20"/>
        </w:rPr>
        <w:fldChar w:fldCharType="end"/>
      </w:r>
      <w:r w:rsidRPr="00504CFD">
        <w:rPr>
          <w:rFonts w:ascii="Perpetua" w:hAnsi="Perpetua"/>
          <w:b w:val="0"/>
          <w:color w:val="auto"/>
          <w:sz w:val="20"/>
        </w:rPr>
        <w:t>: STT Amsterdam ad-busting logos: “the children of Verkade” and “child labour?”</w:t>
      </w:r>
      <w:bookmarkEnd w:id="524"/>
      <w:bookmarkEnd w:id="525"/>
      <w:bookmarkEnd w:id="526"/>
      <w:r w:rsidR="00504CFD" w:rsidRPr="00504CFD">
        <w:rPr>
          <w:rFonts w:ascii="Perpetua" w:hAnsi="Perpetua"/>
          <w:b w:val="0"/>
          <w:color w:val="auto"/>
          <w:sz w:val="20"/>
        </w:rPr>
        <w:t>.</w:t>
      </w:r>
      <w:bookmarkEnd w:id="527"/>
      <w:bookmarkEnd w:id="528"/>
      <w:r w:rsidR="00504CFD" w:rsidRPr="00504CFD">
        <w:rPr>
          <w:rFonts w:ascii="Perpetua" w:hAnsi="Perpetua"/>
          <w:b w:val="0"/>
          <w:color w:val="auto"/>
          <w:sz w:val="20"/>
        </w:rPr>
        <w:t xml:space="preserve"> </w:t>
      </w:r>
    </w:p>
    <w:p w:rsidR="00BF7262" w:rsidRPr="00BF7262" w:rsidRDefault="00504CFD" w:rsidP="00BF7262">
      <w:pPr>
        <w:spacing w:line="360" w:lineRule="auto"/>
        <w:ind w:right="284"/>
        <w:jc w:val="center"/>
        <w:rPr>
          <w:rFonts w:ascii="Perpetua" w:hAnsi="Perpetua" w:cs="Times New Roman"/>
        </w:rPr>
      </w:pPr>
      <w:r>
        <w:rPr>
          <w:rFonts w:ascii="Perpetua" w:hAnsi="Perpetua" w:cs="Times New Roman"/>
          <w:sz w:val="20"/>
        </w:rPr>
        <w:t>P</w:t>
      </w:r>
      <w:r w:rsidRPr="00504CFD">
        <w:rPr>
          <w:rFonts w:ascii="Perpetua" w:hAnsi="Perpetua" w:cs="Times New Roman"/>
          <w:sz w:val="20"/>
        </w:rPr>
        <w:t>ermission to publish from Antonie Fountain of STT Amsterdam.</w:t>
      </w:r>
    </w:p>
    <w:p w:rsidR="00BF7262" w:rsidRDefault="00BF7262" w:rsidP="00BF7262">
      <w:pPr>
        <w:pStyle w:val="Caption"/>
        <w:jc w:val="center"/>
      </w:pPr>
    </w:p>
    <w:p w:rsidR="00E4533B" w:rsidRDefault="00472B3A" w:rsidP="00E4533B">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STT also apply pressure on chocolate companies through encouraging </w:t>
      </w:r>
      <w:r>
        <w:rPr>
          <w:rFonts w:ascii="Garamond" w:hAnsi="Garamond" w:cs="Times New Roman"/>
          <w:sz w:val="24"/>
          <w:szCs w:val="24"/>
        </w:rPr>
        <w:t>forms of obstructionist boycotts. Consumer-activists are encouraged to telephone customer</w:t>
      </w:r>
      <w:r w:rsidRPr="005D086E">
        <w:rPr>
          <w:rFonts w:ascii="Garamond" w:hAnsi="Garamond" w:cs="Times New Roman"/>
          <w:sz w:val="24"/>
          <w:szCs w:val="24"/>
        </w:rPr>
        <w:t xml:space="preserve"> help lines</w:t>
      </w:r>
      <w:r>
        <w:rPr>
          <w:rFonts w:ascii="Garamond" w:hAnsi="Garamond" w:cs="Times New Roman"/>
          <w:sz w:val="24"/>
          <w:szCs w:val="24"/>
        </w:rPr>
        <w:t>, and to send postcards to the major chocolate manufacturers:</w:t>
      </w:r>
    </w:p>
    <w:p w:rsidR="00472B3A" w:rsidRPr="005D086E" w:rsidRDefault="00472B3A" w:rsidP="00E4533B">
      <w:pPr>
        <w:spacing w:after="0" w:line="360" w:lineRule="auto"/>
        <w:jc w:val="both"/>
        <w:rPr>
          <w:rFonts w:ascii="Garamond" w:hAnsi="Garamond" w:cs="Times New Roman"/>
          <w:sz w:val="24"/>
          <w:szCs w:val="24"/>
        </w:rPr>
      </w:pPr>
    </w:p>
    <w:p w:rsidR="00E4533B" w:rsidRDefault="00472B3A" w:rsidP="00E4533B">
      <w:pPr>
        <w:spacing w:after="0" w:line="360" w:lineRule="auto"/>
        <w:ind w:left="284" w:right="284"/>
        <w:jc w:val="both"/>
        <w:rPr>
          <w:rFonts w:ascii="Garamond" w:hAnsi="Garamond" w:cs="Times New Roman"/>
        </w:rPr>
      </w:pPr>
      <w:r w:rsidRPr="005D086E">
        <w:rPr>
          <w:rFonts w:ascii="Garamond" w:hAnsi="Garamond" w:cs="Times New Roman"/>
        </w:rPr>
        <w:t xml:space="preserve">We bombarded </w:t>
      </w:r>
      <w:r w:rsidR="000121E6">
        <w:rPr>
          <w:rFonts w:ascii="Garamond" w:hAnsi="Garamond" w:cs="Times New Roman"/>
        </w:rPr>
        <w:t>Nestlé</w:t>
      </w:r>
      <w:r w:rsidRPr="005D086E">
        <w:rPr>
          <w:rFonts w:ascii="Garamond" w:hAnsi="Garamond" w:cs="Times New Roman"/>
        </w:rPr>
        <w:t xml:space="preserve"> with six students making phonecalls one night. They took it upon themselves and phoned </w:t>
      </w:r>
      <w:r w:rsidR="000121E6">
        <w:rPr>
          <w:rFonts w:ascii="Garamond" w:hAnsi="Garamond" w:cs="Times New Roman"/>
        </w:rPr>
        <w:t>Nestlé</w:t>
      </w:r>
      <w:r w:rsidRPr="005D086E">
        <w:rPr>
          <w:rFonts w:ascii="Garamond" w:hAnsi="Garamond" w:cs="Times New Roman"/>
        </w:rPr>
        <w:t xml:space="preserve"> in Switzerland and said well here’s the script</w:t>
      </w:r>
      <w:r>
        <w:rPr>
          <w:rFonts w:ascii="Garamond" w:hAnsi="Garamond" w:cs="Times New Roman"/>
        </w:rPr>
        <w:t>. A</w:t>
      </w:r>
      <w:r w:rsidRPr="005D086E">
        <w:rPr>
          <w:rFonts w:ascii="Garamond" w:hAnsi="Garamond" w:cs="Times New Roman"/>
        </w:rPr>
        <w:t>nd one of the operators said</w:t>
      </w:r>
      <w:r>
        <w:rPr>
          <w:rFonts w:ascii="Garamond" w:hAnsi="Garamond" w:cs="Times New Roman"/>
        </w:rPr>
        <w:t>:</w:t>
      </w:r>
      <w:r w:rsidRPr="005D086E">
        <w:rPr>
          <w:rFonts w:ascii="Garamond" w:hAnsi="Garamond" w:cs="Times New Roman"/>
        </w:rPr>
        <w:t xml:space="preserve"> hey, look on the Stop The Traffik website for all the information about when we are becoming </w:t>
      </w:r>
      <w:r>
        <w:rPr>
          <w:rFonts w:ascii="Garamond" w:hAnsi="Garamond" w:cs="Times New Roman"/>
        </w:rPr>
        <w:t>Fairtrade</w:t>
      </w:r>
      <w:r w:rsidR="00767529">
        <w:rPr>
          <w:rFonts w:ascii="Garamond" w:hAnsi="Garamond" w:cs="Times New Roman"/>
        </w:rPr>
        <w:t>. (Interview</w:t>
      </w:r>
      <w:r w:rsidR="00AF727C">
        <w:rPr>
          <w:rFonts w:ascii="Garamond" w:hAnsi="Garamond" w:cs="Times New Roman"/>
        </w:rPr>
        <w:t xml:space="preserve"> Rachel</w:t>
      </w:r>
      <w:r w:rsidR="00E4533B">
        <w:rPr>
          <w:rFonts w:ascii="Garamond" w:hAnsi="Garamond" w:cs="Times New Roman"/>
        </w:rPr>
        <w:t xml:space="preserve"> 2011)</w:t>
      </w:r>
    </w:p>
    <w:p w:rsidR="00472B3A" w:rsidRPr="005D086E" w:rsidRDefault="00472B3A" w:rsidP="00E4533B">
      <w:pPr>
        <w:spacing w:after="0" w:line="360" w:lineRule="auto"/>
        <w:ind w:left="284" w:right="284"/>
        <w:jc w:val="both"/>
        <w:rPr>
          <w:rFonts w:ascii="Garamond" w:hAnsi="Garamond" w:cs="Times New Roman"/>
        </w:rPr>
      </w:pPr>
    </w:p>
    <w:p w:rsidR="00472B3A" w:rsidRDefault="00472B3A" w:rsidP="00E4533B">
      <w:pPr>
        <w:spacing w:after="0" w:line="360" w:lineRule="auto"/>
        <w:jc w:val="both"/>
        <w:rPr>
          <w:rStyle w:val="addmd"/>
        </w:rPr>
      </w:pPr>
      <w:r w:rsidRPr="005D086E">
        <w:rPr>
          <w:rFonts w:ascii="Garamond" w:hAnsi="Garamond" w:cs="Times New Roman"/>
          <w:sz w:val="24"/>
          <w:szCs w:val="24"/>
        </w:rPr>
        <w:lastRenderedPageBreak/>
        <w:t xml:space="preserve">The ‘education’ (Fountain, 2011) of employees working for the chocolate manufacturers is an important part of STT’s strategy. </w:t>
      </w:r>
      <w:r>
        <w:rPr>
          <w:rFonts w:ascii="Garamond" w:eastAsia="Times New Roman" w:hAnsi="Garamond" w:cs="Times New Roman"/>
          <w:color w:val="000000"/>
          <w:sz w:val="24"/>
          <w:szCs w:val="24"/>
          <w:shd w:val="clear" w:color="auto" w:fill="FFFFFF"/>
          <w:lang w:eastAsia="en-GB"/>
        </w:rPr>
        <w:t>As an advocacy organization, STT</w:t>
      </w:r>
      <w:r w:rsidRPr="005D086E">
        <w:rPr>
          <w:rFonts w:ascii="Garamond" w:eastAsia="Times New Roman" w:hAnsi="Garamond" w:cs="Times New Roman"/>
          <w:color w:val="000000"/>
          <w:sz w:val="24"/>
          <w:szCs w:val="24"/>
          <w:shd w:val="clear" w:color="auto" w:fill="FFFFFF"/>
          <w:lang w:eastAsia="en-GB"/>
        </w:rPr>
        <w:t xml:space="preserve"> develop contacts and influence outcomes from both outside </w:t>
      </w:r>
      <w:r w:rsidRPr="005D086E">
        <w:rPr>
          <w:rFonts w:ascii="Garamond" w:eastAsia="Times New Roman" w:hAnsi="Garamond" w:cs="Times New Roman"/>
          <w:i/>
          <w:color w:val="000000"/>
          <w:sz w:val="24"/>
          <w:szCs w:val="24"/>
          <w:shd w:val="clear" w:color="auto" w:fill="FFFFFF"/>
          <w:lang w:eastAsia="en-GB"/>
        </w:rPr>
        <w:t xml:space="preserve">and </w:t>
      </w:r>
      <w:r w:rsidRPr="005D086E">
        <w:rPr>
          <w:rFonts w:ascii="Garamond" w:eastAsia="Times New Roman" w:hAnsi="Garamond" w:cs="Times New Roman"/>
          <w:color w:val="000000"/>
          <w:sz w:val="24"/>
          <w:szCs w:val="24"/>
          <w:shd w:val="clear" w:color="auto" w:fill="FFFFFF"/>
          <w:lang w:eastAsia="en-GB"/>
        </w:rPr>
        <w:t xml:space="preserve">within the chocolate industry. In practice this entails an inter-subjective and multi-scalar approach to consumer politics and </w:t>
      </w:r>
      <w:r>
        <w:rPr>
          <w:rFonts w:ascii="Garamond" w:eastAsia="Times New Roman" w:hAnsi="Garamond" w:cs="Times New Roman"/>
          <w:color w:val="000000"/>
          <w:sz w:val="24"/>
          <w:szCs w:val="24"/>
          <w:shd w:val="clear" w:color="auto" w:fill="FFFFFF"/>
          <w:lang w:eastAsia="en-GB"/>
        </w:rPr>
        <w:t>governmentality</w:t>
      </w:r>
      <w:r w:rsidRPr="005D086E">
        <w:rPr>
          <w:rFonts w:ascii="Garamond" w:eastAsia="Times New Roman" w:hAnsi="Garamond" w:cs="Times New Roman"/>
          <w:color w:val="000000"/>
          <w:sz w:val="24"/>
          <w:szCs w:val="24"/>
          <w:shd w:val="clear" w:color="auto" w:fill="FFFFFF"/>
          <w:lang w:eastAsia="en-GB"/>
        </w:rPr>
        <w:t>, where negotiations are made and promises are extracted from seemingly contradictory parties along production and consumption lines. For example, STT’s chocolate campaigns involve a careful balance between “having productive discussions with specific companies and industry members, fr</w:t>
      </w:r>
      <w:r>
        <w:rPr>
          <w:rFonts w:ascii="Garamond" w:eastAsia="Times New Roman" w:hAnsi="Garamond" w:cs="Times New Roman"/>
          <w:color w:val="000000"/>
          <w:sz w:val="24"/>
          <w:szCs w:val="24"/>
          <w:shd w:val="clear" w:color="auto" w:fill="FFFFFF"/>
          <w:lang w:eastAsia="en-GB"/>
        </w:rPr>
        <w:t>om CEOs down to trade unions” (i</w:t>
      </w:r>
      <w:r w:rsidRPr="005D086E">
        <w:rPr>
          <w:rFonts w:ascii="Garamond" w:eastAsia="Times New Roman" w:hAnsi="Garamond" w:cs="Times New Roman"/>
          <w:color w:val="000000"/>
          <w:sz w:val="24"/>
          <w:szCs w:val="24"/>
          <w:shd w:val="clear" w:color="auto" w:fill="FFFFFF"/>
          <w:lang w:eastAsia="en-GB"/>
        </w:rPr>
        <w:t>bid., 2011)</w:t>
      </w:r>
      <w:r>
        <w:rPr>
          <w:rFonts w:ascii="Garamond" w:eastAsia="Times New Roman" w:hAnsi="Garamond" w:cs="Times New Roman"/>
          <w:color w:val="000000"/>
          <w:sz w:val="24"/>
          <w:szCs w:val="24"/>
          <w:shd w:val="clear" w:color="auto" w:fill="FFFFFF"/>
          <w:lang w:eastAsia="en-GB"/>
        </w:rPr>
        <w:t xml:space="preserve"> </w:t>
      </w:r>
      <w:r w:rsidRPr="005D086E">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w:t>
      </w:r>
      <w:r w:rsidRPr="005D086E">
        <w:rPr>
          <w:rFonts w:ascii="Garamond" w:eastAsia="Times New Roman" w:hAnsi="Garamond" w:cs="Times New Roman"/>
          <w:color w:val="000000"/>
          <w:sz w:val="24"/>
          <w:szCs w:val="24"/>
          <w:shd w:val="clear" w:color="auto" w:fill="FFFFFF"/>
          <w:lang w:eastAsia="en-GB"/>
        </w:rPr>
        <w:t xml:space="preserve"> at the same time</w:t>
      </w:r>
      <w:r>
        <w:rPr>
          <w:rFonts w:ascii="Garamond" w:eastAsia="Times New Roman" w:hAnsi="Garamond" w:cs="Times New Roman"/>
          <w:color w:val="000000"/>
          <w:sz w:val="24"/>
          <w:szCs w:val="24"/>
          <w:shd w:val="clear" w:color="auto" w:fill="FFFFFF"/>
          <w:lang w:eastAsia="en-GB"/>
        </w:rPr>
        <w:t>, using boycott tactics (ad-busting, culture jamming, obstructionist boycotts) to motivate, organize and apply</w:t>
      </w:r>
      <w:r w:rsidRPr="005D086E">
        <w:rPr>
          <w:rFonts w:ascii="Garamond" w:eastAsia="Times New Roman" w:hAnsi="Garamond" w:cs="Times New Roman"/>
          <w:color w:val="000000"/>
          <w:sz w:val="24"/>
          <w:szCs w:val="24"/>
          <w:shd w:val="clear" w:color="auto" w:fill="FFFFFF"/>
          <w:lang w:eastAsia="en-GB"/>
        </w:rPr>
        <w:t xml:space="preserve"> anti-consumptio</w:t>
      </w:r>
      <w:r>
        <w:rPr>
          <w:rFonts w:ascii="Garamond" w:eastAsia="Times New Roman" w:hAnsi="Garamond" w:cs="Times New Roman"/>
          <w:color w:val="000000"/>
          <w:sz w:val="24"/>
          <w:szCs w:val="24"/>
          <w:shd w:val="clear" w:color="auto" w:fill="FFFFFF"/>
          <w:lang w:eastAsia="en-GB"/>
        </w:rPr>
        <w:t>n pressure on</w:t>
      </w:r>
      <w:r w:rsidRPr="005D086E">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chocolate industry stakeholders once negotiations break down</w:t>
      </w:r>
      <w:r w:rsidRPr="005D086E">
        <w:rPr>
          <w:rFonts w:ascii="Garamond" w:eastAsia="Times New Roman" w:hAnsi="Garamond" w:cs="Times New Roman"/>
          <w:color w:val="000000"/>
          <w:sz w:val="24"/>
          <w:szCs w:val="24"/>
          <w:shd w:val="clear" w:color="auto" w:fill="FFFFFF"/>
          <w:lang w:eastAsia="en-GB"/>
        </w:rPr>
        <w:t xml:space="preserve">. </w:t>
      </w:r>
    </w:p>
    <w:p w:rsidR="00472B3A" w:rsidRDefault="00472B3A" w:rsidP="00E4533B">
      <w:pPr>
        <w:spacing w:after="0" w:line="360" w:lineRule="auto"/>
        <w:jc w:val="both"/>
        <w:rPr>
          <w:rStyle w:val="addmd"/>
        </w:rPr>
      </w:pPr>
    </w:p>
    <w:p w:rsidR="004A7172" w:rsidRDefault="004A7172" w:rsidP="00E4533B">
      <w:pPr>
        <w:spacing w:after="0" w:line="360" w:lineRule="auto"/>
        <w:jc w:val="both"/>
        <w:rPr>
          <w:rStyle w:val="addmd"/>
        </w:rPr>
      </w:pPr>
    </w:p>
    <w:p w:rsidR="00E4533B" w:rsidRDefault="00472B3A" w:rsidP="00E4533B">
      <w:pPr>
        <w:spacing w:after="0" w:line="360" w:lineRule="auto"/>
        <w:jc w:val="both"/>
        <w:rPr>
          <w:rStyle w:val="addmd"/>
        </w:rPr>
      </w:pPr>
      <w:r w:rsidRPr="003916ED">
        <w:rPr>
          <w:rStyle w:val="addmd"/>
          <w:rFonts w:ascii="Garamond" w:hAnsi="Garamond" w:cs="Times New Roman"/>
          <w:b/>
          <w:i/>
          <w:szCs w:val="20"/>
        </w:rPr>
        <w:t xml:space="preserve">Contextualizing STT through chocolate activism </w:t>
      </w:r>
    </w:p>
    <w:p w:rsidR="00472B3A" w:rsidRPr="003916ED" w:rsidRDefault="00472B3A" w:rsidP="00E4533B">
      <w:pPr>
        <w:spacing w:after="0" w:line="360" w:lineRule="auto"/>
        <w:jc w:val="both"/>
        <w:rPr>
          <w:rStyle w:val="addmd"/>
        </w:rPr>
      </w:pPr>
    </w:p>
    <w:p w:rsidR="00E4533B" w:rsidRDefault="00472B3A" w:rsidP="00E4533B">
      <w:pPr>
        <w:spacing w:after="0" w:line="360" w:lineRule="auto"/>
        <w:jc w:val="both"/>
        <w:rPr>
          <w:rFonts w:ascii="Garamond" w:eastAsia="Times New Roman" w:hAnsi="Garamond" w:cs="Times New Roman"/>
          <w:color w:val="000000"/>
          <w:sz w:val="24"/>
          <w:szCs w:val="24"/>
          <w:shd w:val="clear" w:color="auto" w:fill="FFFFFF"/>
          <w:lang w:eastAsia="en-GB"/>
        </w:rPr>
      </w:pPr>
      <w:r w:rsidRPr="005D086E">
        <w:rPr>
          <w:rFonts w:ascii="Garamond" w:eastAsia="Times New Roman" w:hAnsi="Garamond" w:cs="Times New Roman"/>
          <w:color w:val="000000"/>
          <w:sz w:val="24"/>
          <w:szCs w:val="24"/>
          <w:shd w:val="clear" w:color="auto" w:fill="FFFFFF"/>
          <w:lang w:eastAsia="en-GB"/>
        </w:rPr>
        <w:t>Chocolate activism is an effective (and affective) medium through which STT communicate their anti-trafficking personality. Chocolate is suitable for STT’s anti-trafficking brand for six reasons: the Harkin-Engel protocol committed the industry to a ‘promise’ of anti-trafficking reforms; it facilitates a powerful topos implicating children and purity; it is ubiquitous, emotional, and easily de-fetishized; it materializes STT’s teleological philosophy and voice; it spatializes and temporalizes STT’s anti-trafficking in specific (and motivating) ways;</w:t>
      </w:r>
      <w:r>
        <w:rPr>
          <w:rFonts w:ascii="Garamond" w:eastAsia="Times New Roman" w:hAnsi="Garamond" w:cs="Times New Roman"/>
          <w:color w:val="000000"/>
          <w:sz w:val="24"/>
          <w:szCs w:val="24"/>
          <w:shd w:val="clear" w:color="auto" w:fill="FFFFFF"/>
          <w:lang w:eastAsia="en-GB"/>
        </w:rPr>
        <w:t xml:space="preserve"> and</w:t>
      </w:r>
      <w:r w:rsidRPr="005D086E">
        <w:rPr>
          <w:rFonts w:ascii="Garamond" w:eastAsia="Times New Roman" w:hAnsi="Garamond" w:cs="Times New Roman"/>
          <w:color w:val="000000"/>
          <w:sz w:val="24"/>
          <w:szCs w:val="24"/>
          <w:shd w:val="clear" w:color="auto" w:fill="FFFFFF"/>
          <w:lang w:eastAsia="en-GB"/>
        </w:rPr>
        <w:t xml:space="preserve"> it provides instrumental signs of achievement. What follows is a brief analysis of the latter four areas.</w:t>
      </w:r>
    </w:p>
    <w:p w:rsidR="00E4533B" w:rsidRDefault="00E4533B" w:rsidP="00E4533B">
      <w:pPr>
        <w:spacing w:after="0" w:line="360" w:lineRule="auto"/>
        <w:jc w:val="both"/>
        <w:rPr>
          <w:rFonts w:ascii="Garamond" w:eastAsia="Times New Roman" w:hAnsi="Garamond" w:cs="Times New Roman"/>
          <w:color w:val="000000"/>
          <w:sz w:val="24"/>
          <w:szCs w:val="24"/>
          <w:shd w:val="clear" w:color="auto" w:fill="FFFFFF"/>
          <w:lang w:eastAsia="en-GB"/>
        </w:rPr>
      </w:pPr>
    </w:p>
    <w:p w:rsidR="00472B3A" w:rsidRPr="00E4533B" w:rsidRDefault="00472B3A" w:rsidP="00E4533B">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i/>
          <w:color w:val="000000"/>
          <w:szCs w:val="18"/>
          <w:shd w:val="clear" w:color="auto" w:fill="FFFFFF"/>
          <w:lang w:eastAsia="en-GB"/>
        </w:rPr>
        <w:t xml:space="preserve">i) </w:t>
      </w:r>
      <w:r w:rsidRPr="003916ED">
        <w:rPr>
          <w:rFonts w:ascii="Garamond" w:eastAsia="Times New Roman" w:hAnsi="Garamond" w:cs="Times New Roman"/>
          <w:i/>
          <w:color w:val="000000"/>
          <w:szCs w:val="18"/>
          <w:shd w:val="clear" w:color="auto" w:fill="FFFFFF"/>
          <w:lang w:eastAsia="en-GB"/>
        </w:rPr>
        <w:t>Ubiquity, emotion and de-fetishization</w:t>
      </w:r>
    </w:p>
    <w:p w:rsidR="00E4533B" w:rsidRDefault="00E4533B" w:rsidP="00E4533B">
      <w:pPr>
        <w:spacing w:after="0" w:line="360" w:lineRule="auto"/>
        <w:ind w:left="284" w:right="284"/>
        <w:jc w:val="both"/>
        <w:rPr>
          <w:rFonts w:ascii="Garamond" w:hAnsi="Garamond" w:cs="Times New Roman"/>
        </w:rPr>
      </w:pPr>
    </w:p>
    <w:p w:rsidR="00E4533B" w:rsidRDefault="00472B3A" w:rsidP="00E4533B">
      <w:pPr>
        <w:spacing w:after="0" w:line="360" w:lineRule="auto"/>
        <w:ind w:left="284" w:right="284"/>
        <w:jc w:val="both"/>
        <w:rPr>
          <w:rFonts w:ascii="Garamond" w:hAnsi="Garamond" w:cs="Times New Roman"/>
        </w:rPr>
      </w:pPr>
      <w:r w:rsidRPr="00E8346E">
        <w:rPr>
          <w:rFonts w:ascii="Garamond" w:hAnsi="Garamond" w:cs="Times New Roman"/>
        </w:rPr>
        <w:t>Everyone eats chocolate, barring 1% of the population. Not everybody visits prostitutes. Talking to seven year olds about prostitution is not going to be effective. If you look at a grassroots consumer organization you have to find issues that people are involved in</w:t>
      </w:r>
      <w:r>
        <w:rPr>
          <w:rFonts w:ascii="Garamond" w:hAnsi="Garamond" w:cs="Times New Roman"/>
        </w:rPr>
        <w:t xml:space="preserve">: </w:t>
      </w:r>
      <w:r w:rsidRPr="00E8346E">
        <w:rPr>
          <w:rFonts w:ascii="Garamond" w:hAnsi="Garamond" w:cs="Times New Roman"/>
        </w:rPr>
        <w:t>palm oil for example</w:t>
      </w:r>
      <w:r>
        <w:rPr>
          <w:rFonts w:ascii="Garamond" w:hAnsi="Garamond" w:cs="Times New Roman"/>
        </w:rPr>
        <w:t>.</w:t>
      </w:r>
      <w:r w:rsidRPr="00E8346E">
        <w:rPr>
          <w:rFonts w:ascii="Garamond" w:hAnsi="Garamond" w:cs="Times New Roman"/>
        </w:rPr>
        <w:t xml:space="preserve"> </w:t>
      </w:r>
      <w:r>
        <w:rPr>
          <w:rFonts w:ascii="Garamond" w:hAnsi="Garamond" w:cs="Times New Roman"/>
        </w:rPr>
        <w:t>B</w:t>
      </w:r>
      <w:r w:rsidRPr="00E8346E">
        <w:rPr>
          <w:rFonts w:ascii="Garamond" w:hAnsi="Garamond" w:cs="Times New Roman"/>
        </w:rPr>
        <w:t>ut people are not emotional about palm oil and they are emotional about chocolate. (Interview Fountain, 2011)</w:t>
      </w:r>
    </w:p>
    <w:p w:rsidR="00472B3A" w:rsidRPr="00E8346E" w:rsidRDefault="00472B3A" w:rsidP="00E4533B">
      <w:pPr>
        <w:spacing w:after="0" w:line="360" w:lineRule="auto"/>
        <w:ind w:left="284" w:right="284"/>
        <w:jc w:val="both"/>
        <w:rPr>
          <w:rFonts w:ascii="Garamond" w:eastAsia="Times New Roman" w:hAnsi="Garamond" w:cs="Times New Roman"/>
          <w:color w:val="000000"/>
          <w:shd w:val="clear" w:color="auto" w:fill="FFFFFF"/>
          <w:lang w:eastAsia="en-GB"/>
        </w:rPr>
      </w:pPr>
    </w:p>
    <w:p w:rsidR="00E4533B" w:rsidRDefault="00472B3A" w:rsidP="00E4533B">
      <w:pPr>
        <w:spacing w:after="0" w:line="360" w:lineRule="auto"/>
        <w:jc w:val="both"/>
        <w:rPr>
          <w:rFonts w:ascii="Garamond" w:hAnsi="Garamond" w:cs="Times New Roman"/>
          <w:sz w:val="24"/>
          <w:szCs w:val="24"/>
        </w:rPr>
      </w:pPr>
      <w:r w:rsidRPr="005D086E">
        <w:rPr>
          <w:rFonts w:ascii="Garamond" w:hAnsi="Garamond"/>
          <w:sz w:val="24"/>
          <w:szCs w:val="24"/>
        </w:rPr>
        <w:t>Chocolate is cheap, (mainly) sweet, and available in most temperate regions of the world</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I</w:t>
      </w:r>
      <w:r w:rsidRPr="005D086E">
        <w:rPr>
          <w:rFonts w:ascii="Garamond" w:hAnsi="Garamond"/>
          <w:sz w:val="24"/>
          <w:szCs w:val="24"/>
        </w:rPr>
        <w:t>n the UK</w:t>
      </w:r>
      <w:r>
        <w:rPr>
          <w:rFonts w:ascii="Garamond" w:hAnsi="Garamond"/>
          <w:sz w:val="24"/>
          <w:szCs w:val="24"/>
        </w:rPr>
        <w:t>,</w:t>
      </w:r>
      <w:r w:rsidRPr="005D086E">
        <w:rPr>
          <w:rFonts w:ascii="Garamond" w:hAnsi="Garamond"/>
          <w:sz w:val="24"/>
          <w:szCs w:val="24"/>
        </w:rPr>
        <w:t xml:space="preserve"> research suggests that 95 per cent of the population eat chocolate at least once a day (James, 1990; Bell </w:t>
      </w:r>
      <w:r w:rsidR="00F152DB">
        <w:rPr>
          <w:rFonts w:ascii="Garamond" w:hAnsi="Garamond"/>
          <w:sz w:val="24"/>
          <w:szCs w:val="24"/>
        </w:rPr>
        <w:t>and</w:t>
      </w:r>
      <w:r w:rsidRPr="005D086E">
        <w:rPr>
          <w:rFonts w:ascii="Garamond" w:hAnsi="Garamond"/>
          <w:sz w:val="24"/>
          <w:szCs w:val="24"/>
        </w:rPr>
        <w:t xml:space="preserve"> Valentine, 1996). Theobromine, a psychoactive alkaloid in cocoa, makes the commodity mildly stimulating and psychologically addictive, but </w:t>
      </w:r>
      <w:r w:rsidRPr="005D086E">
        <w:rPr>
          <w:rFonts w:ascii="Garamond" w:hAnsi="Garamond"/>
          <w:sz w:val="24"/>
          <w:szCs w:val="24"/>
        </w:rPr>
        <w:lastRenderedPageBreak/>
        <w:t>chocolate also contains high fat and moderate protein levels so that</w:t>
      </w:r>
      <w:r>
        <w:rPr>
          <w:rFonts w:ascii="Garamond" w:hAnsi="Garamond"/>
          <w:sz w:val="24"/>
          <w:szCs w:val="24"/>
        </w:rPr>
        <w:t>,</w:t>
      </w:r>
      <w:r w:rsidRPr="005D086E">
        <w:rPr>
          <w:rFonts w:ascii="Garamond" w:hAnsi="Garamond"/>
          <w:sz w:val="24"/>
          <w:szCs w:val="24"/>
        </w:rPr>
        <w:t xml:space="preserve"> unlike other legal stimulants (coffee, tea or guarana)</w:t>
      </w:r>
      <w:r>
        <w:rPr>
          <w:rFonts w:ascii="Garamond" w:hAnsi="Garamond"/>
          <w:sz w:val="24"/>
          <w:szCs w:val="24"/>
        </w:rPr>
        <w:t>,</w:t>
      </w:r>
      <w:r w:rsidRPr="005D086E">
        <w:rPr>
          <w:rFonts w:ascii="Garamond" w:hAnsi="Garamond"/>
          <w:sz w:val="24"/>
          <w:szCs w:val="24"/>
        </w:rPr>
        <w:t xml:space="preserve"> its nutritious value bridges the gap between food and stimulant (Clarence-Smith, 2000)</w:t>
      </w:r>
      <w:r w:rsidRPr="005D086E">
        <w:rPr>
          <w:rFonts w:ascii="Garamond" w:hAnsi="Garamond" w:cs="Times New Roman"/>
          <w:sz w:val="24"/>
          <w:szCs w:val="24"/>
        </w:rPr>
        <w:t>. The material history of chocolate production has a strong emphasis on uneven patterns of development and of subsuming local meanings and contexts</w:t>
      </w:r>
      <w:r>
        <w:rPr>
          <w:rFonts w:ascii="Garamond" w:hAnsi="Garamond" w:cs="Times New Roman"/>
          <w:sz w:val="24"/>
          <w:szCs w:val="24"/>
        </w:rPr>
        <w:t>,</w:t>
      </w:r>
      <w:r w:rsidRPr="005D086E">
        <w:rPr>
          <w:rFonts w:ascii="Garamond" w:hAnsi="Garamond" w:cs="Times New Roman"/>
          <w:sz w:val="24"/>
          <w:szCs w:val="24"/>
        </w:rPr>
        <w:t xml:space="preserve"> from the importation of c</w:t>
      </w:r>
      <w:r>
        <w:rPr>
          <w:rFonts w:ascii="Garamond" w:hAnsi="Garamond" w:cs="Times New Roman"/>
          <w:sz w:val="24"/>
          <w:szCs w:val="24"/>
        </w:rPr>
        <w:t>ocoa</w:t>
      </w:r>
      <w:r w:rsidRPr="005D086E">
        <w:rPr>
          <w:rFonts w:ascii="Garamond" w:hAnsi="Garamond" w:cs="Times New Roman"/>
          <w:sz w:val="24"/>
          <w:szCs w:val="24"/>
        </w:rPr>
        <w:t xml:space="preserve"> from Mesoamerican cultures onwards. In the tropics where cocoa is grown, chocolate</w:t>
      </w:r>
      <w:r>
        <w:rPr>
          <w:rFonts w:ascii="Garamond" w:hAnsi="Garamond" w:cs="Times New Roman"/>
          <w:sz w:val="24"/>
          <w:szCs w:val="24"/>
        </w:rPr>
        <w:t xml:space="preserve"> is not widely consumed</w:t>
      </w:r>
      <w:r w:rsidRPr="005D086E">
        <w:rPr>
          <w:rFonts w:ascii="Garamond" w:hAnsi="Garamond" w:cs="Times New Roman"/>
          <w:sz w:val="24"/>
          <w:szCs w:val="24"/>
        </w:rPr>
        <w:t xml:space="preserve"> and </w:t>
      </w:r>
      <w:r>
        <w:rPr>
          <w:rFonts w:ascii="Garamond" w:hAnsi="Garamond" w:cs="Times New Roman"/>
          <w:sz w:val="24"/>
          <w:szCs w:val="24"/>
        </w:rPr>
        <w:t xml:space="preserve">without refrigeration </w:t>
      </w:r>
      <w:r w:rsidRPr="005D086E">
        <w:rPr>
          <w:rFonts w:ascii="Garamond" w:hAnsi="Garamond" w:cs="Times New Roman"/>
          <w:sz w:val="24"/>
          <w:szCs w:val="24"/>
        </w:rPr>
        <w:t xml:space="preserve">is tricky to maintain in its solid state. Chocolate’s variable state (depending on temperature) as liquid and solid is metaphorically applied </w:t>
      </w:r>
      <w:r>
        <w:rPr>
          <w:rFonts w:ascii="Garamond" w:hAnsi="Garamond" w:cs="Times New Roman"/>
          <w:sz w:val="24"/>
          <w:szCs w:val="24"/>
        </w:rPr>
        <w:t>to liquid and hard modernities by Low and Davenport (</w:t>
      </w:r>
      <w:r w:rsidRPr="005D086E">
        <w:rPr>
          <w:rFonts w:ascii="Garamond" w:hAnsi="Garamond" w:cs="Times New Roman"/>
          <w:sz w:val="24"/>
          <w:szCs w:val="24"/>
        </w:rPr>
        <w:t>2007), which, along wi</w:t>
      </w:r>
      <w:r>
        <w:rPr>
          <w:rFonts w:ascii="Garamond" w:hAnsi="Garamond" w:cs="Times New Roman"/>
          <w:sz w:val="24"/>
          <w:szCs w:val="24"/>
        </w:rPr>
        <w:t>th the “easily understood buyer-</w:t>
      </w:r>
      <w:r w:rsidRPr="005D086E">
        <w:rPr>
          <w:rFonts w:ascii="Garamond" w:hAnsi="Garamond" w:cs="Times New Roman"/>
          <w:sz w:val="24"/>
          <w:szCs w:val="24"/>
        </w:rPr>
        <w:t>led production chain” (Interview Fo</w:t>
      </w:r>
      <w:r>
        <w:rPr>
          <w:rFonts w:ascii="Garamond" w:hAnsi="Garamond" w:cs="Times New Roman"/>
          <w:sz w:val="24"/>
          <w:szCs w:val="24"/>
        </w:rPr>
        <w:t xml:space="preserve">untain, 2011), </w:t>
      </w:r>
      <w:r w:rsidRPr="005D086E">
        <w:rPr>
          <w:rFonts w:ascii="Garamond" w:hAnsi="Garamond" w:cs="Times New Roman"/>
          <w:sz w:val="24"/>
          <w:szCs w:val="24"/>
        </w:rPr>
        <w:t xml:space="preserve">is simplified as </w:t>
      </w:r>
      <w:r>
        <w:rPr>
          <w:rFonts w:ascii="Garamond" w:hAnsi="Garamond" w:cs="Times New Roman"/>
          <w:sz w:val="24"/>
          <w:szCs w:val="24"/>
        </w:rPr>
        <w:t>characteristic of globaliz</w:t>
      </w:r>
      <w:r w:rsidRPr="005D086E">
        <w:rPr>
          <w:rFonts w:ascii="Garamond" w:hAnsi="Garamond" w:cs="Times New Roman"/>
          <w:sz w:val="24"/>
          <w:szCs w:val="24"/>
        </w:rPr>
        <w:t>ation’s uneven development. In taste, chocolate can be both bitter and sweet, and its brown or black colouring is easily juxtaposed with purity and whiteness. In the West</w:t>
      </w:r>
      <w:r>
        <w:rPr>
          <w:rFonts w:ascii="Garamond" w:hAnsi="Garamond" w:cs="Times New Roman"/>
          <w:sz w:val="24"/>
          <w:szCs w:val="24"/>
        </w:rPr>
        <w:t>,</w:t>
      </w:r>
      <w:r w:rsidRPr="005D086E">
        <w:rPr>
          <w:rFonts w:ascii="Garamond" w:hAnsi="Garamond" w:cs="Times New Roman"/>
          <w:sz w:val="24"/>
          <w:szCs w:val="24"/>
        </w:rPr>
        <w:t xml:space="preserve"> cultures of production have been hidden under an aesthetics of pleasure, gift-giving, a</w:t>
      </w:r>
      <w:r>
        <w:rPr>
          <w:rFonts w:ascii="Garamond" w:hAnsi="Garamond" w:cs="Times New Roman"/>
          <w:sz w:val="24"/>
          <w:szCs w:val="24"/>
        </w:rPr>
        <w:t xml:space="preserve">nd transformation (Bell </w:t>
      </w:r>
      <w:r w:rsidR="00F152DB">
        <w:rPr>
          <w:rFonts w:ascii="Garamond" w:hAnsi="Garamond" w:cs="Times New Roman"/>
          <w:sz w:val="24"/>
          <w:szCs w:val="24"/>
        </w:rPr>
        <w:t>and</w:t>
      </w:r>
      <w:r>
        <w:rPr>
          <w:rFonts w:ascii="Garamond" w:hAnsi="Garamond" w:cs="Times New Roman"/>
          <w:sz w:val="24"/>
          <w:szCs w:val="24"/>
        </w:rPr>
        <w:t xml:space="preserve"> Valen</w:t>
      </w:r>
      <w:r w:rsidRPr="005D086E">
        <w:rPr>
          <w:rFonts w:ascii="Garamond" w:hAnsi="Garamond" w:cs="Times New Roman"/>
          <w:sz w:val="24"/>
          <w:szCs w:val="24"/>
        </w:rPr>
        <w:t>tine, 1997; Lupton, 1997).</w:t>
      </w:r>
      <w:r>
        <w:rPr>
          <w:rFonts w:ascii="Garamond" w:hAnsi="Garamond" w:cs="Times New Roman"/>
          <w:sz w:val="24"/>
          <w:szCs w:val="24"/>
        </w:rPr>
        <w:t xml:space="preserve"> </w:t>
      </w:r>
      <w:r w:rsidRPr="005D086E">
        <w:rPr>
          <w:rFonts w:ascii="Garamond" w:hAnsi="Garamond" w:cs="Times New Roman"/>
          <w:sz w:val="24"/>
          <w:szCs w:val="24"/>
        </w:rPr>
        <w:t>In short</w:t>
      </w:r>
      <w:r>
        <w:rPr>
          <w:rFonts w:ascii="Garamond" w:hAnsi="Garamond" w:cs="Times New Roman"/>
          <w:sz w:val="24"/>
          <w:szCs w:val="24"/>
        </w:rPr>
        <w:t>,</w:t>
      </w:r>
      <w:r w:rsidRPr="005D086E">
        <w:rPr>
          <w:rFonts w:ascii="Garamond" w:hAnsi="Garamond" w:cs="Times New Roman"/>
          <w:sz w:val="24"/>
          <w:szCs w:val="24"/>
        </w:rPr>
        <w:t xml:space="preserve"> chocolate soma</w:t>
      </w:r>
      <w:r>
        <w:rPr>
          <w:rFonts w:ascii="Garamond" w:hAnsi="Garamond" w:cs="Times New Roman"/>
          <w:sz w:val="24"/>
          <w:szCs w:val="24"/>
        </w:rPr>
        <w:t>tics are effortlessly dichotomiz</w:t>
      </w:r>
      <w:r w:rsidRPr="005D086E">
        <w:rPr>
          <w:rFonts w:ascii="Garamond" w:hAnsi="Garamond" w:cs="Times New Roman"/>
          <w:sz w:val="24"/>
          <w:szCs w:val="24"/>
        </w:rPr>
        <w:t>ed into the mores of pleasure and guilt. Thus</w:t>
      </w:r>
      <w:r>
        <w:rPr>
          <w:rFonts w:ascii="Garamond" w:hAnsi="Garamond" w:cs="Times New Roman"/>
          <w:sz w:val="24"/>
          <w:szCs w:val="24"/>
        </w:rPr>
        <w:t>,</w:t>
      </w:r>
      <w:r w:rsidRPr="005D086E">
        <w:rPr>
          <w:rFonts w:ascii="Garamond" w:hAnsi="Garamond" w:cs="Times New Roman"/>
          <w:sz w:val="24"/>
          <w:szCs w:val="24"/>
        </w:rPr>
        <w:t xml:space="preserve"> unveiling publicly recognizable types of chocol</w:t>
      </w:r>
      <w:r>
        <w:rPr>
          <w:rFonts w:ascii="Garamond" w:hAnsi="Garamond" w:cs="Times New Roman"/>
          <w:sz w:val="24"/>
          <w:szCs w:val="24"/>
        </w:rPr>
        <w:t>ate fetish and cultures of production is</w:t>
      </w:r>
      <w:r w:rsidRPr="005D086E">
        <w:rPr>
          <w:rFonts w:ascii="Garamond" w:hAnsi="Garamond" w:cs="Times New Roman"/>
          <w:sz w:val="24"/>
          <w:szCs w:val="24"/>
        </w:rPr>
        <w:t xml:space="preserve"> straightforward bodywork for NGOs.</w:t>
      </w:r>
    </w:p>
    <w:p w:rsidR="00472B3A" w:rsidRPr="005D086E" w:rsidRDefault="00472B3A" w:rsidP="00E4533B">
      <w:pPr>
        <w:spacing w:after="0" w:line="360" w:lineRule="auto"/>
        <w:jc w:val="both"/>
        <w:rPr>
          <w:rFonts w:ascii="Garamond" w:hAnsi="Garamond" w:cs="Times New Roman"/>
          <w:sz w:val="24"/>
          <w:szCs w:val="24"/>
        </w:rPr>
      </w:pPr>
    </w:p>
    <w:p w:rsidR="00E4533B" w:rsidRDefault="00472B3A" w:rsidP="00E4533B">
      <w:pPr>
        <w:spacing w:after="0" w:line="360" w:lineRule="auto"/>
        <w:jc w:val="both"/>
        <w:rPr>
          <w:rFonts w:ascii="Garamond" w:hAnsi="Garamond" w:cs="Times New Roman"/>
          <w:i/>
          <w:szCs w:val="18"/>
        </w:rPr>
      </w:pPr>
      <w:r>
        <w:rPr>
          <w:rFonts w:ascii="Garamond" w:hAnsi="Garamond" w:cs="Times New Roman"/>
          <w:i/>
          <w:szCs w:val="18"/>
        </w:rPr>
        <w:t xml:space="preserve">ii) </w:t>
      </w:r>
      <w:r w:rsidRPr="003916ED">
        <w:rPr>
          <w:rFonts w:ascii="Garamond" w:hAnsi="Garamond" w:cs="Times New Roman"/>
          <w:i/>
          <w:szCs w:val="18"/>
        </w:rPr>
        <w:t>Materializing STT’s moral philosophy and voice</w:t>
      </w:r>
    </w:p>
    <w:p w:rsidR="00472B3A" w:rsidRPr="003916ED" w:rsidRDefault="00472B3A" w:rsidP="00E4533B">
      <w:pPr>
        <w:spacing w:after="0" w:line="360" w:lineRule="auto"/>
        <w:jc w:val="both"/>
        <w:rPr>
          <w:rFonts w:ascii="Garamond" w:hAnsi="Garamond" w:cs="Times New Roman"/>
          <w:i/>
          <w:szCs w:val="18"/>
        </w:rPr>
      </w:pPr>
    </w:p>
    <w:p w:rsidR="00E4533B" w:rsidRDefault="00472B3A" w:rsidP="00E4533B">
      <w:pPr>
        <w:spacing w:after="0" w:line="360" w:lineRule="auto"/>
        <w:jc w:val="both"/>
        <w:rPr>
          <w:rFonts w:ascii="Garamond" w:hAnsi="Garamond" w:cs="Times New Roman"/>
          <w:sz w:val="24"/>
          <w:szCs w:val="24"/>
        </w:rPr>
      </w:pPr>
      <w:r>
        <w:rPr>
          <w:rFonts w:ascii="Garamond" w:hAnsi="Garamond" w:cs="Times New Roman"/>
          <w:sz w:val="24"/>
          <w:szCs w:val="24"/>
        </w:rPr>
        <w:t>C</w:t>
      </w:r>
      <w:r w:rsidRPr="005D086E">
        <w:rPr>
          <w:rFonts w:ascii="Garamond" w:hAnsi="Garamond" w:cs="Times New Roman"/>
          <w:sz w:val="24"/>
          <w:szCs w:val="24"/>
        </w:rPr>
        <w:t>hild testimonies and witness accounts</w:t>
      </w:r>
      <w:r>
        <w:rPr>
          <w:rFonts w:ascii="Garamond" w:hAnsi="Garamond" w:cs="Times New Roman"/>
          <w:sz w:val="24"/>
          <w:szCs w:val="24"/>
        </w:rPr>
        <w:t xml:space="preserve"> of cocoa production</w:t>
      </w:r>
      <w:r w:rsidRPr="005D086E">
        <w:rPr>
          <w:rFonts w:ascii="Garamond" w:hAnsi="Garamond" w:cs="Times New Roman"/>
          <w:sz w:val="24"/>
          <w:szCs w:val="24"/>
        </w:rPr>
        <w:t xml:space="preserve"> </w:t>
      </w:r>
      <w:r>
        <w:rPr>
          <w:rFonts w:ascii="Garamond" w:hAnsi="Garamond" w:cs="Times New Roman"/>
          <w:sz w:val="24"/>
          <w:szCs w:val="24"/>
        </w:rPr>
        <w:t>frequently</w:t>
      </w:r>
      <w:r w:rsidRPr="005D086E">
        <w:rPr>
          <w:rFonts w:ascii="Garamond" w:hAnsi="Garamond" w:cs="Times New Roman"/>
          <w:sz w:val="24"/>
          <w:szCs w:val="24"/>
        </w:rPr>
        <w:t xml:space="preserve"> highlight the deception and exploited labour elements so important to the Har</w:t>
      </w:r>
      <w:r>
        <w:rPr>
          <w:rFonts w:ascii="Garamond" w:hAnsi="Garamond" w:cs="Times New Roman"/>
          <w:sz w:val="24"/>
          <w:szCs w:val="24"/>
        </w:rPr>
        <w:t xml:space="preserve">kin Engin and Palermo protocols </w:t>
      </w:r>
      <w:r w:rsidRPr="005D086E">
        <w:rPr>
          <w:rFonts w:ascii="Garamond" w:hAnsi="Garamond" w:cs="Times New Roman"/>
          <w:sz w:val="24"/>
          <w:szCs w:val="24"/>
        </w:rPr>
        <w:t xml:space="preserve">for the definition of trafficking. </w:t>
      </w:r>
      <w:r>
        <w:rPr>
          <w:rFonts w:ascii="Garamond" w:hAnsi="Garamond" w:cs="Times New Roman"/>
          <w:sz w:val="24"/>
          <w:szCs w:val="24"/>
        </w:rPr>
        <w:t>They are found in</w:t>
      </w:r>
      <w:r w:rsidRPr="005D086E">
        <w:rPr>
          <w:rFonts w:ascii="Garamond" w:hAnsi="Garamond" w:cs="Times New Roman"/>
          <w:sz w:val="24"/>
          <w:szCs w:val="24"/>
        </w:rPr>
        <w:t xml:space="preserve"> children’s fiction (</w:t>
      </w:r>
      <w:r>
        <w:rPr>
          <w:rFonts w:ascii="Garamond" w:hAnsi="Garamond" w:cs="Times New Roman"/>
          <w:sz w:val="24"/>
          <w:szCs w:val="24"/>
        </w:rPr>
        <w:t xml:space="preserve">e.g. </w:t>
      </w:r>
      <w:r w:rsidRPr="005D086E">
        <w:rPr>
          <w:rFonts w:ascii="Garamond" w:hAnsi="Garamond" w:cs="Times New Roman"/>
          <w:sz w:val="24"/>
          <w:szCs w:val="24"/>
        </w:rPr>
        <w:t xml:space="preserve">Sally Grindley’s </w:t>
      </w:r>
      <w:r w:rsidRPr="005D086E">
        <w:rPr>
          <w:rFonts w:ascii="Garamond" w:hAnsi="Garamond" w:cs="Times New Roman"/>
          <w:i/>
          <w:sz w:val="24"/>
          <w:szCs w:val="24"/>
        </w:rPr>
        <w:t xml:space="preserve">Bitter Chocolate, </w:t>
      </w:r>
      <w:r w:rsidRPr="005D086E">
        <w:rPr>
          <w:rFonts w:ascii="Garamond" w:hAnsi="Garamond" w:cs="Times New Roman"/>
          <w:sz w:val="24"/>
          <w:szCs w:val="24"/>
        </w:rPr>
        <w:t xml:space="preserve">2010) and popular exposes </w:t>
      </w:r>
      <w:r>
        <w:rPr>
          <w:rFonts w:ascii="Garamond" w:hAnsi="Garamond" w:cs="Times New Roman"/>
          <w:sz w:val="24"/>
          <w:szCs w:val="24"/>
        </w:rPr>
        <w:t xml:space="preserve">(e.g. </w:t>
      </w:r>
      <w:r w:rsidRPr="005D086E">
        <w:rPr>
          <w:rFonts w:ascii="Garamond" w:hAnsi="Garamond" w:cs="Times New Roman"/>
          <w:sz w:val="24"/>
          <w:szCs w:val="24"/>
        </w:rPr>
        <w:t xml:space="preserve">Benjamin Skinner’s (2007) </w:t>
      </w:r>
      <w:r w:rsidRPr="005D086E">
        <w:rPr>
          <w:rFonts w:ascii="Garamond" w:hAnsi="Garamond" w:cs="Times New Roman"/>
          <w:i/>
          <w:sz w:val="24"/>
          <w:szCs w:val="24"/>
        </w:rPr>
        <w:t xml:space="preserve">A Crime So Monstrous </w:t>
      </w:r>
      <w:r w:rsidRPr="005D086E">
        <w:rPr>
          <w:rFonts w:ascii="Garamond" w:hAnsi="Garamond" w:cs="Times New Roman"/>
          <w:sz w:val="24"/>
          <w:szCs w:val="24"/>
        </w:rPr>
        <w:t xml:space="preserve">and Carol Off’s (2008) </w:t>
      </w:r>
      <w:r>
        <w:rPr>
          <w:rFonts w:ascii="Garamond" w:hAnsi="Garamond" w:cs="Times New Roman"/>
          <w:i/>
          <w:sz w:val="24"/>
          <w:szCs w:val="24"/>
        </w:rPr>
        <w:t>Bittersweet C</w:t>
      </w:r>
      <w:r w:rsidRPr="005D086E">
        <w:rPr>
          <w:rFonts w:ascii="Garamond" w:hAnsi="Garamond" w:cs="Times New Roman"/>
          <w:i/>
          <w:sz w:val="24"/>
          <w:szCs w:val="24"/>
        </w:rPr>
        <w:t>hocolate</w:t>
      </w:r>
      <w:r>
        <w:rPr>
          <w:rFonts w:ascii="Garamond" w:hAnsi="Garamond" w:cs="Times New Roman"/>
          <w:sz w:val="24"/>
          <w:szCs w:val="24"/>
        </w:rPr>
        <w:t>). Such accounts</w:t>
      </w:r>
      <w:r w:rsidRPr="005D086E">
        <w:rPr>
          <w:rFonts w:ascii="Garamond" w:hAnsi="Garamond" w:cs="Times New Roman"/>
          <w:sz w:val="24"/>
          <w:szCs w:val="24"/>
        </w:rPr>
        <w:t xml:space="preserve"> ensure that anti cocoa-trafficking is a celebrated cause, and that figurative markers such as bittersweet have re-entered </w:t>
      </w:r>
      <w:r>
        <w:rPr>
          <w:rFonts w:ascii="Garamond" w:hAnsi="Garamond" w:cs="Times New Roman"/>
          <w:sz w:val="24"/>
          <w:szCs w:val="24"/>
        </w:rPr>
        <w:t>the popular</w:t>
      </w:r>
      <w:r w:rsidRPr="005D086E">
        <w:rPr>
          <w:rFonts w:ascii="Garamond" w:hAnsi="Garamond" w:cs="Times New Roman"/>
          <w:sz w:val="24"/>
          <w:szCs w:val="24"/>
        </w:rPr>
        <w:t xml:space="preserve"> lexicon. </w:t>
      </w:r>
      <w:r>
        <w:rPr>
          <w:rFonts w:ascii="Garamond" w:hAnsi="Garamond" w:cs="Times New Roman"/>
          <w:sz w:val="24"/>
          <w:szCs w:val="24"/>
        </w:rPr>
        <w:t>Popular analyses</w:t>
      </w:r>
      <w:r w:rsidRPr="005D086E">
        <w:rPr>
          <w:rFonts w:ascii="Garamond" w:hAnsi="Garamond" w:cs="Times New Roman"/>
          <w:sz w:val="24"/>
          <w:szCs w:val="24"/>
        </w:rPr>
        <w:t xml:space="preserve"> o</w:t>
      </w:r>
      <w:r>
        <w:rPr>
          <w:rFonts w:ascii="Garamond" w:hAnsi="Garamond" w:cs="Times New Roman"/>
          <w:sz w:val="24"/>
          <w:szCs w:val="24"/>
        </w:rPr>
        <w:t>f</w:t>
      </w:r>
      <w:r w:rsidRPr="005D086E">
        <w:rPr>
          <w:rFonts w:ascii="Garamond" w:hAnsi="Garamond" w:cs="Times New Roman"/>
          <w:sz w:val="24"/>
          <w:szCs w:val="24"/>
        </w:rPr>
        <w:t xml:space="preserve"> the relationshi</w:t>
      </w:r>
      <w:r>
        <w:rPr>
          <w:rFonts w:ascii="Garamond" w:hAnsi="Garamond" w:cs="Times New Roman"/>
          <w:sz w:val="24"/>
          <w:szCs w:val="24"/>
        </w:rPr>
        <w:t xml:space="preserve">p between new (specifically </w:t>
      </w:r>
      <w:r w:rsidRPr="005D086E">
        <w:rPr>
          <w:rFonts w:ascii="Garamond" w:hAnsi="Garamond" w:cs="Times New Roman"/>
          <w:sz w:val="24"/>
          <w:szCs w:val="24"/>
        </w:rPr>
        <w:t>cocoa trafficking) and old forms of</w:t>
      </w:r>
      <w:r>
        <w:rPr>
          <w:rFonts w:ascii="Garamond" w:hAnsi="Garamond" w:cs="Times New Roman"/>
          <w:sz w:val="24"/>
          <w:szCs w:val="24"/>
        </w:rPr>
        <w:t xml:space="preserve"> slavery (Bales 1999, 2009; Kwame et al. </w:t>
      </w:r>
      <w:r w:rsidRPr="005D086E">
        <w:rPr>
          <w:rFonts w:ascii="Garamond" w:hAnsi="Garamond" w:cs="Times New Roman"/>
          <w:sz w:val="24"/>
          <w:szCs w:val="24"/>
        </w:rPr>
        <w:t>2007;</w:t>
      </w:r>
      <w:r w:rsidRPr="005D086E">
        <w:rPr>
          <w:rFonts w:ascii="Garamond" w:hAnsi="Garamond" w:cs="Times New Roman"/>
          <w:i/>
          <w:sz w:val="24"/>
          <w:szCs w:val="24"/>
        </w:rPr>
        <w:t xml:space="preserve"> </w:t>
      </w:r>
      <w:r>
        <w:rPr>
          <w:rFonts w:ascii="Garamond" w:hAnsi="Garamond" w:cs="Times New Roman"/>
          <w:sz w:val="24"/>
          <w:szCs w:val="24"/>
        </w:rPr>
        <w:t>Quirk, 2010) encourage</w:t>
      </w:r>
      <w:r w:rsidRPr="005D086E">
        <w:rPr>
          <w:rFonts w:ascii="Garamond" w:hAnsi="Garamond" w:cs="Times New Roman"/>
          <w:sz w:val="24"/>
          <w:szCs w:val="24"/>
        </w:rPr>
        <w:t xml:space="preserve"> </w:t>
      </w:r>
      <w:r>
        <w:rPr>
          <w:rFonts w:ascii="Garamond" w:hAnsi="Garamond" w:cs="Times New Roman"/>
          <w:sz w:val="24"/>
          <w:szCs w:val="24"/>
        </w:rPr>
        <w:t>specific sorts of linkages</w:t>
      </w:r>
      <w:r w:rsidRPr="005D086E">
        <w:rPr>
          <w:rFonts w:ascii="Garamond" w:hAnsi="Garamond" w:cs="Times New Roman"/>
          <w:sz w:val="24"/>
          <w:szCs w:val="24"/>
        </w:rPr>
        <w:t xml:space="preserve"> between abolitionism and </w:t>
      </w:r>
      <w:r>
        <w:rPr>
          <w:rFonts w:ascii="Garamond" w:hAnsi="Garamond" w:cs="Times New Roman"/>
          <w:sz w:val="24"/>
          <w:szCs w:val="24"/>
        </w:rPr>
        <w:t>anti-cocoa trafficking activism.</w:t>
      </w:r>
      <w:r w:rsidRPr="005D086E">
        <w:rPr>
          <w:rFonts w:ascii="Garamond" w:hAnsi="Garamond" w:cs="Times New Roman"/>
          <w:sz w:val="24"/>
          <w:szCs w:val="24"/>
        </w:rPr>
        <w:t xml:space="preserve"> </w:t>
      </w:r>
      <w:r>
        <w:rPr>
          <w:rFonts w:ascii="Garamond" w:hAnsi="Garamond" w:cs="Times New Roman"/>
          <w:sz w:val="24"/>
          <w:szCs w:val="24"/>
        </w:rPr>
        <w:t>However, these comparative accounts also propose that the ubiquitous and de-territorialized aspects to</w:t>
      </w:r>
      <w:r w:rsidRPr="005D086E">
        <w:rPr>
          <w:rFonts w:ascii="Garamond" w:hAnsi="Garamond" w:cs="Times New Roman"/>
          <w:sz w:val="24"/>
          <w:szCs w:val="24"/>
        </w:rPr>
        <w:t xml:space="preserve"> modern slavery </w:t>
      </w:r>
      <w:r>
        <w:rPr>
          <w:rFonts w:ascii="Garamond" w:hAnsi="Garamond" w:cs="Times New Roman"/>
          <w:sz w:val="24"/>
          <w:szCs w:val="24"/>
        </w:rPr>
        <w:t>demand</w:t>
      </w:r>
      <w:r w:rsidRPr="005D086E">
        <w:rPr>
          <w:rFonts w:ascii="Garamond" w:hAnsi="Garamond" w:cs="Times New Roman"/>
          <w:sz w:val="24"/>
          <w:szCs w:val="24"/>
        </w:rPr>
        <w:t xml:space="preserve"> </w:t>
      </w:r>
      <w:r>
        <w:rPr>
          <w:rFonts w:ascii="Garamond" w:hAnsi="Garamond" w:cs="Times New Roman"/>
          <w:sz w:val="24"/>
          <w:szCs w:val="24"/>
        </w:rPr>
        <w:t>'</w:t>
      </w:r>
      <w:r w:rsidRPr="005D086E">
        <w:rPr>
          <w:rFonts w:ascii="Garamond" w:hAnsi="Garamond" w:cs="Times New Roman"/>
          <w:sz w:val="24"/>
          <w:szCs w:val="24"/>
        </w:rPr>
        <w:t>new</w:t>
      </w:r>
      <w:r>
        <w:rPr>
          <w:rFonts w:ascii="Garamond" w:hAnsi="Garamond" w:cs="Times New Roman"/>
          <w:sz w:val="24"/>
          <w:szCs w:val="24"/>
        </w:rPr>
        <w:t>' solutions. In particular Bales (1999) and Quirk (2010) emphasize</w:t>
      </w:r>
      <w:r w:rsidRPr="005D086E">
        <w:rPr>
          <w:rFonts w:ascii="Garamond" w:hAnsi="Garamond" w:cs="Times New Roman"/>
          <w:sz w:val="24"/>
          <w:szCs w:val="24"/>
        </w:rPr>
        <w:t xml:space="preserve"> </w:t>
      </w:r>
      <w:r>
        <w:rPr>
          <w:rFonts w:ascii="Garamond" w:hAnsi="Garamond" w:cs="Times New Roman"/>
          <w:sz w:val="24"/>
          <w:szCs w:val="24"/>
        </w:rPr>
        <w:t>that communities must take responsibility for identifying victims of trafficking and campaigning against it</w:t>
      </w:r>
      <w:r w:rsidRPr="005D086E">
        <w:rPr>
          <w:rFonts w:ascii="Garamond" w:hAnsi="Garamond" w:cs="Times New Roman"/>
          <w:sz w:val="24"/>
          <w:szCs w:val="24"/>
        </w:rPr>
        <w:t>. Bales argues that “at present, the most efficient engine for freeing slaves and keeping them free is when a community makes a conscious collective decision to do just that”</w:t>
      </w:r>
      <w:r>
        <w:rPr>
          <w:rFonts w:ascii="Garamond" w:hAnsi="Garamond" w:cs="Times New Roman"/>
          <w:sz w:val="24"/>
          <w:szCs w:val="24"/>
        </w:rPr>
        <w:t xml:space="preserve"> </w:t>
      </w:r>
      <w:r w:rsidRPr="005D086E">
        <w:rPr>
          <w:rFonts w:ascii="Garamond" w:hAnsi="Garamond" w:cs="Times New Roman"/>
          <w:sz w:val="24"/>
          <w:szCs w:val="24"/>
        </w:rPr>
        <w:lastRenderedPageBreak/>
        <w:t xml:space="preserve">(2007, 82). To this </w:t>
      </w:r>
      <w:r>
        <w:rPr>
          <w:rFonts w:ascii="Garamond" w:hAnsi="Garamond" w:cs="Times New Roman"/>
          <w:sz w:val="24"/>
          <w:szCs w:val="24"/>
        </w:rPr>
        <w:t>end</w:t>
      </w:r>
      <w:r w:rsidRPr="005D086E">
        <w:rPr>
          <w:rFonts w:ascii="Garamond" w:hAnsi="Garamond" w:cs="Times New Roman"/>
          <w:sz w:val="24"/>
          <w:szCs w:val="24"/>
        </w:rPr>
        <w:t xml:space="preserve">, STT have </w:t>
      </w:r>
      <w:r>
        <w:rPr>
          <w:rFonts w:ascii="Garamond" w:hAnsi="Garamond" w:cs="Times New Roman"/>
          <w:sz w:val="24"/>
          <w:szCs w:val="24"/>
        </w:rPr>
        <w:t>encouraged the formation</w:t>
      </w:r>
      <w:r w:rsidRPr="005D086E">
        <w:rPr>
          <w:rFonts w:ascii="Garamond" w:hAnsi="Garamond" w:cs="Times New Roman"/>
          <w:sz w:val="24"/>
          <w:szCs w:val="24"/>
        </w:rPr>
        <w:t xml:space="preserve"> of ACT groups (Active Communities </w:t>
      </w:r>
      <w:r>
        <w:rPr>
          <w:rFonts w:ascii="Garamond" w:hAnsi="Garamond" w:cs="Times New Roman"/>
          <w:sz w:val="24"/>
          <w:szCs w:val="24"/>
        </w:rPr>
        <w:t>a</w:t>
      </w:r>
      <w:r w:rsidRPr="005D086E">
        <w:rPr>
          <w:rFonts w:ascii="Garamond" w:hAnsi="Garamond" w:cs="Times New Roman"/>
          <w:sz w:val="24"/>
          <w:szCs w:val="24"/>
        </w:rPr>
        <w:t>gainst Trafficking)</w:t>
      </w:r>
      <w:r>
        <w:rPr>
          <w:rFonts w:ascii="Garamond" w:hAnsi="Garamond" w:cs="Times New Roman"/>
          <w:sz w:val="24"/>
          <w:szCs w:val="24"/>
        </w:rPr>
        <w:t>, mainly dispersed across the UK, the USA, Holland, Belgium and Australia. In 2011, the</w:t>
      </w:r>
      <w:r w:rsidRPr="005D086E">
        <w:rPr>
          <w:rFonts w:ascii="Garamond" w:hAnsi="Garamond" w:cs="Times New Roman"/>
          <w:sz w:val="24"/>
          <w:szCs w:val="24"/>
        </w:rPr>
        <w:t xml:space="preserve"> London</w:t>
      </w:r>
      <w:r>
        <w:rPr>
          <w:rFonts w:ascii="Garamond" w:hAnsi="Garamond" w:cs="Times New Roman"/>
          <w:sz w:val="24"/>
          <w:szCs w:val="24"/>
        </w:rPr>
        <w:t xml:space="preserve"> ACT group organized</w:t>
      </w:r>
      <w:r w:rsidRPr="005D086E">
        <w:rPr>
          <w:rFonts w:ascii="Garamond" w:hAnsi="Garamond" w:cs="Times New Roman"/>
          <w:sz w:val="24"/>
          <w:szCs w:val="24"/>
        </w:rPr>
        <w:t xml:space="preserve"> </w:t>
      </w:r>
      <w:r>
        <w:rPr>
          <w:rFonts w:ascii="Garamond" w:hAnsi="Garamond" w:cs="Times New Roman"/>
          <w:sz w:val="24"/>
          <w:szCs w:val="24"/>
        </w:rPr>
        <w:t xml:space="preserve">trafficking </w:t>
      </w:r>
      <w:r w:rsidRPr="005D086E">
        <w:rPr>
          <w:rFonts w:ascii="Garamond" w:hAnsi="Garamond" w:cs="Times New Roman"/>
          <w:sz w:val="24"/>
          <w:szCs w:val="24"/>
        </w:rPr>
        <w:t>awareness campaigns</w:t>
      </w:r>
      <w:r>
        <w:rPr>
          <w:rFonts w:ascii="Garamond" w:hAnsi="Garamond" w:cs="Times New Roman"/>
          <w:sz w:val="24"/>
          <w:szCs w:val="24"/>
        </w:rPr>
        <w:t xml:space="preserve"> with taxi drivers, and conducted 'research'</w:t>
      </w:r>
      <w:r w:rsidRPr="005D086E">
        <w:rPr>
          <w:rFonts w:ascii="Garamond" w:hAnsi="Garamond" w:cs="Times New Roman"/>
          <w:sz w:val="24"/>
          <w:szCs w:val="24"/>
        </w:rPr>
        <w:t xml:space="preserve"> on sex trafficking with the </w:t>
      </w:r>
      <w:r>
        <w:rPr>
          <w:rFonts w:ascii="Garamond" w:hAnsi="Garamond" w:cs="Times New Roman"/>
          <w:sz w:val="24"/>
          <w:szCs w:val="24"/>
        </w:rPr>
        <w:t>M</w:t>
      </w:r>
      <w:r w:rsidRPr="005D086E">
        <w:rPr>
          <w:rFonts w:ascii="Garamond" w:hAnsi="Garamond" w:cs="Times New Roman"/>
          <w:sz w:val="24"/>
          <w:szCs w:val="24"/>
        </w:rPr>
        <w:t>etropo</w:t>
      </w:r>
      <w:r w:rsidR="00AF727C">
        <w:rPr>
          <w:rFonts w:ascii="Garamond" w:hAnsi="Garamond" w:cs="Times New Roman"/>
          <w:sz w:val="24"/>
          <w:szCs w:val="24"/>
        </w:rPr>
        <w:t>litan Police (interview, Sophie</w:t>
      </w:r>
      <w:r>
        <w:rPr>
          <w:rFonts w:ascii="Garamond" w:hAnsi="Garamond" w:cs="Times New Roman"/>
          <w:sz w:val="24"/>
          <w:szCs w:val="24"/>
        </w:rPr>
        <w:t xml:space="preserve"> 2011). O</w:t>
      </w:r>
      <w:r w:rsidRPr="005D086E">
        <w:rPr>
          <w:rFonts w:ascii="Garamond" w:hAnsi="Garamond" w:cs="Times New Roman"/>
          <w:sz w:val="24"/>
          <w:szCs w:val="24"/>
        </w:rPr>
        <w:t xml:space="preserve">utreach projects with schools involve teacher training courses that situate the abolitionist message </w:t>
      </w:r>
      <w:r>
        <w:rPr>
          <w:rFonts w:ascii="Garamond" w:hAnsi="Garamond" w:cs="Times New Roman"/>
          <w:sz w:val="24"/>
          <w:szCs w:val="24"/>
        </w:rPr>
        <w:t>in relation to</w:t>
      </w:r>
      <w:r w:rsidRPr="005D086E">
        <w:rPr>
          <w:rFonts w:ascii="Garamond" w:hAnsi="Garamond" w:cs="Times New Roman"/>
          <w:sz w:val="24"/>
          <w:szCs w:val="24"/>
        </w:rPr>
        <w:t xml:space="preserve"> modern slavery; ‘old and current’ forms of slavery are explained to children who are encouraged to read “real biographies of trafficked children” (</w:t>
      </w:r>
      <w:r>
        <w:rPr>
          <w:rFonts w:ascii="Garamond" w:hAnsi="Garamond" w:cs="Times New Roman"/>
          <w:sz w:val="24"/>
          <w:szCs w:val="24"/>
        </w:rPr>
        <w:t>interview</w:t>
      </w:r>
      <w:r w:rsidR="00AF727C">
        <w:rPr>
          <w:rFonts w:ascii="Garamond" w:hAnsi="Garamond" w:cs="Times New Roman"/>
          <w:sz w:val="24"/>
          <w:szCs w:val="24"/>
        </w:rPr>
        <w:t>,</w:t>
      </w:r>
      <w:r>
        <w:rPr>
          <w:rFonts w:ascii="Garamond" w:hAnsi="Garamond" w:cs="Times New Roman"/>
          <w:sz w:val="24"/>
          <w:szCs w:val="24"/>
        </w:rPr>
        <w:t xml:space="preserve"> </w:t>
      </w:r>
      <w:r w:rsidR="00AF727C">
        <w:rPr>
          <w:rFonts w:ascii="Garamond" w:hAnsi="Garamond" w:cs="Times New Roman"/>
          <w:sz w:val="24"/>
          <w:szCs w:val="24"/>
        </w:rPr>
        <w:t>Sophie</w:t>
      </w:r>
      <w:r w:rsidRPr="005D086E">
        <w:rPr>
          <w:rFonts w:ascii="Garamond" w:hAnsi="Garamond" w:cs="Times New Roman"/>
          <w:sz w:val="24"/>
          <w:szCs w:val="24"/>
        </w:rPr>
        <w:t xml:space="preserve"> 2011).</w:t>
      </w:r>
    </w:p>
    <w:p w:rsidR="00E4533B" w:rsidRDefault="00E4533B" w:rsidP="00E4533B">
      <w:pPr>
        <w:spacing w:after="0" w:line="360" w:lineRule="auto"/>
        <w:jc w:val="both"/>
        <w:rPr>
          <w:rFonts w:ascii="Garamond" w:hAnsi="Garamond" w:cs="Times New Roman"/>
          <w:sz w:val="24"/>
          <w:szCs w:val="24"/>
        </w:rPr>
      </w:pPr>
    </w:p>
    <w:p w:rsidR="00504CFD" w:rsidRDefault="00472B3A" w:rsidP="00E4533B">
      <w:pPr>
        <w:spacing w:after="0" w:line="360" w:lineRule="auto"/>
        <w:jc w:val="both"/>
        <w:rPr>
          <w:rFonts w:ascii="Garamond" w:hAnsi="Garamond" w:cs="Times New Roman"/>
          <w:sz w:val="24"/>
          <w:szCs w:val="24"/>
        </w:rPr>
      </w:pPr>
      <w:r>
        <w:rPr>
          <w:rFonts w:ascii="Garamond" w:eastAsia="Times New Roman" w:hAnsi="Garamond" w:cs="Times New Roman"/>
          <w:color w:val="000000"/>
          <w:sz w:val="24"/>
          <w:szCs w:val="24"/>
          <w:shd w:val="clear" w:color="auto" w:fill="FFFFFF"/>
          <w:lang w:eastAsia="en-GB"/>
        </w:rPr>
        <w:t>STT’s antislavery is characteriz</w:t>
      </w:r>
      <w:r w:rsidRPr="005D086E">
        <w:rPr>
          <w:rFonts w:ascii="Garamond" w:eastAsia="Times New Roman" w:hAnsi="Garamond" w:cs="Times New Roman"/>
          <w:color w:val="000000"/>
          <w:sz w:val="24"/>
          <w:szCs w:val="24"/>
          <w:shd w:val="clear" w:color="auto" w:fill="FFFFFF"/>
          <w:lang w:eastAsia="en-GB"/>
        </w:rPr>
        <w:t>ed by a teleological moral philosophy (Si</w:t>
      </w:r>
      <w:r>
        <w:rPr>
          <w:rFonts w:ascii="Garamond" w:eastAsia="Times New Roman" w:hAnsi="Garamond" w:cs="Times New Roman"/>
          <w:color w:val="000000"/>
          <w:sz w:val="24"/>
          <w:szCs w:val="24"/>
          <w:shd w:val="clear" w:color="auto" w:fill="FFFFFF"/>
          <w:lang w:eastAsia="en-GB"/>
        </w:rPr>
        <w:t>nger, 1993) that instrumentaliz</w:t>
      </w:r>
      <w:r w:rsidRPr="005D086E">
        <w:rPr>
          <w:rFonts w:ascii="Garamond" w:eastAsia="Times New Roman" w:hAnsi="Garamond" w:cs="Times New Roman"/>
          <w:color w:val="000000"/>
          <w:sz w:val="24"/>
          <w:szCs w:val="24"/>
          <w:shd w:val="clear" w:color="auto" w:fill="FFFFFF"/>
          <w:lang w:eastAsia="en-GB"/>
        </w:rPr>
        <w:t>es the Palermo Protocol’s (2001) definition of trafficked slavery, and posits it as partly the consequence of a series of potentially egregious everyday types of consumption, mobilities, and attitudes. STT problematize specific types of consumption practices</w:t>
      </w:r>
      <w:r>
        <w:rPr>
          <w:rFonts w:ascii="Garamond" w:eastAsia="Times New Roman" w:hAnsi="Garamond" w:cs="Times New Roman"/>
          <w:color w:val="000000"/>
          <w:sz w:val="24"/>
          <w:szCs w:val="24"/>
          <w:shd w:val="clear" w:color="auto" w:fill="FFFFFF"/>
          <w:lang w:eastAsia="en-GB"/>
        </w:rPr>
        <w:t xml:space="preserve"> – e.g.</w:t>
      </w:r>
      <w:r w:rsidRPr="005D086E">
        <w:rPr>
          <w:rFonts w:ascii="Garamond" w:eastAsia="Times New Roman" w:hAnsi="Garamond" w:cs="Times New Roman"/>
          <w:color w:val="000000"/>
          <w:sz w:val="24"/>
          <w:szCs w:val="24"/>
          <w:shd w:val="clear" w:color="auto" w:fill="FFFFFF"/>
          <w:lang w:eastAsia="en-GB"/>
        </w:rPr>
        <w:t xml:space="preserve"> buying chocolate, eating, dining out, payi</w:t>
      </w:r>
      <w:r w:rsidR="00B002F4">
        <w:rPr>
          <w:rFonts w:ascii="Garamond" w:eastAsia="Times New Roman" w:hAnsi="Garamond" w:cs="Times New Roman"/>
          <w:color w:val="000000"/>
          <w:sz w:val="24"/>
          <w:szCs w:val="24"/>
          <w:shd w:val="clear" w:color="auto" w:fill="FFFFFF"/>
          <w:lang w:eastAsia="en-GB"/>
        </w:rPr>
        <w:t xml:space="preserve">ng for sex, staying in hotels – </w:t>
      </w:r>
      <w:r w:rsidRPr="005D086E">
        <w:rPr>
          <w:rFonts w:ascii="Garamond" w:eastAsia="Times New Roman" w:hAnsi="Garamond" w:cs="Times New Roman"/>
          <w:color w:val="000000"/>
          <w:sz w:val="24"/>
          <w:szCs w:val="24"/>
          <w:shd w:val="clear" w:color="auto" w:fill="FFFFFF"/>
          <w:lang w:eastAsia="en-GB"/>
        </w:rPr>
        <w:t xml:space="preserve">each of which are revealed to have global trajectories of consequence </w:t>
      </w:r>
      <w:r>
        <w:rPr>
          <w:rFonts w:ascii="Garamond" w:eastAsia="Times New Roman" w:hAnsi="Garamond" w:cs="Times New Roman"/>
          <w:color w:val="000000"/>
          <w:sz w:val="24"/>
          <w:szCs w:val="24"/>
          <w:shd w:val="clear" w:color="auto" w:fill="FFFFFF"/>
          <w:lang w:eastAsia="en-GB"/>
        </w:rPr>
        <w:t xml:space="preserve">and to </w:t>
      </w:r>
      <w:r w:rsidRPr="005D086E">
        <w:rPr>
          <w:rFonts w:ascii="Garamond" w:eastAsia="Times New Roman" w:hAnsi="Garamond" w:cs="Times New Roman"/>
          <w:color w:val="000000"/>
          <w:sz w:val="24"/>
          <w:szCs w:val="24"/>
          <w:shd w:val="clear" w:color="auto" w:fill="FFFFFF"/>
          <w:lang w:eastAsia="en-GB"/>
        </w:rPr>
        <w:t>implic</w:t>
      </w:r>
      <w:r>
        <w:rPr>
          <w:rFonts w:ascii="Garamond" w:eastAsia="Times New Roman" w:hAnsi="Garamond" w:cs="Times New Roman"/>
          <w:color w:val="000000"/>
          <w:sz w:val="24"/>
          <w:szCs w:val="24"/>
          <w:shd w:val="clear" w:color="auto" w:fill="FFFFFF"/>
          <w:lang w:eastAsia="en-GB"/>
        </w:rPr>
        <w:t xml:space="preserve">ate everyday consumer routines </w:t>
      </w:r>
      <w:r w:rsidRPr="005D086E">
        <w:rPr>
          <w:rFonts w:ascii="Garamond" w:eastAsia="Times New Roman" w:hAnsi="Garamond" w:cs="Times New Roman"/>
          <w:color w:val="000000"/>
          <w:sz w:val="24"/>
          <w:szCs w:val="24"/>
          <w:shd w:val="clear" w:color="auto" w:fill="FFFFFF"/>
          <w:lang w:eastAsia="en-GB"/>
        </w:rPr>
        <w:t>in the production of trafficking. Apathy and parochial attitudes are also targeted, and educational campaigns in various schools and workplaces (hotels, restaurants and taxi and bus drivers) unveil the hidden crimes and victims of trafficking to wide</w:t>
      </w:r>
      <w:r>
        <w:rPr>
          <w:rFonts w:ascii="Garamond" w:eastAsia="Times New Roman" w:hAnsi="Garamond" w:cs="Times New Roman"/>
          <w:color w:val="000000"/>
          <w:sz w:val="24"/>
          <w:szCs w:val="24"/>
          <w:shd w:val="clear" w:color="auto" w:fill="FFFFFF"/>
          <w:lang w:eastAsia="en-GB"/>
        </w:rPr>
        <w:t>r</w:t>
      </w:r>
      <w:r w:rsidRPr="005D086E">
        <w:rPr>
          <w:rFonts w:ascii="Garamond" w:eastAsia="Times New Roman" w:hAnsi="Garamond" w:cs="Times New Roman"/>
          <w:color w:val="000000"/>
          <w:sz w:val="24"/>
          <w:szCs w:val="24"/>
          <w:shd w:val="clear" w:color="auto" w:fill="FFFFFF"/>
          <w:lang w:eastAsia="en-GB"/>
        </w:rPr>
        <w:t xml:space="preserve"> publics. Individual campaigns combat ignorance, ‘bad’ habits and routines through the creation of a vocabulary of </w:t>
      </w:r>
      <w:r>
        <w:rPr>
          <w:rFonts w:ascii="Garamond" w:eastAsia="Times New Roman" w:hAnsi="Garamond" w:cs="Times New Roman"/>
          <w:color w:val="000000"/>
          <w:sz w:val="24"/>
          <w:szCs w:val="24"/>
          <w:shd w:val="clear" w:color="auto" w:fill="FFFFFF"/>
          <w:lang w:eastAsia="en-GB"/>
        </w:rPr>
        <w:t>responsibility (Barnett et al.</w:t>
      </w:r>
      <w:r w:rsidRPr="005D086E">
        <w:rPr>
          <w:rFonts w:ascii="Garamond" w:eastAsia="Times New Roman" w:hAnsi="Garamond" w:cs="Times New Roman"/>
          <w:color w:val="000000"/>
          <w:sz w:val="24"/>
          <w:szCs w:val="24"/>
          <w:shd w:val="clear" w:color="auto" w:fill="FFFFFF"/>
          <w:lang w:eastAsia="en-GB"/>
        </w:rPr>
        <w:t xml:space="preserve"> 2011). </w:t>
      </w:r>
      <w:r w:rsidRPr="005D086E">
        <w:rPr>
          <w:rFonts w:ascii="Garamond" w:hAnsi="Garamond" w:cs="Times New Roman"/>
          <w:sz w:val="24"/>
          <w:szCs w:val="24"/>
        </w:rPr>
        <w:t>Cho</w:t>
      </w:r>
      <w:r>
        <w:rPr>
          <w:rFonts w:ascii="Garamond" w:hAnsi="Garamond" w:cs="Times New Roman"/>
          <w:sz w:val="24"/>
          <w:szCs w:val="24"/>
        </w:rPr>
        <w:t>colate is</w:t>
      </w:r>
      <w:r w:rsidR="00AF727C">
        <w:rPr>
          <w:rFonts w:ascii="Garamond" w:hAnsi="Garamond" w:cs="Times New Roman"/>
          <w:sz w:val="24"/>
          <w:szCs w:val="24"/>
        </w:rPr>
        <w:t xml:space="preserve"> used a ‘gateway’ (interview Eve</w:t>
      </w:r>
      <w:r>
        <w:rPr>
          <w:rFonts w:ascii="Garamond" w:hAnsi="Garamond" w:cs="Times New Roman"/>
          <w:sz w:val="24"/>
          <w:szCs w:val="24"/>
        </w:rPr>
        <w:t>,</w:t>
      </w:r>
      <w:r w:rsidRPr="005D086E">
        <w:rPr>
          <w:rFonts w:ascii="Garamond" w:hAnsi="Garamond" w:cs="Times New Roman"/>
          <w:sz w:val="24"/>
          <w:szCs w:val="24"/>
        </w:rPr>
        <w:t xml:space="preserve"> 2011) into the vocabulary of responsibility. </w:t>
      </w:r>
    </w:p>
    <w:p w:rsidR="00472B3A" w:rsidRPr="00E4533B" w:rsidRDefault="00472B3A" w:rsidP="00E4533B">
      <w:pPr>
        <w:spacing w:after="0" w:line="360" w:lineRule="auto"/>
        <w:jc w:val="both"/>
        <w:rPr>
          <w:rFonts w:ascii="Garamond" w:eastAsia="Times New Roman" w:hAnsi="Garamond" w:cs="Times New Roman"/>
          <w:color w:val="000000"/>
          <w:sz w:val="24"/>
          <w:szCs w:val="24"/>
          <w:shd w:val="clear" w:color="auto" w:fill="FFFFFF"/>
          <w:lang w:eastAsia="en-GB"/>
        </w:rPr>
      </w:pPr>
    </w:p>
    <w:p w:rsidR="00472B3A" w:rsidRDefault="00472B3A" w:rsidP="00472B3A">
      <w:pPr>
        <w:spacing w:before="240" w:line="360" w:lineRule="auto"/>
        <w:jc w:val="both"/>
        <w:rPr>
          <w:rFonts w:ascii="Garamond" w:hAnsi="Garamond" w:cs="Times New Roman"/>
          <w:sz w:val="24"/>
          <w:szCs w:val="24"/>
        </w:rPr>
      </w:pPr>
      <w:r>
        <w:rPr>
          <w:rFonts w:ascii="Garamond" w:hAnsi="Garamond" w:cs="Times New Roman"/>
          <w:noProof/>
          <w:sz w:val="24"/>
          <w:szCs w:val="24"/>
          <w:lang w:eastAsia="en-GB"/>
        </w:rPr>
        <w:drawing>
          <wp:inline distT="0" distB="0" distL="0" distR="0">
            <wp:extent cx="5010150" cy="2600496"/>
            <wp:effectExtent l="25400" t="0" r="0" b="0"/>
            <wp:docPr id="37" name="Picture 37" descr="C:\Users\hugh crosfield\Desktop\STT Globa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ugh crosfield\Desktop\STT Global map.jpg"/>
                    <pic:cNvPicPr>
                      <a:picLocks noChangeAspect="1" noChangeArrowheads="1"/>
                    </pic:cNvPicPr>
                  </pic:nvPicPr>
                  <pic:blipFill>
                    <a:blip r:embed="rId76" cstate="print"/>
                    <a:srcRect/>
                    <a:stretch>
                      <a:fillRect/>
                    </a:stretch>
                  </pic:blipFill>
                  <pic:spPr bwMode="auto">
                    <a:xfrm>
                      <a:off x="0" y="0"/>
                      <a:ext cx="5009772" cy="2600300"/>
                    </a:xfrm>
                    <a:prstGeom prst="rect">
                      <a:avLst/>
                    </a:prstGeom>
                    <a:noFill/>
                    <a:ln w="9525">
                      <a:noFill/>
                      <a:miter lim="800000"/>
                      <a:headEnd/>
                      <a:tailEnd/>
                    </a:ln>
                  </pic:spPr>
                </pic:pic>
              </a:graphicData>
            </a:graphic>
          </wp:inline>
        </w:drawing>
      </w:r>
    </w:p>
    <w:p w:rsidR="00504CFD" w:rsidRDefault="00E4533B" w:rsidP="00943FE2">
      <w:pPr>
        <w:pStyle w:val="Caption"/>
        <w:jc w:val="both"/>
        <w:rPr>
          <w:rFonts w:ascii="Perpetua" w:hAnsi="Perpetua" w:cs="Times New Roman"/>
          <w:b w:val="0"/>
          <w:color w:val="auto"/>
          <w:sz w:val="20"/>
        </w:rPr>
      </w:pPr>
      <w:bookmarkStart w:id="529" w:name="_Toc263509040"/>
      <w:bookmarkStart w:id="530" w:name="_Toc263510827"/>
      <w:bookmarkStart w:id="531" w:name="_Toc244508243"/>
      <w:bookmarkStart w:id="532" w:name="_Toc244577305"/>
      <w:bookmarkStart w:id="533" w:name="_Toc263495774"/>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43</w:t>
      </w:r>
      <w:r w:rsidR="00DF2DF8" w:rsidRPr="00504CFD">
        <w:rPr>
          <w:rFonts w:ascii="Perpetua" w:hAnsi="Perpetua"/>
          <w:b w:val="0"/>
          <w:color w:val="auto"/>
          <w:sz w:val="20"/>
        </w:rPr>
        <w:fldChar w:fldCharType="end"/>
      </w:r>
      <w:r w:rsidRPr="00504CFD">
        <w:rPr>
          <w:rFonts w:ascii="Perpetua" w:hAnsi="Perpetua"/>
          <w:b w:val="0"/>
          <w:color w:val="auto"/>
          <w:sz w:val="20"/>
        </w:rPr>
        <w:t>:</w:t>
      </w:r>
      <w:r w:rsidRPr="00E4533B">
        <w:rPr>
          <w:rFonts w:ascii="Perpetua" w:hAnsi="Perpetua"/>
          <w:b w:val="0"/>
          <w:color w:val="auto"/>
          <w:sz w:val="20"/>
        </w:rPr>
        <w:t xml:space="preserve"> </w:t>
      </w:r>
      <w:r w:rsidR="00472B3A" w:rsidRPr="00E4533B">
        <w:rPr>
          <w:rFonts w:ascii="Perpetua" w:hAnsi="Perpetua" w:cs="Times New Roman"/>
          <w:b w:val="0"/>
          <w:color w:val="auto"/>
          <w:sz w:val="20"/>
        </w:rPr>
        <w:t>Map from S</w:t>
      </w:r>
      <w:r w:rsidR="00504CFD">
        <w:rPr>
          <w:rFonts w:ascii="Perpetua" w:hAnsi="Perpetua" w:cs="Times New Roman"/>
          <w:b w:val="0"/>
          <w:color w:val="auto"/>
          <w:sz w:val="20"/>
        </w:rPr>
        <w:t xml:space="preserve">TT's website (September, 2013) that demonstrates </w:t>
      </w:r>
      <w:r w:rsidR="00504CFD" w:rsidRPr="00E4533B">
        <w:rPr>
          <w:rFonts w:ascii="Perpetua" w:hAnsi="Perpetua" w:cs="Times New Roman"/>
          <w:b w:val="0"/>
          <w:color w:val="auto"/>
          <w:sz w:val="20"/>
        </w:rPr>
        <w:t>Globalizing' responsibility for trafficking.</w:t>
      </w:r>
      <w:bookmarkEnd w:id="529"/>
      <w:bookmarkEnd w:id="530"/>
    </w:p>
    <w:p w:rsidR="004A7172" w:rsidRDefault="004A7172" w:rsidP="00504CFD">
      <w:pPr>
        <w:rPr>
          <w:rFonts w:ascii="Perpetua" w:hAnsi="Perpetua"/>
          <w:sz w:val="20"/>
        </w:rPr>
      </w:pPr>
    </w:p>
    <w:p w:rsidR="00504CFD" w:rsidRDefault="00472B3A" w:rsidP="00504CFD">
      <w:pPr>
        <w:rPr>
          <w:rFonts w:ascii="Perpetua" w:hAnsi="Perpetua"/>
          <w:sz w:val="20"/>
        </w:rPr>
      </w:pPr>
      <w:r w:rsidRPr="00504CFD">
        <w:rPr>
          <w:rFonts w:ascii="Perpetua" w:hAnsi="Perpetua"/>
          <w:sz w:val="20"/>
        </w:rPr>
        <w:t xml:space="preserve">The index </w:t>
      </w:r>
      <w:r w:rsidR="00504CFD">
        <w:rPr>
          <w:rFonts w:ascii="Perpetua" w:hAnsi="Perpetua"/>
          <w:sz w:val="20"/>
        </w:rPr>
        <w:t xml:space="preserve">to the above figure </w:t>
      </w:r>
      <w:r w:rsidRPr="00504CFD">
        <w:rPr>
          <w:rFonts w:ascii="Perpetua" w:hAnsi="Perpetua"/>
          <w:sz w:val="20"/>
        </w:rPr>
        <w:t xml:space="preserve">provides a 'mattering map' in shorthand for the organization with a selection of key words (chocolate, communities, schools, 'Freedom Sunday' etc). In the main the projects are consumer (individual and community) focused, but the marker over the Côte D'Ivoire indicates CREER (Centre de Reinsertion et Education pour les Enfants de la Rue), and denotes a project near Aboisso under construction for 'rehabilitating' and educating child cocoa producers. </w:t>
      </w:r>
      <w:r w:rsidR="00E4533B" w:rsidRPr="00504CFD">
        <w:rPr>
          <w:rFonts w:ascii="Perpetua" w:hAnsi="Perpetua"/>
          <w:sz w:val="20"/>
        </w:rPr>
        <w:t xml:space="preserve">Available at: </w:t>
      </w:r>
      <w:r w:rsidRPr="00504CFD">
        <w:rPr>
          <w:rFonts w:ascii="Perpetua" w:hAnsi="Perpetua"/>
          <w:sz w:val="20"/>
        </w:rPr>
        <w:t>http://www.stopthetraffik.org/map. Last accessed 20/9/13.</w:t>
      </w:r>
      <w:bookmarkEnd w:id="531"/>
      <w:bookmarkEnd w:id="532"/>
      <w:bookmarkEnd w:id="533"/>
    </w:p>
    <w:p w:rsidR="00472B3A" w:rsidRPr="00504CFD" w:rsidRDefault="00472B3A" w:rsidP="00504CFD">
      <w:pPr>
        <w:rPr>
          <w:rFonts w:ascii="Perpetua" w:hAnsi="Perpetua"/>
          <w:sz w:val="20"/>
        </w:rPr>
      </w:pPr>
    </w:p>
    <w:p w:rsidR="00472B3A" w:rsidRDefault="00472B3A" w:rsidP="00472B3A">
      <w:pPr>
        <w:spacing w:before="240" w:line="360" w:lineRule="auto"/>
        <w:jc w:val="center"/>
        <w:rPr>
          <w:rFonts w:ascii="Garamond" w:hAnsi="Garamond" w:cs="Times New Roman"/>
          <w:sz w:val="24"/>
          <w:szCs w:val="24"/>
        </w:rPr>
      </w:pPr>
      <w:r>
        <w:rPr>
          <w:rFonts w:ascii="Garamond" w:hAnsi="Garamond" w:cs="Times New Roman"/>
          <w:noProof/>
          <w:sz w:val="24"/>
          <w:szCs w:val="24"/>
          <w:lang w:eastAsia="en-GB"/>
        </w:rPr>
        <w:drawing>
          <wp:inline distT="0" distB="0" distL="0" distR="0">
            <wp:extent cx="5517752" cy="2631882"/>
            <wp:effectExtent l="19050" t="0" r="6748" b="0"/>
            <wp:docPr id="38" name="Picture 38" descr="C:\Users\hugh crosfield\Desktop\STT chocolate projects globa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ugh crosfield\Desktop\STT chocolate projects global map.jpg"/>
                    <pic:cNvPicPr>
                      <a:picLocks noChangeAspect="1" noChangeArrowheads="1"/>
                    </pic:cNvPicPr>
                  </pic:nvPicPr>
                  <pic:blipFill>
                    <a:blip r:embed="rId77" cstate="print"/>
                    <a:srcRect/>
                    <a:stretch>
                      <a:fillRect/>
                    </a:stretch>
                  </pic:blipFill>
                  <pic:spPr bwMode="auto">
                    <a:xfrm>
                      <a:off x="0" y="0"/>
                      <a:ext cx="5513750" cy="2629973"/>
                    </a:xfrm>
                    <a:prstGeom prst="rect">
                      <a:avLst/>
                    </a:prstGeom>
                    <a:noFill/>
                    <a:ln w="9525">
                      <a:noFill/>
                      <a:miter lim="800000"/>
                      <a:headEnd/>
                      <a:tailEnd/>
                    </a:ln>
                  </pic:spPr>
                </pic:pic>
              </a:graphicData>
            </a:graphic>
          </wp:inline>
        </w:drawing>
      </w:r>
    </w:p>
    <w:p w:rsidR="00504CFD" w:rsidRDefault="00E4533B" w:rsidP="00E4533B">
      <w:pPr>
        <w:pStyle w:val="Caption"/>
        <w:spacing w:after="0"/>
        <w:jc w:val="both"/>
        <w:rPr>
          <w:rFonts w:ascii="Perpetua" w:eastAsia="Times New Roman" w:hAnsi="Perpetua" w:cs="Times New Roman"/>
          <w:b w:val="0"/>
          <w:color w:val="auto"/>
          <w:sz w:val="20"/>
          <w:shd w:val="clear" w:color="auto" w:fill="FFFFFF"/>
          <w:lang w:eastAsia="en-GB"/>
        </w:rPr>
      </w:pPr>
      <w:bookmarkStart w:id="534" w:name="_Toc263509041"/>
      <w:bookmarkStart w:id="535" w:name="_Toc263510828"/>
      <w:bookmarkStart w:id="536" w:name="_Toc244508244"/>
      <w:bookmarkStart w:id="537" w:name="_Toc244577306"/>
      <w:bookmarkStart w:id="538" w:name="_Toc263495775"/>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44</w:t>
      </w:r>
      <w:r w:rsidR="00DF2DF8" w:rsidRPr="00504CFD">
        <w:rPr>
          <w:rFonts w:ascii="Perpetua" w:hAnsi="Perpetua"/>
          <w:b w:val="0"/>
          <w:color w:val="auto"/>
          <w:sz w:val="20"/>
        </w:rPr>
        <w:fldChar w:fldCharType="end"/>
      </w:r>
      <w:r w:rsidRPr="00504CFD">
        <w:rPr>
          <w:rFonts w:ascii="Perpetua" w:hAnsi="Perpetua"/>
          <w:b w:val="0"/>
          <w:color w:val="auto"/>
          <w:sz w:val="20"/>
        </w:rPr>
        <w:t>:</w:t>
      </w:r>
      <w:r w:rsidRPr="00E4533B">
        <w:rPr>
          <w:rFonts w:ascii="Perpetua" w:hAnsi="Perpetua"/>
          <w:b w:val="0"/>
          <w:color w:val="auto"/>
          <w:sz w:val="20"/>
        </w:rPr>
        <w:t xml:space="preserve"> </w:t>
      </w:r>
      <w:r w:rsidR="00504CFD">
        <w:rPr>
          <w:rFonts w:ascii="Perpetua" w:eastAsia="Times New Roman" w:hAnsi="Perpetua" w:cs="Times New Roman"/>
          <w:b w:val="0"/>
          <w:color w:val="auto"/>
          <w:sz w:val="20"/>
          <w:shd w:val="clear" w:color="auto" w:fill="FFFFFF"/>
          <w:lang w:eastAsia="en-GB"/>
        </w:rPr>
        <w:t xml:space="preserve">Map from STT’s website that illustrates their </w:t>
      </w:r>
      <w:r w:rsidR="00472B3A" w:rsidRPr="00E4533B">
        <w:rPr>
          <w:rFonts w:ascii="Perpetua" w:eastAsia="Times New Roman" w:hAnsi="Perpetua" w:cs="Times New Roman"/>
          <w:b w:val="0"/>
          <w:color w:val="auto"/>
          <w:sz w:val="20"/>
          <w:shd w:val="clear" w:color="auto" w:fill="FFFFFF"/>
          <w:lang w:eastAsia="en-GB"/>
        </w:rPr>
        <w:t>'global' chocolate campaigns.</w:t>
      </w:r>
      <w:bookmarkEnd w:id="534"/>
      <w:bookmarkEnd w:id="535"/>
      <w:r w:rsidR="00472B3A" w:rsidRPr="00E4533B">
        <w:rPr>
          <w:rFonts w:ascii="Perpetua" w:eastAsia="Times New Roman" w:hAnsi="Perpetua" w:cs="Times New Roman"/>
          <w:b w:val="0"/>
          <w:color w:val="auto"/>
          <w:sz w:val="20"/>
          <w:shd w:val="clear" w:color="auto" w:fill="FFFFFF"/>
          <w:lang w:eastAsia="en-GB"/>
        </w:rPr>
        <w:t xml:space="preserve"> </w:t>
      </w:r>
    </w:p>
    <w:p w:rsidR="00504CFD" w:rsidRDefault="00504CFD" w:rsidP="00E4533B">
      <w:pPr>
        <w:pStyle w:val="Caption"/>
        <w:spacing w:after="0"/>
        <w:jc w:val="both"/>
        <w:rPr>
          <w:rFonts w:ascii="Perpetua" w:eastAsia="Times New Roman" w:hAnsi="Perpetua" w:cs="Times New Roman"/>
          <w:b w:val="0"/>
          <w:color w:val="auto"/>
          <w:sz w:val="20"/>
          <w:shd w:val="clear" w:color="auto" w:fill="FFFFFF"/>
          <w:lang w:eastAsia="en-GB"/>
        </w:rPr>
      </w:pPr>
    </w:p>
    <w:p w:rsidR="00E4533B" w:rsidRPr="00504CFD" w:rsidRDefault="00472B3A" w:rsidP="00504CFD">
      <w:pPr>
        <w:rPr>
          <w:rFonts w:ascii="Perpetua" w:hAnsi="Perpetua"/>
          <w:sz w:val="20"/>
        </w:rPr>
      </w:pPr>
      <w:r w:rsidRPr="00504CFD">
        <w:rPr>
          <w:rFonts w:ascii="Perpetua" w:hAnsi="Perpetua"/>
          <w:sz w:val="20"/>
        </w:rPr>
        <w:t xml:space="preserve">Both maps show how STT's anti-trafficking is centred in the UK, the Benelux countries, the USA and Australia.  </w:t>
      </w:r>
      <w:r w:rsidR="00E4533B" w:rsidRPr="00504CFD">
        <w:rPr>
          <w:rFonts w:ascii="Perpetua" w:hAnsi="Perpetua"/>
          <w:sz w:val="20"/>
        </w:rPr>
        <w:t>Available at:</w:t>
      </w:r>
      <w:r w:rsidRPr="00504CFD">
        <w:rPr>
          <w:rFonts w:ascii="Perpetua" w:hAnsi="Perpetua"/>
          <w:sz w:val="20"/>
        </w:rPr>
        <w:t xml:space="preserve"> http://www.stopthetraffik.org/map. Last accessed 20/9/13.</w:t>
      </w:r>
      <w:bookmarkEnd w:id="536"/>
      <w:bookmarkEnd w:id="537"/>
      <w:bookmarkEnd w:id="538"/>
    </w:p>
    <w:p w:rsidR="004A7172" w:rsidRDefault="004A7172" w:rsidP="00E4533B"/>
    <w:p w:rsidR="004A7172" w:rsidRDefault="004A7172" w:rsidP="00E4533B"/>
    <w:p w:rsidR="00472B3A" w:rsidRPr="00E4533B" w:rsidRDefault="00472B3A" w:rsidP="00E4533B"/>
    <w:p w:rsidR="00E4533B" w:rsidRDefault="00472B3A" w:rsidP="00E4533B">
      <w:pPr>
        <w:spacing w:after="0" w:line="360" w:lineRule="auto"/>
        <w:jc w:val="both"/>
        <w:rPr>
          <w:rFonts w:ascii="Garamond" w:eastAsia="Times New Roman" w:hAnsi="Garamond" w:cs="Times New Roman"/>
          <w:i/>
          <w:color w:val="000000"/>
          <w:szCs w:val="18"/>
          <w:shd w:val="clear" w:color="auto" w:fill="FFFFFF"/>
          <w:lang w:eastAsia="en-GB"/>
        </w:rPr>
      </w:pPr>
      <w:r w:rsidRPr="003916ED">
        <w:rPr>
          <w:rFonts w:ascii="Garamond" w:eastAsia="Times New Roman" w:hAnsi="Garamond" w:cs="Times New Roman"/>
          <w:i/>
          <w:color w:val="000000"/>
          <w:szCs w:val="18"/>
          <w:shd w:val="clear" w:color="auto" w:fill="FFFFFF"/>
          <w:lang w:eastAsia="en-GB"/>
        </w:rPr>
        <w:t>iii) Historicizing anti-trafficking</w:t>
      </w:r>
    </w:p>
    <w:p w:rsidR="00472B3A" w:rsidRPr="003916ED" w:rsidRDefault="00472B3A" w:rsidP="00E4533B">
      <w:pPr>
        <w:spacing w:after="0" w:line="360" w:lineRule="auto"/>
        <w:jc w:val="both"/>
        <w:rPr>
          <w:rFonts w:ascii="Garamond" w:eastAsia="Times New Roman" w:hAnsi="Garamond" w:cs="Times New Roman"/>
          <w:i/>
          <w:color w:val="000000"/>
          <w:szCs w:val="18"/>
          <w:shd w:val="clear" w:color="auto" w:fill="FFFFFF"/>
          <w:lang w:eastAsia="en-GB"/>
        </w:rPr>
      </w:pPr>
    </w:p>
    <w:p w:rsidR="00410C58" w:rsidRDefault="00472B3A" w:rsidP="00E4533B">
      <w:pPr>
        <w:spacing w:after="0"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The term the citizen-consumer has been used for the last ten years or so, for good or bad</w:t>
      </w:r>
      <w:r>
        <w:rPr>
          <w:rFonts w:ascii="Garamond" w:hAnsi="Garamond" w:cs="Times New Roman"/>
        </w:rPr>
        <w:t xml:space="preserve"> </w:t>
      </w:r>
      <w:r w:rsidRPr="005D086E">
        <w:rPr>
          <w:rFonts w:ascii="Garamond" w:hAnsi="Garamond" w:cs="Times New Roman"/>
        </w:rPr>
        <w:t>- do you think that we are becoming more responsible for our consumption habits, and do you think we are realising that we can be political through our consumption?</w:t>
      </w:r>
    </w:p>
    <w:p w:rsidR="00472B3A" w:rsidRPr="005D086E" w:rsidRDefault="00472B3A" w:rsidP="00E4533B">
      <w:pPr>
        <w:spacing w:after="0" w:line="360" w:lineRule="auto"/>
        <w:ind w:left="284" w:right="284"/>
        <w:jc w:val="both"/>
        <w:rPr>
          <w:rFonts w:ascii="Garamond" w:hAnsi="Garamond" w:cs="Times New Roman"/>
        </w:rPr>
      </w:pPr>
    </w:p>
    <w:p w:rsidR="00E4533B" w:rsidRDefault="00472B3A" w:rsidP="00410C58">
      <w:pPr>
        <w:spacing w:after="0" w:line="360" w:lineRule="auto"/>
        <w:ind w:left="284" w:right="284"/>
        <w:jc w:val="both"/>
        <w:rPr>
          <w:rFonts w:ascii="Garamond" w:hAnsi="Garamond" w:cs="Times New Roman"/>
        </w:rPr>
      </w:pPr>
      <w:r>
        <w:rPr>
          <w:rFonts w:ascii="Garamond" w:hAnsi="Garamond" w:cs="Times New Roman"/>
        </w:rPr>
        <w:t>ANTONIE</w:t>
      </w:r>
      <w:r w:rsidRPr="005D086E">
        <w:rPr>
          <w:rFonts w:ascii="Garamond" w:hAnsi="Garamond" w:cs="Times New Roman"/>
        </w:rPr>
        <w:t>: Yes, and no. If you look at the BOA you can see it’s not a new development at all, and also if you look at the history books, you can see Wilberforce was leading this two hundred years ago.</w:t>
      </w:r>
      <w:r w:rsidR="00410C58">
        <w:rPr>
          <w:rFonts w:ascii="Garamond" w:hAnsi="Garamond" w:cs="Times New Roman"/>
        </w:rPr>
        <w:t xml:space="preserve"> (Interview Fountain, 2011)</w:t>
      </w:r>
    </w:p>
    <w:p w:rsidR="00472B3A" w:rsidRPr="005D086E" w:rsidRDefault="00472B3A" w:rsidP="00410C58">
      <w:pPr>
        <w:spacing w:after="0" w:line="360" w:lineRule="auto"/>
        <w:ind w:left="284" w:right="284"/>
        <w:jc w:val="both"/>
        <w:rPr>
          <w:rFonts w:ascii="Garamond" w:eastAsia="Times New Roman" w:hAnsi="Garamond" w:cs="Times New Roman"/>
          <w:i/>
          <w:color w:val="000000"/>
          <w:shd w:val="clear" w:color="auto" w:fill="FFFFFF"/>
          <w:lang w:eastAsia="en-GB"/>
        </w:rPr>
      </w:pPr>
    </w:p>
    <w:p w:rsidR="00410C58" w:rsidRDefault="00472B3A" w:rsidP="00410C58">
      <w:pPr>
        <w:spacing w:after="0" w:line="360" w:lineRule="auto"/>
        <w:jc w:val="both"/>
        <w:rPr>
          <w:rFonts w:ascii="Garamond" w:hAnsi="Garamond" w:cs="Times New Roman"/>
          <w:sz w:val="24"/>
          <w:szCs w:val="24"/>
        </w:rPr>
      </w:pPr>
      <w:r w:rsidRPr="005D086E">
        <w:rPr>
          <w:rFonts w:ascii="Garamond" w:eastAsia="Times New Roman" w:hAnsi="Garamond" w:cs="Times New Roman"/>
          <w:color w:val="000000"/>
          <w:sz w:val="24"/>
          <w:szCs w:val="24"/>
          <w:shd w:val="clear" w:color="auto" w:fill="FFFFFF"/>
          <w:lang w:eastAsia="en-GB"/>
        </w:rPr>
        <w:lastRenderedPageBreak/>
        <w:t>Stop The Traffik activists frequently use laconic abolitionist clichés such as “we must fight the fight”</w:t>
      </w:r>
      <w:r>
        <w:rPr>
          <w:rFonts w:ascii="Garamond" w:eastAsia="Times New Roman" w:hAnsi="Garamond" w:cs="Times New Roman"/>
          <w:color w:val="000000"/>
          <w:sz w:val="24"/>
          <w:szCs w:val="24"/>
          <w:shd w:val="clear" w:color="auto" w:fill="FFFFFF"/>
          <w:lang w:eastAsia="en-GB"/>
        </w:rPr>
        <w:t xml:space="preserve"> </w:t>
      </w:r>
      <w:r w:rsidRPr="005D086E">
        <w:rPr>
          <w:rFonts w:ascii="Garamond" w:eastAsia="Times New Roman" w:hAnsi="Garamond" w:cs="Times New Roman"/>
          <w:color w:val="000000"/>
          <w:sz w:val="24"/>
          <w:szCs w:val="24"/>
          <w:shd w:val="clear" w:color="auto" w:fill="FFFFFF"/>
          <w:lang w:eastAsia="en-GB"/>
        </w:rPr>
        <w:t>(interview</w:t>
      </w:r>
      <w:r w:rsidR="00AF727C">
        <w:rPr>
          <w:rFonts w:ascii="Garamond" w:eastAsia="Times New Roman" w:hAnsi="Garamond" w:cs="Times New Roman"/>
          <w:color w:val="000000"/>
          <w:sz w:val="24"/>
          <w:szCs w:val="24"/>
          <w:shd w:val="clear" w:color="auto" w:fill="FFFFFF"/>
          <w:lang w:eastAsia="en-GB"/>
        </w:rPr>
        <w:t>, Dearnley</w:t>
      </w:r>
      <w:r w:rsidRPr="005D086E">
        <w:rPr>
          <w:rFonts w:ascii="Garamond" w:eastAsia="Times New Roman" w:hAnsi="Garamond" w:cs="Times New Roman"/>
          <w:color w:val="000000"/>
          <w:sz w:val="24"/>
          <w:szCs w:val="24"/>
          <w:shd w:val="clear" w:color="auto" w:fill="FFFFFF"/>
          <w:lang w:eastAsia="en-GB"/>
        </w:rPr>
        <w:t xml:space="preserve"> 2011; interview</w:t>
      </w:r>
      <w:r w:rsidR="00AF727C">
        <w:rPr>
          <w:rFonts w:ascii="Garamond" w:eastAsia="Times New Roman" w:hAnsi="Garamond" w:cs="Times New Roman"/>
          <w:color w:val="000000"/>
          <w:sz w:val="24"/>
          <w:szCs w:val="24"/>
          <w:shd w:val="clear" w:color="auto" w:fill="FFFFFF"/>
          <w:lang w:eastAsia="en-GB"/>
        </w:rPr>
        <w:t>,</w:t>
      </w:r>
      <w:r w:rsidRPr="005D086E">
        <w:rPr>
          <w:rFonts w:ascii="Garamond" w:eastAsia="Times New Roman" w:hAnsi="Garamond" w:cs="Times New Roman"/>
          <w:color w:val="000000"/>
          <w:sz w:val="24"/>
          <w:szCs w:val="24"/>
          <w:shd w:val="clear" w:color="auto" w:fill="FFFFFF"/>
          <w:lang w:eastAsia="en-GB"/>
        </w:rPr>
        <w:t xml:space="preserve"> </w:t>
      </w:r>
      <w:r w:rsidR="00AF727C">
        <w:rPr>
          <w:rFonts w:ascii="Garamond" w:eastAsia="Times New Roman" w:hAnsi="Garamond" w:cs="Times New Roman"/>
          <w:color w:val="000000"/>
          <w:sz w:val="24"/>
          <w:szCs w:val="24"/>
          <w:shd w:val="clear" w:color="auto" w:fill="FFFFFF"/>
          <w:lang w:eastAsia="en-GB"/>
        </w:rPr>
        <w:t>Sophie</w:t>
      </w:r>
      <w:r w:rsidRPr="005D086E">
        <w:rPr>
          <w:rFonts w:ascii="Garamond" w:eastAsia="Times New Roman" w:hAnsi="Garamond" w:cs="Times New Roman"/>
          <w:color w:val="000000"/>
          <w:sz w:val="24"/>
          <w:szCs w:val="24"/>
          <w:shd w:val="clear" w:color="auto" w:fill="FFFFFF"/>
          <w:lang w:eastAsia="en-GB"/>
        </w:rPr>
        <w:t xml:space="preserve"> 2011) or “continue where Wilberforce/Clarkson left off” (interview Fountain, 2011; Chalke, 2009).</w:t>
      </w:r>
      <w:r w:rsidRPr="005D086E">
        <w:rPr>
          <w:rFonts w:ascii="Garamond" w:hAnsi="Garamond" w:cs="Times New Roman"/>
          <w:sz w:val="24"/>
          <w:szCs w:val="24"/>
        </w:rPr>
        <w:t xml:space="preserve"> Anti-trafficking a</w:t>
      </w:r>
      <w:r>
        <w:rPr>
          <w:rFonts w:ascii="Garamond" w:hAnsi="Garamond" w:cs="Times New Roman"/>
          <w:sz w:val="24"/>
          <w:szCs w:val="24"/>
        </w:rPr>
        <w:t>ctivism is historiciz</w:t>
      </w:r>
      <w:r w:rsidRPr="005D086E">
        <w:rPr>
          <w:rFonts w:ascii="Garamond" w:hAnsi="Garamond" w:cs="Times New Roman"/>
          <w:sz w:val="24"/>
          <w:szCs w:val="24"/>
        </w:rPr>
        <w:t>ed</w:t>
      </w:r>
      <w:r>
        <w:rPr>
          <w:rFonts w:ascii="Garamond" w:hAnsi="Garamond" w:cs="Times New Roman"/>
          <w:sz w:val="24"/>
          <w:szCs w:val="24"/>
        </w:rPr>
        <w:t xml:space="preserve"> </w:t>
      </w:r>
      <w:r w:rsidRPr="005D086E">
        <w:rPr>
          <w:rFonts w:ascii="Garamond" w:hAnsi="Garamond" w:cs="Times New Roman"/>
          <w:sz w:val="24"/>
          <w:szCs w:val="24"/>
        </w:rPr>
        <w:t xml:space="preserve">by STT on their website and in their </w:t>
      </w:r>
      <w:r w:rsidRPr="005D086E">
        <w:rPr>
          <w:rFonts w:ascii="Garamond" w:hAnsi="Garamond" w:cs="Times New Roman"/>
          <w:i/>
          <w:sz w:val="24"/>
          <w:szCs w:val="24"/>
        </w:rPr>
        <w:t xml:space="preserve">Stop The Traffik </w:t>
      </w:r>
      <w:r>
        <w:rPr>
          <w:rFonts w:ascii="Garamond" w:hAnsi="Garamond" w:cs="Times New Roman"/>
          <w:sz w:val="24"/>
          <w:szCs w:val="24"/>
        </w:rPr>
        <w:t xml:space="preserve">handbook </w:t>
      </w:r>
      <w:r w:rsidRPr="005D086E">
        <w:rPr>
          <w:rFonts w:ascii="Garamond" w:hAnsi="Garamond" w:cs="Times New Roman"/>
          <w:sz w:val="24"/>
          <w:szCs w:val="24"/>
        </w:rPr>
        <w:t>(2009)</w:t>
      </w:r>
      <w:r>
        <w:rPr>
          <w:rFonts w:ascii="Garamond" w:hAnsi="Garamond" w:cs="Times New Roman"/>
          <w:sz w:val="24"/>
          <w:szCs w:val="24"/>
        </w:rPr>
        <w:t>,</w:t>
      </w:r>
      <w:r w:rsidRPr="005D086E">
        <w:rPr>
          <w:rFonts w:ascii="Garamond" w:hAnsi="Garamond" w:cs="Times New Roman"/>
          <w:sz w:val="24"/>
          <w:szCs w:val="24"/>
        </w:rPr>
        <w:t xml:space="preserve"> specifically through reference to </w:t>
      </w:r>
      <w:r>
        <w:rPr>
          <w:rFonts w:ascii="Garamond" w:hAnsi="Garamond" w:cs="Times New Roman"/>
          <w:sz w:val="24"/>
          <w:szCs w:val="24"/>
        </w:rPr>
        <w:t>Wilberforce's</w:t>
      </w:r>
      <w:r w:rsidRPr="005D086E">
        <w:rPr>
          <w:rFonts w:ascii="Garamond" w:hAnsi="Garamond" w:cs="Times New Roman"/>
          <w:sz w:val="24"/>
          <w:szCs w:val="24"/>
        </w:rPr>
        <w:t xml:space="preserve"> British moral crusade of the 1790s, the abolition of the slave trade in 1807, and Henry Nevinson’s report of cocoa slavery on Sao Tome in 1905</w:t>
      </w:r>
      <w:r>
        <w:rPr>
          <w:rFonts w:ascii="Garamond" w:hAnsi="Garamond" w:cs="Times New Roman"/>
          <w:sz w:val="24"/>
          <w:szCs w:val="24"/>
        </w:rPr>
        <w:t xml:space="preserve">. </w:t>
      </w:r>
      <w:r w:rsidRPr="005D086E">
        <w:rPr>
          <w:rFonts w:ascii="Garamond" w:hAnsi="Garamond" w:cs="Times New Roman"/>
          <w:sz w:val="24"/>
          <w:szCs w:val="24"/>
        </w:rPr>
        <w:t xml:space="preserve">These markers from the long nineteenth century lend weight and legitimacy to STT’s chocolate activism, and they provide a range of motivations for </w:t>
      </w:r>
      <w:r>
        <w:rPr>
          <w:rFonts w:ascii="Garamond" w:hAnsi="Garamond" w:cs="Times New Roman"/>
          <w:sz w:val="24"/>
          <w:szCs w:val="24"/>
        </w:rPr>
        <w:t>engaging with anti-trafficking.</w:t>
      </w:r>
      <w:r w:rsidRPr="005D086E">
        <w:rPr>
          <w:rFonts w:ascii="Garamond" w:hAnsi="Garamond" w:cs="Times New Roman"/>
          <w:sz w:val="24"/>
          <w:szCs w:val="24"/>
        </w:rPr>
        <w:t xml:space="preserve"> While Wilberf</w:t>
      </w:r>
      <w:r>
        <w:rPr>
          <w:rFonts w:ascii="Garamond" w:hAnsi="Garamond" w:cs="Times New Roman"/>
          <w:sz w:val="24"/>
          <w:szCs w:val="24"/>
        </w:rPr>
        <w:t>orce and Clarkson have reputations sufficient to jog m</w:t>
      </w:r>
      <w:r w:rsidR="00410C58">
        <w:rPr>
          <w:rFonts w:ascii="Garamond" w:hAnsi="Garamond" w:cs="Times New Roman"/>
          <w:sz w:val="24"/>
          <w:szCs w:val="24"/>
        </w:rPr>
        <w:t xml:space="preserve">inds and sharpen associations, </w:t>
      </w:r>
      <w:r>
        <w:rPr>
          <w:rFonts w:ascii="Garamond" w:hAnsi="Garamond" w:cs="Times New Roman"/>
          <w:sz w:val="24"/>
          <w:szCs w:val="24"/>
        </w:rPr>
        <w:t>former slave</w:t>
      </w:r>
      <w:r w:rsidRPr="005D086E">
        <w:rPr>
          <w:rFonts w:ascii="Garamond" w:hAnsi="Garamond" w:cs="Times New Roman"/>
          <w:sz w:val="24"/>
          <w:szCs w:val="24"/>
        </w:rPr>
        <w:t xml:space="preserve"> a</w:t>
      </w:r>
      <w:r>
        <w:rPr>
          <w:rFonts w:ascii="Garamond" w:hAnsi="Garamond" w:cs="Times New Roman"/>
          <w:sz w:val="24"/>
          <w:szCs w:val="24"/>
        </w:rPr>
        <w:t xml:space="preserve">nd British citizen Oulohadah Equiano </w:t>
      </w:r>
      <w:r w:rsidRPr="005D086E">
        <w:rPr>
          <w:rFonts w:ascii="Garamond" w:hAnsi="Garamond" w:cs="Times New Roman"/>
          <w:sz w:val="24"/>
          <w:szCs w:val="24"/>
        </w:rPr>
        <w:t xml:space="preserve">or the French-Haitian Francois-Dominique Toussaint Louverture could have reasonably been memorialized </w:t>
      </w:r>
      <w:r>
        <w:rPr>
          <w:rFonts w:ascii="Garamond" w:hAnsi="Garamond" w:cs="Times New Roman"/>
          <w:sz w:val="24"/>
          <w:szCs w:val="24"/>
        </w:rPr>
        <w:t>too to</w:t>
      </w:r>
      <w:r w:rsidRPr="005D086E">
        <w:rPr>
          <w:rFonts w:ascii="Garamond" w:hAnsi="Garamond" w:cs="Times New Roman"/>
          <w:sz w:val="24"/>
          <w:szCs w:val="24"/>
        </w:rPr>
        <w:t xml:space="preserve"> give STT's historicizing a less nationalist aura, and to paint a less Eurocentric, patria</w:t>
      </w:r>
      <w:r>
        <w:rPr>
          <w:rFonts w:ascii="Garamond" w:hAnsi="Garamond" w:cs="Times New Roman"/>
          <w:sz w:val="24"/>
          <w:szCs w:val="24"/>
        </w:rPr>
        <w:t>rchal and white picture of anti</w:t>
      </w:r>
      <w:r w:rsidRPr="005D086E">
        <w:rPr>
          <w:rFonts w:ascii="Garamond" w:hAnsi="Garamond" w:cs="Times New Roman"/>
          <w:sz w:val="24"/>
          <w:szCs w:val="24"/>
        </w:rPr>
        <w:t>slavery activisms</w:t>
      </w:r>
      <w:r>
        <w:rPr>
          <w:rFonts w:ascii="Garamond" w:hAnsi="Garamond" w:cs="Times New Roman"/>
          <w:sz w:val="24"/>
          <w:szCs w:val="24"/>
        </w:rPr>
        <w:t>.</w:t>
      </w:r>
      <w:r w:rsidRPr="005D086E">
        <w:rPr>
          <w:rStyle w:val="FootnoteReference"/>
          <w:rFonts w:ascii="Garamond" w:hAnsi="Garamond"/>
          <w:sz w:val="24"/>
          <w:szCs w:val="24"/>
        </w:rPr>
        <w:footnoteReference w:id="111"/>
      </w:r>
      <w:r>
        <w:rPr>
          <w:rFonts w:ascii="Garamond" w:hAnsi="Garamond" w:cs="Times New Roman"/>
          <w:sz w:val="24"/>
          <w:szCs w:val="24"/>
        </w:rPr>
        <w:t xml:space="preserve"> </w:t>
      </w:r>
      <w:r w:rsidRPr="005D086E">
        <w:rPr>
          <w:rFonts w:ascii="Garamond" w:hAnsi="Garamond" w:cs="Times New Roman"/>
          <w:sz w:val="24"/>
          <w:szCs w:val="24"/>
        </w:rPr>
        <w:t>Abolitionist and Free Produce activists Mary Birkett</w:t>
      </w:r>
      <w:r w:rsidRPr="005D086E">
        <w:rPr>
          <w:rStyle w:val="FootnoteReference"/>
          <w:rFonts w:ascii="Garamond" w:hAnsi="Garamond"/>
          <w:sz w:val="24"/>
          <w:szCs w:val="24"/>
        </w:rPr>
        <w:footnoteReference w:id="112"/>
      </w:r>
      <w:r w:rsidRPr="005D086E">
        <w:rPr>
          <w:rFonts w:ascii="Garamond" w:hAnsi="Garamond" w:cs="Times New Roman"/>
          <w:sz w:val="24"/>
          <w:szCs w:val="24"/>
        </w:rPr>
        <w:t xml:space="preserve"> and Elizabeth Heyrick</w:t>
      </w:r>
      <w:r w:rsidRPr="005D086E">
        <w:rPr>
          <w:rStyle w:val="FootnoteReference"/>
          <w:rFonts w:ascii="Garamond" w:hAnsi="Garamond"/>
          <w:sz w:val="24"/>
          <w:szCs w:val="24"/>
        </w:rPr>
        <w:footnoteReference w:id="113"/>
      </w:r>
      <w:r w:rsidRPr="005D086E">
        <w:rPr>
          <w:rFonts w:ascii="Garamond" w:hAnsi="Garamond" w:cs="Times New Roman"/>
          <w:sz w:val="24"/>
          <w:szCs w:val="24"/>
        </w:rPr>
        <w:t xml:space="preserve"> could equally be historicized for their work in politicizing female consumers of </w:t>
      </w:r>
      <w:r>
        <w:rPr>
          <w:rFonts w:ascii="Garamond" w:hAnsi="Garamond" w:cs="Times New Roman"/>
          <w:sz w:val="24"/>
          <w:szCs w:val="24"/>
        </w:rPr>
        <w:lastRenderedPageBreak/>
        <w:t>sugar and for challenging the self-</w:t>
      </w:r>
      <w:r w:rsidRPr="005D086E">
        <w:rPr>
          <w:rFonts w:ascii="Garamond" w:hAnsi="Garamond" w:cs="Times New Roman"/>
          <w:sz w:val="24"/>
          <w:szCs w:val="24"/>
        </w:rPr>
        <w:t>interested and p</w:t>
      </w:r>
      <w:r>
        <w:rPr>
          <w:rFonts w:ascii="Garamond" w:hAnsi="Garamond" w:cs="Times New Roman"/>
          <w:sz w:val="24"/>
          <w:szCs w:val="24"/>
        </w:rPr>
        <w:t>atriarchal elements of the anti</w:t>
      </w:r>
      <w:r w:rsidRPr="005D086E">
        <w:rPr>
          <w:rFonts w:ascii="Garamond" w:hAnsi="Garamond" w:cs="Times New Roman"/>
          <w:sz w:val="24"/>
          <w:szCs w:val="24"/>
        </w:rPr>
        <w:t xml:space="preserve">slavery </w:t>
      </w:r>
      <w:r>
        <w:rPr>
          <w:rFonts w:ascii="Garamond" w:hAnsi="Garamond" w:cs="Times New Roman"/>
          <w:sz w:val="24"/>
          <w:szCs w:val="24"/>
        </w:rPr>
        <w:t>lobby. A white and n</w:t>
      </w:r>
      <w:r w:rsidRPr="005D086E">
        <w:rPr>
          <w:rFonts w:ascii="Garamond" w:hAnsi="Garamond" w:cs="Times New Roman"/>
          <w:sz w:val="24"/>
          <w:szCs w:val="24"/>
        </w:rPr>
        <w:t>ationalis</w:t>
      </w:r>
      <w:r>
        <w:rPr>
          <w:rFonts w:ascii="Garamond" w:hAnsi="Garamond" w:cs="Times New Roman"/>
          <w:sz w:val="24"/>
          <w:szCs w:val="24"/>
        </w:rPr>
        <w:t>t discourse of anti-trafficking</w:t>
      </w:r>
      <w:r w:rsidRPr="005D086E">
        <w:rPr>
          <w:rFonts w:ascii="Garamond" w:hAnsi="Garamond" w:cs="Times New Roman"/>
          <w:sz w:val="24"/>
          <w:szCs w:val="24"/>
        </w:rPr>
        <w:t xml:space="preserve"> is reinforced by STT’s foundation on the bi-centenary of the British abolition of the slave trade.  The date is used as a call to arms for a parallel moral campaign, but focused on new threats and contexts:</w:t>
      </w:r>
    </w:p>
    <w:p w:rsidR="00472B3A" w:rsidRPr="005D086E" w:rsidRDefault="00472B3A" w:rsidP="00410C58">
      <w:pPr>
        <w:spacing w:after="0" w:line="360" w:lineRule="auto"/>
        <w:jc w:val="both"/>
        <w:rPr>
          <w:rFonts w:ascii="Garamond" w:hAnsi="Garamond" w:cs="Times New Roman"/>
          <w:sz w:val="24"/>
          <w:szCs w:val="24"/>
        </w:rPr>
      </w:pPr>
    </w:p>
    <w:p w:rsidR="00410C58" w:rsidRDefault="00472B3A" w:rsidP="00410C58">
      <w:pPr>
        <w:spacing w:after="0" w:line="360" w:lineRule="auto"/>
        <w:ind w:left="284" w:right="284"/>
        <w:jc w:val="both"/>
        <w:rPr>
          <w:rFonts w:ascii="Garamond" w:eastAsia="Times New Roman" w:hAnsi="Garamond" w:cs="Times New Roman"/>
          <w:color w:val="000000"/>
          <w:shd w:val="clear" w:color="auto" w:fill="FFFFFF"/>
          <w:lang w:eastAsia="en-GB"/>
        </w:rPr>
      </w:pPr>
      <w:r w:rsidRPr="005D086E">
        <w:rPr>
          <w:rFonts w:ascii="Garamond" w:eastAsia="Times New Roman" w:hAnsi="Garamond" w:cs="Times New Roman"/>
          <w:color w:val="000000"/>
          <w:shd w:val="clear" w:color="auto" w:fill="FFFFFF"/>
          <w:lang w:eastAsia="en-GB"/>
        </w:rPr>
        <w:t>Stop the Traffik are always inspired by the work of those who in the past have fought the fight against slavery.  Their values, character, principles and struggles.  But there is also a new time, a unique place in history, a time with new factors and forces that are contributing to the crime today. We need to continually act as translators of the story of what is actually going on and create way</w:t>
      </w:r>
      <w:r>
        <w:rPr>
          <w:rFonts w:ascii="Garamond" w:eastAsia="Times New Roman" w:hAnsi="Garamond" w:cs="Times New Roman"/>
          <w:color w:val="000000"/>
          <w:shd w:val="clear" w:color="auto" w:fill="FFFFFF"/>
          <w:lang w:eastAsia="en-GB"/>
        </w:rPr>
        <w:t>s t</w:t>
      </w:r>
      <w:r w:rsidR="00410C58">
        <w:rPr>
          <w:rFonts w:ascii="Garamond" w:eastAsia="Times New Roman" w:hAnsi="Garamond" w:cs="Times New Roman"/>
          <w:color w:val="000000"/>
          <w:shd w:val="clear" w:color="auto" w:fill="FFFFFF"/>
          <w:lang w:eastAsia="en-GB"/>
        </w:rPr>
        <w:t>o empower and call to action. (I</w:t>
      </w:r>
      <w:r w:rsidRPr="005D086E">
        <w:rPr>
          <w:rFonts w:ascii="Garamond" w:eastAsia="Times New Roman" w:hAnsi="Garamond" w:cs="Times New Roman"/>
          <w:color w:val="000000"/>
          <w:shd w:val="clear" w:color="auto" w:fill="FFFFFF"/>
          <w:lang w:eastAsia="en-GB"/>
        </w:rPr>
        <w:t>nterview Dearnley 2011, CEO</w:t>
      </w:r>
      <w:r>
        <w:rPr>
          <w:rFonts w:ascii="Garamond" w:eastAsia="Times New Roman" w:hAnsi="Garamond" w:cs="Times New Roman"/>
          <w:color w:val="000000"/>
          <w:shd w:val="clear" w:color="auto" w:fill="FFFFFF"/>
          <w:lang w:eastAsia="en-GB"/>
        </w:rPr>
        <w:t xml:space="preserve"> of STT)</w:t>
      </w:r>
    </w:p>
    <w:p w:rsidR="00472B3A" w:rsidRPr="005D086E" w:rsidRDefault="00472B3A" w:rsidP="00410C58">
      <w:pPr>
        <w:spacing w:after="0" w:line="360" w:lineRule="auto"/>
        <w:ind w:left="284" w:right="284"/>
        <w:jc w:val="both"/>
        <w:rPr>
          <w:rFonts w:ascii="Garamond" w:eastAsia="Times New Roman" w:hAnsi="Garamond" w:cs="Times New Roman"/>
          <w:color w:val="000000"/>
          <w:shd w:val="clear" w:color="auto" w:fill="FFFFFF"/>
          <w:lang w:eastAsia="en-GB"/>
        </w:rPr>
      </w:pPr>
    </w:p>
    <w:p w:rsidR="00410C58" w:rsidRDefault="00472B3A" w:rsidP="00410C58">
      <w:pPr>
        <w:spacing w:after="0" w:line="360" w:lineRule="auto"/>
        <w:jc w:val="both"/>
        <w:rPr>
          <w:rFonts w:ascii="Garamond" w:hAnsi="Garamond" w:cs="Times New Roman"/>
          <w:sz w:val="24"/>
          <w:szCs w:val="24"/>
        </w:rPr>
      </w:pPr>
      <w:r w:rsidRPr="005D086E">
        <w:rPr>
          <w:rFonts w:ascii="Garamond" w:hAnsi="Garamond" w:cs="Times New Roman"/>
          <w:sz w:val="24"/>
          <w:szCs w:val="24"/>
        </w:rPr>
        <w:t>Anti-trafficking literature often links old forms of slavery to new forms of trafficking to make the point that work is left to be done (</w:t>
      </w:r>
      <w:r>
        <w:rPr>
          <w:rFonts w:ascii="Garamond" w:hAnsi="Garamond" w:cs="Times New Roman"/>
          <w:sz w:val="24"/>
          <w:szCs w:val="24"/>
        </w:rPr>
        <w:t xml:space="preserve">Quirk, 2010). Dearnley's comments above strikingly embody </w:t>
      </w:r>
      <w:r w:rsidRPr="005D086E">
        <w:rPr>
          <w:rFonts w:ascii="Garamond" w:hAnsi="Garamond" w:cs="Times New Roman"/>
          <w:sz w:val="24"/>
          <w:szCs w:val="24"/>
        </w:rPr>
        <w:t>how STT transfer the spirit, passion and zeal of the abolitionis</w:t>
      </w:r>
      <w:r>
        <w:rPr>
          <w:rFonts w:ascii="Garamond" w:hAnsi="Garamond" w:cs="Times New Roman"/>
          <w:sz w:val="24"/>
          <w:szCs w:val="24"/>
        </w:rPr>
        <w:t>ts into a packaged 'chocolate ethics'</w:t>
      </w:r>
      <w:r w:rsidRPr="005D086E">
        <w:rPr>
          <w:rFonts w:ascii="Garamond" w:hAnsi="Garamond" w:cs="Times New Roman"/>
          <w:sz w:val="24"/>
          <w:szCs w:val="24"/>
        </w:rPr>
        <w:t xml:space="preserve"> available to activists, consumers, sponsors and companies who buy into anti-trafficking and </w:t>
      </w:r>
      <w:r>
        <w:rPr>
          <w:rFonts w:ascii="Garamond" w:hAnsi="Garamond" w:cs="Times New Roman"/>
          <w:sz w:val="24"/>
          <w:szCs w:val="24"/>
        </w:rPr>
        <w:t xml:space="preserve">fair trade. The reification of the </w:t>
      </w:r>
      <w:r w:rsidRPr="005D086E">
        <w:rPr>
          <w:rFonts w:ascii="Garamond" w:hAnsi="Garamond" w:cs="Times New Roman"/>
          <w:sz w:val="24"/>
          <w:szCs w:val="24"/>
        </w:rPr>
        <w:t>British aboli</w:t>
      </w:r>
      <w:r>
        <w:rPr>
          <w:rFonts w:ascii="Garamond" w:hAnsi="Garamond" w:cs="Times New Roman"/>
          <w:sz w:val="24"/>
          <w:szCs w:val="24"/>
        </w:rPr>
        <w:t>tionists William Wilberforce and (to a lesser extent) Thomas Clarkson,</w:t>
      </w:r>
      <w:r w:rsidRPr="005D086E">
        <w:rPr>
          <w:rFonts w:ascii="Garamond" w:hAnsi="Garamond" w:cs="Times New Roman"/>
          <w:sz w:val="24"/>
          <w:szCs w:val="24"/>
        </w:rPr>
        <w:t xml:space="preserve"> </w:t>
      </w:r>
      <w:r>
        <w:rPr>
          <w:rFonts w:ascii="Garamond" w:hAnsi="Garamond" w:cs="Times New Roman"/>
          <w:sz w:val="24"/>
          <w:szCs w:val="24"/>
        </w:rPr>
        <w:t>enables</w:t>
      </w:r>
      <w:r w:rsidRPr="005D086E">
        <w:rPr>
          <w:rFonts w:ascii="Garamond" w:hAnsi="Garamond" w:cs="Times New Roman"/>
          <w:sz w:val="24"/>
          <w:szCs w:val="24"/>
        </w:rPr>
        <w:t xml:space="preserve"> a motivational toolkit which</w:t>
      </w:r>
      <w:r>
        <w:rPr>
          <w:rFonts w:ascii="Garamond" w:hAnsi="Garamond" w:cs="Times New Roman"/>
          <w:sz w:val="24"/>
          <w:szCs w:val="24"/>
        </w:rPr>
        <w:t>,</w:t>
      </w:r>
      <w:r w:rsidRPr="005D086E">
        <w:rPr>
          <w:rFonts w:ascii="Garamond" w:hAnsi="Garamond" w:cs="Times New Roman"/>
          <w:sz w:val="24"/>
          <w:szCs w:val="24"/>
        </w:rPr>
        <w:t xml:space="preserve"> when combined with the urgent problem of the continuation of 'illegal' forms</w:t>
      </w:r>
      <w:r>
        <w:rPr>
          <w:rFonts w:ascii="Garamond" w:hAnsi="Garamond" w:cs="Times New Roman"/>
          <w:sz w:val="24"/>
          <w:szCs w:val="24"/>
        </w:rPr>
        <w:t xml:space="preserve"> of slavery (constituting 'deviant</w:t>
      </w:r>
      <w:r w:rsidRPr="005D086E">
        <w:rPr>
          <w:rFonts w:ascii="Garamond" w:hAnsi="Garamond" w:cs="Times New Roman"/>
          <w:sz w:val="24"/>
          <w:szCs w:val="24"/>
        </w:rPr>
        <w:t>', or 'shadow' economies), can be condensed into a simple message</w:t>
      </w:r>
      <w:r>
        <w:rPr>
          <w:rFonts w:ascii="Garamond" w:hAnsi="Garamond" w:cs="Times New Roman"/>
          <w:sz w:val="24"/>
          <w:szCs w:val="24"/>
        </w:rPr>
        <w:t>,</w:t>
      </w:r>
      <w:r w:rsidRPr="005D086E">
        <w:rPr>
          <w:rFonts w:ascii="Garamond" w:hAnsi="Garamond" w:cs="Times New Roman"/>
          <w:sz w:val="24"/>
          <w:szCs w:val="24"/>
        </w:rPr>
        <w:t xml:space="preserve"> for</w:t>
      </w:r>
      <w:r>
        <w:rPr>
          <w:rFonts w:ascii="Garamond" w:hAnsi="Garamond" w:cs="Times New Roman"/>
          <w:sz w:val="24"/>
          <w:szCs w:val="24"/>
        </w:rPr>
        <w:t xml:space="preserve"> example in</w:t>
      </w:r>
      <w:r w:rsidRPr="005D086E">
        <w:rPr>
          <w:rFonts w:ascii="Garamond" w:hAnsi="Garamond" w:cs="Times New Roman"/>
          <w:sz w:val="24"/>
          <w:szCs w:val="24"/>
        </w:rPr>
        <w:t xml:space="preserve"> school projects:</w:t>
      </w:r>
    </w:p>
    <w:p w:rsidR="00472B3A" w:rsidRPr="005D086E" w:rsidRDefault="00472B3A" w:rsidP="00410C58">
      <w:pPr>
        <w:spacing w:after="0" w:line="360" w:lineRule="auto"/>
        <w:jc w:val="both"/>
        <w:rPr>
          <w:rFonts w:ascii="Garamond" w:hAnsi="Garamond" w:cs="Times New Roman"/>
          <w:sz w:val="24"/>
          <w:szCs w:val="24"/>
        </w:rPr>
      </w:pPr>
    </w:p>
    <w:p w:rsidR="00472B3A" w:rsidRPr="005D086E" w:rsidRDefault="00472B3A" w:rsidP="00472B3A">
      <w:pPr>
        <w:tabs>
          <w:tab w:val="center" w:pos="4513"/>
        </w:tabs>
        <w:ind w:left="284" w:right="284"/>
        <w:rPr>
          <w:rFonts w:ascii="Garamond" w:hAnsi="Garamond" w:cs="Times New Roman"/>
        </w:rPr>
      </w:pPr>
      <w:r>
        <w:rPr>
          <w:rFonts w:ascii="Garamond" w:hAnsi="Garamond" w:cs="Times New Roman"/>
        </w:rPr>
        <w:t>HUGH: Why i</w:t>
      </w:r>
      <w:r w:rsidRPr="005D086E">
        <w:rPr>
          <w:rFonts w:ascii="Garamond" w:hAnsi="Garamond" w:cs="Times New Roman"/>
        </w:rPr>
        <w:t>s the abolitionist movement a good way of get</w:t>
      </w:r>
      <w:r>
        <w:rPr>
          <w:rFonts w:ascii="Garamond" w:hAnsi="Garamond" w:cs="Times New Roman"/>
        </w:rPr>
        <w:t>ting across the message of anti</w:t>
      </w:r>
      <w:r w:rsidRPr="005D086E">
        <w:rPr>
          <w:rFonts w:ascii="Garamond" w:hAnsi="Garamond" w:cs="Times New Roman"/>
        </w:rPr>
        <w:t>slavery for children?</w:t>
      </w:r>
    </w:p>
    <w:p w:rsidR="00B002F4" w:rsidRDefault="00472B3A" w:rsidP="00B002F4">
      <w:pPr>
        <w:spacing w:after="0" w:line="360" w:lineRule="auto"/>
        <w:ind w:left="284" w:right="284"/>
        <w:jc w:val="both"/>
        <w:rPr>
          <w:rFonts w:ascii="Garamond" w:hAnsi="Garamond" w:cs="Times New Roman"/>
        </w:rPr>
      </w:pPr>
      <w:r>
        <w:rPr>
          <w:rFonts w:ascii="Garamond" w:hAnsi="Garamond" w:cs="Times New Roman"/>
        </w:rPr>
        <w:t>ANTONIE: I</w:t>
      </w:r>
      <w:r w:rsidRPr="005D086E">
        <w:rPr>
          <w:rFonts w:ascii="Garamond" w:hAnsi="Garamond" w:cs="Times New Roman"/>
        </w:rPr>
        <w:t>n essence it was the first grassroots campaign. And a very successful one, though we didn’t finish the business then, we’ve not abolished slavery, we’ve just outlawed it. We made it illegal but it’s not illegal to make a lot of money off slavery. And a lot of people are</w:t>
      </w:r>
      <w:r>
        <w:rPr>
          <w:rFonts w:ascii="Garamond" w:hAnsi="Garamond" w:cs="Times New Roman"/>
        </w:rPr>
        <w:t xml:space="preserve"> still making money off slavery</w:t>
      </w:r>
      <w:r w:rsidRPr="005D086E">
        <w:rPr>
          <w:rFonts w:ascii="Garamond" w:hAnsi="Garamond" w:cs="Times New Roman"/>
        </w:rPr>
        <w:t xml:space="preserve">. </w:t>
      </w:r>
      <w:r w:rsidR="00B002F4">
        <w:rPr>
          <w:rFonts w:ascii="Garamond" w:hAnsi="Garamond" w:cs="Times New Roman"/>
        </w:rPr>
        <w:t xml:space="preserve">(Interview Fountain </w:t>
      </w:r>
      <w:r w:rsidR="00410C58">
        <w:rPr>
          <w:rFonts w:ascii="Garamond" w:hAnsi="Garamond" w:cs="Times New Roman"/>
        </w:rPr>
        <w:t>2011)</w:t>
      </w:r>
    </w:p>
    <w:p w:rsidR="00410C58" w:rsidRDefault="00410C58" w:rsidP="00B002F4">
      <w:pPr>
        <w:spacing w:after="0" w:line="360" w:lineRule="auto"/>
        <w:ind w:left="284" w:right="284"/>
        <w:jc w:val="both"/>
        <w:rPr>
          <w:rFonts w:ascii="Garamond" w:hAnsi="Garamond" w:cs="Times New Roman"/>
        </w:rPr>
      </w:pPr>
    </w:p>
    <w:p w:rsidR="00410C58" w:rsidRDefault="00472B3A" w:rsidP="00B002F4">
      <w:pPr>
        <w:spacing w:after="0" w:line="360" w:lineRule="auto"/>
        <w:ind w:right="284"/>
        <w:jc w:val="both"/>
        <w:rPr>
          <w:rFonts w:ascii="Garamond" w:hAnsi="Garamond" w:cs="Times New Roman"/>
          <w:sz w:val="24"/>
          <w:szCs w:val="24"/>
        </w:rPr>
      </w:pPr>
      <w:r>
        <w:rPr>
          <w:rFonts w:ascii="Garamond" w:hAnsi="Garamond" w:cs="Times New Roman"/>
          <w:sz w:val="24"/>
          <w:szCs w:val="24"/>
        </w:rPr>
        <w:t xml:space="preserve">Participation </w:t>
      </w:r>
      <w:r w:rsidRPr="005D086E">
        <w:rPr>
          <w:rFonts w:ascii="Garamond" w:hAnsi="Garamond" w:cs="Times New Roman"/>
          <w:sz w:val="24"/>
          <w:szCs w:val="24"/>
        </w:rPr>
        <w:t>in STT's</w:t>
      </w:r>
      <w:r>
        <w:rPr>
          <w:rFonts w:ascii="Garamond" w:hAnsi="Garamond" w:cs="Times New Roman"/>
          <w:sz w:val="24"/>
          <w:szCs w:val="24"/>
        </w:rPr>
        <w:t xml:space="preserve"> chocolate campaigns encourages self-</w:t>
      </w:r>
      <w:r w:rsidRPr="005D086E">
        <w:rPr>
          <w:rFonts w:ascii="Garamond" w:hAnsi="Garamond" w:cs="Times New Roman"/>
          <w:sz w:val="24"/>
          <w:szCs w:val="24"/>
        </w:rPr>
        <w:t>ide</w:t>
      </w:r>
      <w:r>
        <w:rPr>
          <w:rFonts w:ascii="Garamond" w:hAnsi="Garamond" w:cs="Times New Roman"/>
          <w:sz w:val="24"/>
          <w:szCs w:val="24"/>
        </w:rPr>
        <w:t>ntification with the stylized pioneers of consumer</w:t>
      </w:r>
      <w:r w:rsidRPr="005D086E">
        <w:rPr>
          <w:rFonts w:ascii="Garamond" w:hAnsi="Garamond" w:cs="Times New Roman"/>
          <w:sz w:val="24"/>
          <w:szCs w:val="24"/>
        </w:rPr>
        <w:t xml:space="preserve"> activism of the late eighteenth century; '</w:t>
      </w:r>
      <w:r w:rsidRPr="005D086E">
        <w:rPr>
          <w:rFonts w:ascii="Garamond" w:hAnsi="Garamond" w:cs="Times New Roman"/>
          <w:i/>
          <w:sz w:val="24"/>
          <w:szCs w:val="24"/>
        </w:rPr>
        <w:t>we</w:t>
      </w:r>
      <w:r w:rsidRPr="005D086E">
        <w:rPr>
          <w:rFonts w:ascii="Garamond" w:hAnsi="Garamond" w:cs="Times New Roman"/>
          <w:sz w:val="24"/>
          <w:szCs w:val="24"/>
        </w:rPr>
        <w:t xml:space="preserve"> didn't fi</w:t>
      </w:r>
      <w:r>
        <w:rPr>
          <w:rFonts w:ascii="Garamond" w:hAnsi="Garamond" w:cs="Times New Roman"/>
          <w:sz w:val="24"/>
          <w:szCs w:val="24"/>
        </w:rPr>
        <w:t xml:space="preserve">nish the business then' (interview Fountain, 2011). STT's anti-trafficking imagination is tinged with nostalgia for a Wilberforcian morality. While STT assert that slaveries and the solutions for contesting their existence are protean and historically variable, the 'clean hands' (Huzzey, 2012) rhetoric of eighteenth century abolitionism, and the </w:t>
      </w:r>
      <w:r>
        <w:rPr>
          <w:rFonts w:ascii="Garamond" w:hAnsi="Garamond" w:cs="Times New Roman"/>
          <w:sz w:val="24"/>
          <w:szCs w:val="24"/>
        </w:rPr>
        <w:lastRenderedPageBreak/>
        <w:t xml:space="preserve">character, spirit and zeal of specific abolitionists are romanticized as morally pure articulations and embodiments of activism. Through showings of the film </w:t>
      </w:r>
      <w:r>
        <w:rPr>
          <w:rFonts w:ascii="Garamond" w:hAnsi="Garamond" w:cs="Times New Roman"/>
          <w:i/>
          <w:sz w:val="24"/>
          <w:szCs w:val="24"/>
        </w:rPr>
        <w:t>Amazing</w:t>
      </w:r>
      <w:r w:rsidRPr="008212D4">
        <w:rPr>
          <w:rFonts w:ascii="Garamond" w:hAnsi="Garamond" w:cs="Times New Roman"/>
          <w:i/>
          <w:sz w:val="24"/>
          <w:szCs w:val="24"/>
        </w:rPr>
        <w:t xml:space="preserve"> Grace</w:t>
      </w:r>
      <w:r>
        <w:rPr>
          <w:rFonts w:ascii="Garamond" w:hAnsi="Garamond" w:cs="Times New Roman"/>
          <w:i/>
          <w:sz w:val="24"/>
          <w:szCs w:val="24"/>
        </w:rPr>
        <w:t xml:space="preserve"> </w:t>
      </w:r>
      <w:r>
        <w:rPr>
          <w:rFonts w:ascii="Garamond" w:hAnsi="Garamond" w:cs="Times New Roman"/>
          <w:sz w:val="24"/>
          <w:szCs w:val="24"/>
        </w:rPr>
        <w:t>in schools, community centres and churches</w:t>
      </w:r>
      <w:r>
        <w:rPr>
          <w:rFonts w:ascii="Garamond" w:hAnsi="Garamond" w:cs="Times New Roman"/>
          <w:i/>
          <w:sz w:val="24"/>
          <w:szCs w:val="24"/>
        </w:rPr>
        <w:t>,</w:t>
      </w:r>
      <w:r>
        <w:rPr>
          <w:rFonts w:ascii="Garamond" w:hAnsi="Garamond" w:cs="Times New Roman"/>
          <w:sz w:val="24"/>
          <w:szCs w:val="24"/>
        </w:rPr>
        <w:t xml:space="preserve"> STT introduce Wilberforce as the heroic character of British abolitionism:</w:t>
      </w:r>
    </w:p>
    <w:p w:rsidR="00472B3A" w:rsidRPr="00410C58" w:rsidRDefault="00472B3A" w:rsidP="00410C58">
      <w:pPr>
        <w:spacing w:after="0" w:line="360" w:lineRule="auto"/>
        <w:ind w:right="284"/>
        <w:jc w:val="both"/>
        <w:rPr>
          <w:rFonts w:ascii="Garamond" w:hAnsi="Garamond" w:cs="Times New Roman"/>
        </w:rPr>
      </w:pPr>
    </w:p>
    <w:p w:rsidR="00410C58" w:rsidRDefault="00472B3A" w:rsidP="00410C58">
      <w:pPr>
        <w:spacing w:after="0" w:line="360" w:lineRule="auto"/>
        <w:ind w:left="284" w:right="284"/>
        <w:jc w:val="both"/>
        <w:rPr>
          <w:rFonts w:ascii="Garamond" w:hAnsi="Garamond" w:cs="Times New Roman"/>
        </w:rPr>
      </w:pPr>
      <w:r w:rsidRPr="0062074D">
        <w:rPr>
          <w:rFonts w:ascii="Garamond" w:hAnsi="Garamond" w:cs="Times New Roman"/>
        </w:rPr>
        <w:t>With a movie called Amazing Grace, you know there are going to be some messages there don’t you. You have to find a medium which is not very offensive, for high school kids, it’s a family movie. It's on Wilberfor</w:t>
      </w:r>
      <w:r>
        <w:rPr>
          <w:rFonts w:ascii="Garamond" w:hAnsi="Garamond" w:cs="Times New Roman"/>
        </w:rPr>
        <w:t>ce and the abolition of slavery. I</w:t>
      </w:r>
      <w:r w:rsidRPr="0062074D">
        <w:rPr>
          <w:rFonts w:ascii="Garamond" w:hAnsi="Garamond" w:cs="Times New Roman"/>
        </w:rPr>
        <w:t>n Holland nobody knows him, for most of the kids it’s a new chapter, it’s a new story for them.</w:t>
      </w:r>
      <w:r w:rsidR="00B002F4">
        <w:rPr>
          <w:rFonts w:ascii="Garamond" w:hAnsi="Garamond" w:cs="Times New Roman"/>
        </w:rPr>
        <w:t xml:space="preserve"> (I</w:t>
      </w:r>
      <w:r>
        <w:rPr>
          <w:rFonts w:ascii="Garamond" w:hAnsi="Garamond" w:cs="Times New Roman"/>
        </w:rPr>
        <w:t>nterview</w:t>
      </w:r>
      <w:r w:rsidR="00B002F4">
        <w:rPr>
          <w:rFonts w:ascii="Garamond" w:hAnsi="Garamond" w:cs="Times New Roman"/>
        </w:rPr>
        <w:t xml:space="preserve">, Fountain </w:t>
      </w:r>
      <w:r>
        <w:rPr>
          <w:rFonts w:ascii="Garamond" w:hAnsi="Garamond" w:cs="Times New Roman"/>
        </w:rPr>
        <w:t>2011)</w:t>
      </w:r>
    </w:p>
    <w:p w:rsidR="00472B3A" w:rsidRPr="0062074D" w:rsidRDefault="00472B3A" w:rsidP="00410C58">
      <w:pPr>
        <w:spacing w:after="0" w:line="360" w:lineRule="auto"/>
        <w:ind w:left="284" w:right="284"/>
        <w:jc w:val="both"/>
        <w:rPr>
          <w:rFonts w:ascii="Garamond" w:hAnsi="Garamond"/>
          <w:color w:val="000000"/>
          <w:shd w:val="clear" w:color="auto" w:fill="FFFFFF"/>
        </w:rPr>
      </w:pPr>
    </w:p>
    <w:p w:rsidR="00410C58" w:rsidRDefault="00472B3A" w:rsidP="00410C58">
      <w:pPr>
        <w:spacing w:after="0" w:line="360" w:lineRule="auto"/>
        <w:jc w:val="both"/>
        <w:rPr>
          <w:rFonts w:ascii="Garamond" w:hAnsi="Garamond" w:cs="Times New Roman"/>
          <w:sz w:val="24"/>
          <w:szCs w:val="24"/>
        </w:rPr>
      </w:pPr>
      <w:r>
        <w:rPr>
          <w:rFonts w:ascii="Garamond" w:hAnsi="Garamond" w:cs="Times New Roman"/>
          <w:sz w:val="24"/>
          <w:szCs w:val="24"/>
        </w:rPr>
        <w:t xml:space="preserve">A 2007 review of the film on suggests: </w:t>
      </w:r>
    </w:p>
    <w:p w:rsidR="00472B3A" w:rsidRDefault="00472B3A" w:rsidP="00410C58">
      <w:pPr>
        <w:spacing w:after="0" w:line="360" w:lineRule="auto"/>
        <w:jc w:val="both"/>
        <w:rPr>
          <w:rFonts w:ascii="Garamond" w:hAnsi="Garamond" w:cs="Times New Roman"/>
          <w:sz w:val="24"/>
          <w:szCs w:val="24"/>
        </w:rPr>
      </w:pPr>
    </w:p>
    <w:p w:rsidR="00410C58" w:rsidRDefault="00472B3A" w:rsidP="00410C58">
      <w:pPr>
        <w:spacing w:after="0" w:line="360" w:lineRule="auto"/>
        <w:ind w:left="284" w:right="284"/>
        <w:jc w:val="both"/>
        <w:rPr>
          <w:rFonts w:ascii="Garamond" w:hAnsi="Garamond" w:cs="Arial"/>
          <w:color w:val="000000"/>
          <w:shd w:val="clear" w:color="auto" w:fill="FFFFFF"/>
        </w:rPr>
      </w:pPr>
      <w:r w:rsidRPr="00AE2A7F">
        <w:rPr>
          <w:rFonts w:ascii="Garamond" w:hAnsi="Garamond" w:cs="Arial"/>
          <w:color w:val="000000"/>
          <w:shd w:val="clear" w:color="auto" w:fill="FFFFFF"/>
        </w:rPr>
        <w:t>Wilberforce is venerated as a flawless character throughout</w:t>
      </w:r>
      <w:r w:rsidRPr="00AE2A7F">
        <w:rPr>
          <w:rStyle w:val="apple-converted-space"/>
          <w:rFonts w:ascii="Garamond" w:hAnsi="Garamond" w:cs="Arial"/>
          <w:color w:val="000000"/>
          <w:shd w:val="clear" w:color="auto" w:fill="FFFFFF"/>
        </w:rPr>
        <w:t> </w:t>
      </w:r>
      <w:r w:rsidRPr="00AE2A7F">
        <w:rPr>
          <w:rStyle w:val="HTMLCite"/>
          <w:rFonts w:ascii="Garamond" w:hAnsi="Garamond" w:cs="Arial"/>
          <w:color w:val="000000"/>
          <w:shd w:val="clear" w:color="auto" w:fill="FFFFFF"/>
        </w:rPr>
        <w:t>Amazing Grace</w:t>
      </w:r>
      <w:r w:rsidRPr="00AE2A7F">
        <w:rPr>
          <w:rFonts w:ascii="Garamond" w:hAnsi="Garamond" w:cs="Arial"/>
          <w:color w:val="000000"/>
          <w:shd w:val="clear" w:color="auto" w:fill="FFFFFF"/>
        </w:rPr>
        <w:t>. Any characteristics which might appear to detract from his greatness, such as his opium addiction or his failure to get the Abolition Bill passed, is shown as either forced upon him or the result of his betrayal by others... The historical inaccuracies are quite blatant and worryingly seem to be made to further highlight the 'saintly' nature of Wilberforce. Individuals such as Clarkson and Equiano are seemingly given prominent roles, but in reality they are discredited as Wilberforce remains the only 'pure</w:t>
      </w:r>
      <w:r>
        <w:rPr>
          <w:rFonts w:ascii="Garamond" w:hAnsi="Garamond" w:cs="Arial"/>
          <w:color w:val="000000"/>
          <w:shd w:val="clear" w:color="auto" w:fill="FFFFFF"/>
        </w:rPr>
        <w:t>'</w:t>
      </w:r>
      <w:r w:rsidRPr="00AE2A7F">
        <w:rPr>
          <w:rFonts w:ascii="Garamond" w:hAnsi="Garamond" w:cs="Arial"/>
          <w:color w:val="000000"/>
          <w:shd w:val="clear" w:color="auto" w:fill="FFFFFF"/>
        </w:rPr>
        <w:t xml:space="preserve"> saint.</w:t>
      </w:r>
      <w:r>
        <w:rPr>
          <w:rStyle w:val="FootnoteReference"/>
          <w:rFonts w:ascii="Garamond" w:hAnsi="Garamond" w:cs="Arial"/>
          <w:color w:val="000000"/>
          <w:shd w:val="clear" w:color="auto" w:fill="FFFFFF"/>
        </w:rPr>
        <w:footnoteReference w:id="114"/>
      </w:r>
    </w:p>
    <w:p w:rsidR="00472B3A" w:rsidRPr="00AE2A7F" w:rsidRDefault="00472B3A" w:rsidP="00410C58">
      <w:pPr>
        <w:spacing w:after="0" w:line="360" w:lineRule="auto"/>
        <w:ind w:left="284" w:right="284"/>
        <w:jc w:val="both"/>
        <w:rPr>
          <w:rFonts w:ascii="Garamond" w:hAnsi="Garamond" w:cs="Times New Roman"/>
        </w:rPr>
      </w:pPr>
    </w:p>
    <w:p w:rsidR="00B002F4" w:rsidRDefault="00472B3A" w:rsidP="00410C58">
      <w:pPr>
        <w:spacing w:after="0" w:line="360" w:lineRule="auto"/>
        <w:jc w:val="both"/>
        <w:rPr>
          <w:rFonts w:ascii="Garamond" w:hAnsi="Garamond" w:cs="Times New Roman"/>
          <w:sz w:val="24"/>
          <w:szCs w:val="24"/>
        </w:rPr>
      </w:pPr>
      <w:r>
        <w:rPr>
          <w:rFonts w:ascii="Garamond" w:hAnsi="Garamond" w:cs="Times New Roman"/>
          <w:sz w:val="24"/>
          <w:szCs w:val="24"/>
        </w:rPr>
        <w:t xml:space="preserve">In reality, Wilberforce was human. He was a person of his time, replete with faults and contradictions that dovetailed with his puritanical character. As with many abolitionists he was racist and sexist, he advocated imprisonment for adulterers, he drafted the 'Sedition Act' outlawing dissent of King and country, and he struggled with an opium addiction. In </w:t>
      </w:r>
      <w:r w:rsidRPr="000124E2">
        <w:rPr>
          <w:rFonts w:ascii="Garamond" w:hAnsi="Garamond" w:cs="Times New Roman"/>
          <w:i/>
          <w:sz w:val="24"/>
          <w:szCs w:val="24"/>
        </w:rPr>
        <w:t>Amazing Grace</w:t>
      </w:r>
      <w:r>
        <w:rPr>
          <w:rFonts w:ascii="Garamond" w:hAnsi="Garamond" w:cs="Times New Roman"/>
          <w:i/>
          <w:sz w:val="24"/>
          <w:szCs w:val="24"/>
        </w:rPr>
        <w:t xml:space="preserve"> </w:t>
      </w:r>
      <w:r>
        <w:rPr>
          <w:rFonts w:ascii="Garamond" w:hAnsi="Garamond" w:cs="Times New Roman"/>
          <w:sz w:val="24"/>
          <w:szCs w:val="24"/>
        </w:rPr>
        <w:t xml:space="preserve">antislavery activism is portrayed as an aristocratic and white affair set across pastoral English landscapes, </w:t>
      </w:r>
      <w:r w:rsidR="00410C58">
        <w:rPr>
          <w:rFonts w:ascii="Garamond" w:hAnsi="Garamond" w:cs="Times New Roman"/>
          <w:sz w:val="24"/>
          <w:szCs w:val="24"/>
        </w:rPr>
        <w:t>tearooms</w:t>
      </w:r>
      <w:r>
        <w:rPr>
          <w:rFonts w:ascii="Garamond" w:hAnsi="Garamond" w:cs="Times New Roman"/>
          <w:sz w:val="24"/>
          <w:szCs w:val="24"/>
        </w:rPr>
        <w:t xml:space="preserve">, and the House of Commons. The guilt of complicity from involvement in chattel slavery in the Caribbean is beautifully conceived and pontificated over at length in these English settings, but the transnational and revolutionary forms of slave resistance that briefly flowered across Atlantic and Caribbean networks in the 1790s are muted. Resistance to slavery is overwhelmingly located in white rather than black bodies, and is largely the preserve of the free and wealthy. The film serves to highlight the Eurocentricism of discourses (on modernity and </w:t>
      </w:r>
      <w:r>
        <w:rPr>
          <w:rFonts w:ascii="Garamond" w:hAnsi="Garamond" w:cs="Times New Roman"/>
          <w:sz w:val="24"/>
          <w:szCs w:val="24"/>
        </w:rPr>
        <w:lastRenderedPageBreak/>
        <w:t>slavery) working through populist British antislavery past and present (see Lambert, 2008 for a situated critique of Eurocentricism in academic imaginations of Atlantic slavery).</w:t>
      </w:r>
      <w:r>
        <w:rPr>
          <w:rStyle w:val="FootnoteReference"/>
          <w:rFonts w:ascii="Garamond" w:hAnsi="Garamond"/>
          <w:sz w:val="24"/>
          <w:szCs w:val="24"/>
        </w:rPr>
        <w:footnoteReference w:id="115"/>
      </w:r>
      <w:r>
        <w:rPr>
          <w:rFonts w:ascii="Garamond" w:hAnsi="Garamond" w:cs="Times New Roman"/>
          <w:sz w:val="24"/>
          <w:szCs w:val="24"/>
        </w:rPr>
        <w:t xml:space="preserve"> </w:t>
      </w:r>
    </w:p>
    <w:p w:rsidR="00472B3A" w:rsidRDefault="00472B3A" w:rsidP="00410C58">
      <w:pPr>
        <w:spacing w:after="0" w:line="360" w:lineRule="auto"/>
        <w:jc w:val="both"/>
        <w:rPr>
          <w:rFonts w:ascii="Garamond" w:hAnsi="Garamond" w:cs="Times New Roman"/>
          <w:sz w:val="24"/>
          <w:szCs w:val="24"/>
        </w:rPr>
      </w:pPr>
    </w:p>
    <w:p w:rsidR="00410C58" w:rsidRDefault="00472B3A" w:rsidP="00410C58">
      <w:pPr>
        <w:spacing w:after="0" w:line="360" w:lineRule="auto"/>
        <w:jc w:val="both"/>
        <w:rPr>
          <w:rFonts w:ascii="Garamond" w:hAnsi="Garamond"/>
          <w:color w:val="000000"/>
          <w:sz w:val="24"/>
          <w:szCs w:val="24"/>
          <w:shd w:val="clear" w:color="auto" w:fill="FFFFFF"/>
        </w:rPr>
      </w:pPr>
      <w:r>
        <w:rPr>
          <w:rFonts w:ascii="Garamond" w:hAnsi="Garamond" w:cs="Times New Roman"/>
          <w:sz w:val="24"/>
          <w:szCs w:val="24"/>
        </w:rPr>
        <w:t xml:space="preserve">Based on his argument that the thrust of the abolitionist movement came from slaves contesting their enslavement in plantations across the Caribbean and from the shift to the increasing profitability of exploiting British working class labour, historian of the colonial Atlantic, Peter Linebaugh, claims that </w:t>
      </w:r>
      <w:r w:rsidRPr="00404E7C">
        <w:rPr>
          <w:rFonts w:ascii="Garamond" w:hAnsi="Garamond" w:cs="Times New Roman"/>
          <w:i/>
          <w:sz w:val="24"/>
          <w:szCs w:val="24"/>
        </w:rPr>
        <w:t xml:space="preserve">Amazing </w:t>
      </w:r>
      <w:r w:rsidRPr="0062074D">
        <w:rPr>
          <w:rFonts w:ascii="Garamond" w:hAnsi="Garamond" w:cs="Times New Roman"/>
          <w:i/>
          <w:sz w:val="24"/>
          <w:szCs w:val="24"/>
        </w:rPr>
        <w:t>Grace</w:t>
      </w:r>
      <w:r w:rsidRPr="0062074D">
        <w:rPr>
          <w:rFonts w:ascii="Garamond" w:hAnsi="Garamond" w:cs="Times New Roman"/>
          <w:sz w:val="24"/>
          <w:szCs w:val="24"/>
        </w:rPr>
        <w:t xml:space="preserve"> </w:t>
      </w:r>
      <w:r>
        <w:rPr>
          <w:rFonts w:ascii="Garamond" w:hAnsi="Garamond" w:cs="Times New Roman"/>
          <w:sz w:val="24"/>
          <w:szCs w:val="24"/>
        </w:rPr>
        <w:t>‘</w:t>
      </w:r>
      <w:r w:rsidRPr="0062074D">
        <w:rPr>
          <w:rFonts w:ascii="Garamond" w:hAnsi="Garamond" w:cs="Times New Roman"/>
          <w:sz w:val="24"/>
          <w:szCs w:val="24"/>
        </w:rPr>
        <w:t>whitewashed</w:t>
      </w:r>
      <w:r>
        <w:rPr>
          <w:rFonts w:ascii="Garamond" w:hAnsi="Garamond" w:cs="Times New Roman"/>
          <w:sz w:val="24"/>
          <w:szCs w:val="24"/>
        </w:rPr>
        <w:t>’ anti</w:t>
      </w:r>
      <w:r w:rsidRPr="0062074D">
        <w:rPr>
          <w:rFonts w:ascii="Garamond" w:hAnsi="Garamond" w:cs="Times New Roman"/>
          <w:sz w:val="24"/>
          <w:szCs w:val="24"/>
        </w:rPr>
        <w:t xml:space="preserve">slavery and the slave trade. </w:t>
      </w:r>
      <w:r>
        <w:rPr>
          <w:rFonts w:ascii="Garamond" w:hAnsi="Garamond" w:cs="Times New Roman"/>
          <w:sz w:val="24"/>
          <w:szCs w:val="24"/>
        </w:rPr>
        <w:t>For Linebaugh, t</w:t>
      </w:r>
      <w:r w:rsidRPr="0062074D">
        <w:rPr>
          <w:rFonts w:ascii="Garamond" w:hAnsi="Garamond" w:cs="Times New Roman"/>
          <w:sz w:val="24"/>
          <w:szCs w:val="24"/>
        </w:rPr>
        <w:t xml:space="preserve">he film is an "amazing disgrace", and is driven by the </w:t>
      </w:r>
      <w:r>
        <w:rPr>
          <w:rFonts w:ascii="Garamond" w:hAnsi="Garamond" w:cs="Times New Roman"/>
          <w:sz w:val="24"/>
          <w:szCs w:val="24"/>
        </w:rPr>
        <w:t>“</w:t>
      </w:r>
      <w:r w:rsidRPr="0062074D">
        <w:rPr>
          <w:rFonts w:ascii="Garamond" w:hAnsi="Garamond"/>
          <w:color w:val="000000"/>
          <w:sz w:val="24"/>
          <w:szCs w:val="24"/>
          <w:shd w:val="clear" w:color="auto" w:fill="FFFFFF"/>
        </w:rPr>
        <w:t>self-congratulation of the English ruling class excusing itself for the most odious and reprehensible crimes in history</w:t>
      </w:r>
      <w:r>
        <w:rPr>
          <w:rFonts w:ascii="Garamond" w:hAnsi="Garamond"/>
          <w:color w:val="000000"/>
          <w:sz w:val="24"/>
          <w:szCs w:val="24"/>
          <w:shd w:val="clear" w:color="auto" w:fill="FFFFFF"/>
        </w:rPr>
        <w:t>”</w:t>
      </w:r>
      <w:r w:rsidRPr="0062074D">
        <w:rPr>
          <w:rFonts w:ascii="Garamond" w:hAnsi="Garamond"/>
          <w:color w:val="000000"/>
          <w:sz w:val="24"/>
          <w:szCs w:val="24"/>
          <w:shd w:val="clear" w:color="auto" w:fill="FFFFFF"/>
        </w:rPr>
        <w:t xml:space="preserve"> (Linebaugh, 2007)</w:t>
      </w:r>
      <w:r>
        <w:rPr>
          <w:rFonts w:ascii="Garamond" w:hAnsi="Garamond"/>
          <w:color w:val="000000"/>
          <w:sz w:val="24"/>
          <w:szCs w:val="24"/>
          <w:shd w:val="clear" w:color="auto" w:fill="FFFFFF"/>
        </w:rPr>
        <w:t>.</w:t>
      </w:r>
      <w:r>
        <w:rPr>
          <w:rStyle w:val="FootnoteReference"/>
          <w:rFonts w:ascii="Garamond" w:hAnsi="Garamond"/>
          <w:color w:val="000000"/>
          <w:sz w:val="24"/>
          <w:szCs w:val="24"/>
          <w:shd w:val="clear" w:color="auto" w:fill="FFFFFF"/>
        </w:rPr>
        <w:footnoteReference w:id="116"/>
      </w:r>
      <w:r w:rsidRPr="0062074D">
        <w:rPr>
          <w:rFonts w:ascii="Garamond" w:hAnsi="Garamond"/>
          <w:color w:val="000000"/>
          <w:sz w:val="24"/>
          <w:szCs w:val="24"/>
          <w:shd w:val="clear" w:color="auto" w:fill="FFFFFF"/>
        </w:rPr>
        <w:t xml:space="preserve">  </w:t>
      </w:r>
      <w:r>
        <w:rPr>
          <w:rFonts w:ascii="Garamond" w:hAnsi="Garamond"/>
          <w:color w:val="000000"/>
          <w:sz w:val="24"/>
          <w:szCs w:val="24"/>
          <w:shd w:val="clear" w:color="auto" w:fill="FFFFFF"/>
        </w:rPr>
        <w:t>T</w:t>
      </w:r>
      <w:r w:rsidRPr="0062074D">
        <w:rPr>
          <w:rFonts w:ascii="Garamond" w:hAnsi="Garamond"/>
          <w:color w:val="000000"/>
          <w:sz w:val="24"/>
          <w:szCs w:val="24"/>
          <w:shd w:val="clear" w:color="auto" w:fill="FFFFFF"/>
        </w:rPr>
        <w:t xml:space="preserve">he 1790s was the decade when humanitarianism </w:t>
      </w:r>
      <w:r>
        <w:rPr>
          <w:rFonts w:ascii="Garamond" w:hAnsi="Garamond"/>
          <w:color w:val="000000"/>
          <w:sz w:val="24"/>
          <w:szCs w:val="24"/>
          <w:shd w:val="clear" w:color="auto" w:fill="FFFFFF"/>
        </w:rPr>
        <w:t>“</w:t>
      </w:r>
      <w:r w:rsidRPr="0062074D">
        <w:rPr>
          <w:rFonts w:ascii="Garamond" w:hAnsi="Garamond"/>
          <w:color w:val="000000"/>
          <w:sz w:val="24"/>
          <w:szCs w:val="24"/>
          <w:shd w:val="clear" w:color="auto" w:fill="FFFFFF"/>
        </w:rPr>
        <w:t>became warped by racialism beyond recognitio</w:t>
      </w:r>
      <w:r>
        <w:rPr>
          <w:rFonts w:ascii="Garamond" w:hAnsi="Garamond"/>
          <w:color w:val="000000"/>
          <w:sz w:val="24"/>
          <w:szCs w:val="24"/>
          <w:shd w:val="clear" w:color="auto" w:fill="FFFFFF"/>
        </w:rPr>
        <w:t xml:space="preserve">n” (ibid. 2007). In Chapter Five I show there are comparisons between then and now; at the start of the </w:t>
      </w:r>
      <w:r w:rsidR="008064A5">
        <w:rPr>
          <w:rFonts w:ascii="Garamond" w:hAnsi="Garamond"/>
          <w:color w:val="000000"/>
          <w:sz w:val="24"/>
          <w:szCs w:val="24"/>
          <w:shd w:val="clear" w:color="auto" w:fill="FFFFFF"/>
        </w:rPr>
        <w:t xml:space="preserve">twenty first </w:t>
      </w:r>
      <w:r>
        <w:rPr>
          <w:rFonts w:ascii="Garamond" w:hAnsi="Garamond"/>
          <w:color w:val="000000"/>
          <w:sz w:val="24"/>
          <w:szCs w:val="24"/>
          <w:shd w:val="clear" w:color="auto" w:fill="FFFFFF"/>
        </w:rPr>
        <w:t xml:space="preserve">century post-racialism works through STT's brand of humanitarianism. </w:t>
      </w:r>
    </w:p>
    <w:p w:rsidR="00472B3A" w:rsidRDefault="00472B3A" w:rsidP="00410C58">
      <w:pPr>
        <w:spacing w:after="0" w:line="360" w:lineRule="auto"/>
        <w:jc w:val="both"/>
        <w:rPr>
          <w:rFonts w:ascii="Garamond" w:hAnsi="Garamond"/>
          <w:color w:val="000000"/>
          <w:sz w:val="24"/>
          <w:szCs w:val="24"/>
          <w:shd w:val="clear" w:color="auto" w:fill="FFFFFF"/>
        </w:rPr>
      </w:pPr>
    </w:p>
    <w:p w:rsidR="00410C58" w:rsidRDefault="00472B3A" w:rsidP="00410C58">
      <w:pPr>
        <w:spacing w:after="0" w:line="360" w:lineRule="auto"/>
        <w:jc w:val="both"/>
        <w:rPr>
          <w:rFonts w:ascii="Garamond" w:hAnsi="Garamond"/>
          <w:color w:val="000000"/>
          <w:sz w:val="24"/>
          <w:szCs w:val="24"/>
          <w:shd w:val="clear" w:color="auto" w:fill="FFFFFF"/>
        </w:rPr>
      </w:pPr>
      <w:r>
        <w:rPr>
          <w:rFonts w:ascii="Garamond" w:hAnsi="Garamond"/>
          <w:color w:val="000000"/>
          <w:sz w:val="24"/>
          <w:szCs w:val="24"/>
          <w:shd w:val="clear" w:color="auto" w:fill="FFFFFF"/>
        </w:rPr>
        <w:t xml:space="preserve">These historical critiques of </w:t>
      </w:r>
      <w:r w:rsidRPr="000137A2">
        <w:rPr>
          <w:rFonts w:ascii="Garamond" w:hAnsi="Garamond"/>
          <w:i/>
          <w:color w:val="000000"/>
          <w:sz w:val="24"/>
          <w:szCs w:val="24"/>
          <w:shd w:val="clear" w:color="auto" w:fill="FFFFFF"/>
        </w:rPr>
        <w:t>Amazing Grace</w:t>
      </w:r>
      <w:r>
        <w:rPr>
          <w:rFonts w:ascii="Garamond" w:hAnsi="Garamond"/>
          <w:color w:val="000000"/>
          <w:sz w:val="24"/>
          <w:szCs w:val="24"/>
          <w:shd w:val="clear" w:color="auto" w:fill="FFFFFF"/>
        </w:rPr>
        <w:t xml:space="preserve"> provide explanations for the utility of the film for STT. By simplifying and whitening antislavery, and making antislavery teleological, consumer-based and commodity-focused; in offering up everyday possibilities of engaging momentarily in heroic Wilberforcian humanitarianism: the film acts as a persuasive argument and motivational tool to get child and adult consumers involved in chocolate anti-trafficking. </w:t>
      </w:r>
      <w:r>
        <w:rPr>
          <w:rFonts w:ascii="Garamond" w:hAnsi="Garamond" w:cs="Times New Roman"/>
          <w:sz w:val="24"/>
          <w:szCs w:val="24"/>
        </w:rPr>
        <w:t xml:space="preserve">The concern is to forward a romantic and persuasive narrative that removes the stains of complicity with slavery from white hands and consciences; a romanticized consumer-based focus that is reproduced today in aspects of STT's politics of globalizing (chocolate) responsibility. </w:t>
      </w:r>
      <w:r w:rsidRPr="0062074D">
        <w:rPr>
          <w:rFonts w:ascii="Garamond" w:hAnsi="Garamond"/>
          <w:color w:val="000000"/>
          <w:sz w:val="24"/>
          <w:szCs w:val="24"/>
          <w:shd w:val="clear" w:color="auto" w:fill="FFFFFF"/>
        </w:rPr>
        <w:t xml:space="preserve">The parallels between the </w:t>
      </w:r>
      <w:r>
        <w:rPr>
          <w:rFonts w:ascii="Garamond" w:hAnsi="Garamond"/>
          <w:color w:val="000000"/>
          <w:sz w:val="24"/>
          <w:szCs w:val="24"/>
          <w:shd w:val="clear" w:color="auto" w:fill="FFFFFF"/>
        </w:rPr>
        <w:t xml:space="preserve">historicizing of </w:t>
      </w:r>
      <w:r w:rsidRPr="0062074D">
        <w:rPr>
          <w:rFonts w:ascii="Garamond" w:hAnsi="Garamond"/>
          <w:color w:val="000000"/>
          <w:sz w:val="24"/>
          <w:szCs w:val="24"/>
          <w:shd w:val="clear" w:color="auto" w:fill="FFFFFF"/>
        </w:rPr>
        <w:t xml:space="preserve">British humanitarianism of the 1790s and the motivational ethics of anti-trafficking chocolate activism are evidenced in the partnership struck in 2006 between the film distributors for </w:t>
      </w:r>
      <w:r w:rsidRPr="0062074D">
        <w:rPr>
          <w:rFonts w:ascii="Garamond" w:hAnsi="Garamond"/>
          <w:i/>
          <w:color w:val="000000"/>
          <w:sz w:val="24"/>
          <w:szCs w:val="24"/>
          <w:shd w:val="clear" w:color="auto" w:fill="FFFFFF"/>
        </w:rPr>
        <w:t xml:space="preserve">Amazing Grace </w:t>
      </w:r>
      <w:r w:rsidRPr="0062074D">
        <w:rPr>
          <w:rFonts w:ascii="Garamond" w:hAnsi="Garamond"/>
          <w:color w:val="000000"/>
          <w:sz w:val="24"/>
          <w:szCs w:val="24"/>
          <w:shd w:val="clear" w:color="auto" w:fill="FFFFFF"/>
        </w:rPr>
        <w:t>and STT Amsterdam:</w:t>
      </w:r>
    </w:p>
    <w:p w:rsidR="00472B3A" w:rsidRPr="0062074D" w:rsidRDefault="00472B3A" w:rsidP="00410C58">
      <w:pPr>
        <w:spacing w:after="0" w:line="360" w:lineRule="auto"/>
        <w:jc w:val="both"/>
        <w:rPr>
          <w:rFonts w:ascii="Garamond" w:hAnsi="Garamond"/>
          <w:color w:val="000000"/>
          <w:sz w:val="24"/>
          <w:szCs w:val="24"/>
          <w:shd w:val="clear" w:color="auto" w:fill="FFFFFF"/>
        </w:rPr>
      </w:pPr>
    </w:p>
    <w:p w:rsidR="00410C58" w:rsidRDefault="00472B3A" w:rsidP="00410C58">
      <w:pPr>
        <w:spacing w:after="0" w:line="360" w:lineRule="auto"/>
        <w:ind w:left="284" w:right="284"/>
        <w:jc w:val="both"/>
        <w:rPr>
          <w:rFonts w:ascii="Garamond" w:hAnsi="Garamond" w:cs="Times New Roman"/>
        </w:rPr>
      </w:pPr>
      <w:r w:rsidRPr="0062074D">
        <w:rPr>
          <w:rFonts w:ascii="Garamond" w:hAnsi="Garamond" w:cs="Times New Roman"/>
        </w:rPr>
        <w:t>We use</w:t>
      </w:r>
      <w:r>
        <w:rPr>
          <w:rFonts w:ascii="Garamond" w:hAnsi="Garamond" w:cs="Times New Roman"/>
        </w:rPr>
        <w:t>d</w:t>
      </w:r>
      <w:r w:rsidRPr="0062074D">
        <w:rPr>
          <w:rFonts w:ascii="Garamond" w:hAnsi="Garamond" w:cs="Times New Roman"/>
        </w:rPr>
        <w:t xml:space="preserve"> that when it came out in Holland, we were asked by the</w:t>
      </w:r>
      <w:r>
        <w:rPr>
          <w:rFonts w:ascii="Garamond" w:hAnsi="Garamond" w:cs="Times New Roman"/>
        </w:rPr>
        <w:t xml:space="preserve"> [film] production house in the USA to be involved in their distribution activities; they made the film</w:t>
      </w:r>
      <w:r w:rsidRPr="0062074D">
        <w:rPr>
          <w:rFonts w:ascii="Garamond" w:hAnsi="Garamond" w:cs="Times New Roman"/>
        </w:rPr>
        <w:t xml:space="preserve"> specifically with </w:t>
      </w:r>
      <w:r>
        <w:rPr>
          <w:rFonts w:ascii="Garamond" w:hAnsi="Garamond" w:cs="Times New Roman"/>
        </w:rPr>
        <w:t>the idea to be involved in current anti</w:t>
      </w:r>
      <w:r w:rsidRPr="0062074D">
        <w:rPr>
          <w:rFonts w:ascii="Garamond" w:hAnsi="Garamond" w:cs="Times New Roman"/>
        </w:rPr>
        <w:t xml:space="preserve">slavery campaigning activities. So they asked the </w:t>
      </w:r>
      <w:r w:rsidRPr="0062074D">
        <w:rPr>
          <w:rFonts w:ascii="Garamond" w:hAnsi="Garamond" w:cs="Times New Roman"/>
        </w:rPr>
        <w:lastRenderedPageBreak/>
        <w:t>Dutch distributor to partne</w:t>
      </w:r>
      <w:r>
        <w:rPr>
          <w:rFonts w:ascii="Garamond" w:hAnsi="Garamond" w:cs="Times New Roman"/>
        </w:rPr>
        <w:t>r with us in releasing the movie</w:t>
      </w:r>
      <w:r w:rsidRPr="0062074D">
        <w:rPr>
          <w:rFonts w:ascii="Garamond" w:hAnsi="Garamond" w:cs="Times New Roman"/>
        </w:rPr>
        <w:t xml:space="preserve">, so we had a whole set of material available for people to use in schools and churches when watching the movie. </w:t>
      </w:r>
      <w:r w:rsidR="00410C58">
        <w:rPr>
          <w:rFonts w:ascii="Garamond" w:hAnsi="Garamond" w:cs="Times New Roman"/>
        </w:rPr>
        <w:t>(Interview, Fountain, 2011</w:t>
      </w:r>
      <w:r>
        <w:rPr>
          <w:rFonts w:ascii="Garamond" w:hAnsi="Garamond" w:cs="Times New Roman"/>
        </w:rPr>
        <w:t>)</w:t>
      </w:r>
    </w:p>
    <w:p w:rsidR="00472B3A" w:rsidRPr="0062074D" w:rsidRDefault="00472B3A" w:rsidP="00410C58">
      <w:pPr>
        <w:spacing w:after="0" w:line="360" w:lineRule="auto"/>
        <w:ind w:left="284" w:right="284"/>
        <w:jc w:val="both"/>
        <w:rPr>
          <w:rFonts w:ascii="Garamond" w:hAnsi="Garamond" w:cs="Times New Roman"/>
          <w:sz w:val="24"/>
          <w:szCs w:val="24"/>
        </w:rPr>
      </w:pPr>
    </w:p>
    <w:p w:rsidR="00472B3A" w:rsidRDefault="00472B3A" w:rsidP="00410C58">
      <w:pPr>
        <w:spacing w:after="0" w:line="360" w:lineRule="auto"/>
        <w:jc w:val="both"/>
        <w:rPr>
          <w:rFonts w:ascii="Garamond" w:hAnsi="Garamond" w:cs="Times New Roman"/>
          <w:sz w:val="24"/>
          <w:szCs w:val="24"/>
        </w:rPr>
      </w:pPr>
      <w:r w:rsidRPr="00C062AC">
        <w:rPr>
          <w:rFonts w:ascii="Garamond" w:hAnsi="Garamond" w:cs="Times New Roman"/>
          <w:i/>
          <w:sz w:val="24"/>
          <w:szCs w:val="24"/>
        </w:rPr>
        <w:t>Amazing Grace</w:t>
      </w:r>
      <w:r>
        <w:rPr>
          <w:rFonts w:ascii="Garamond" w:hAnsi="Garamond" w:cs="Times New Roman"/>
          <w:sz w:val="24"/>
          <w:szCs w:val="24"/>
        </w:rPr>
        <w:t xml:space="preserve"> and STT were both created to coincide with the bi-centenary of the (British) abolition of the slave trade. They articulate a similar humanitarian project, and Fountain confirms that </w:t>
      </w:r>
      <w:r>
        <w:rPr>
          <w:rFonts w:ascii="Garamond" w:hAnsi="Garamond" w:cs="Times New Roman"/>
          <w:i/>
          <w:sz w:val="24"/>
          <w:szCs w:val="24"/>
        </w:rPr>
        <w:t xml:space="preserve">Amazing Grace </w:t>
      </w:r>
      <w:r>
        <w:rPr>
          <w:rFonts w:ascii="Garamond" w:hAnsi="Garamond" w:cs="Times New Roman"/>
          <w:sz w:val="24"/>
          <w:szCs w:val="24"/>
        </w:rPr>
        <w:t xml:space="preserve">was produced, in part, as an activist movie. </w:t>
      </w:r>
      <w:r w:rsidRPr="005D086E">
        <w:rPr>
          <w:rFonts w:ascii="Garamond" w:hAnsi="Garamond" w:cs="Times New Roman"/>
          <w:sz w:val="24"/>
          <w:szCs w:val="24"/>
        </w:rPr>
        <w:t xml:space="preserve">The achievements of </w:t>
      </w:r>
      <w:r w:rsidRPr="0017216A">
        <w:rPr>
          <w:rFonts w:ascii="Garamond" w:hAnsi="Garamond" w:cs="Times New Roman"/>
          <w:sz w:val="24"/>
          <w:szCs w:val="24"/>
        </w:rPr>
        <w:t xml:space="preserve">Clarkson and Wilberforce in contributing to the abolition of slave trade in 1807 are over-determined so as to interpolate British, European and </w:t>
      </w:r>
      <w:r>
        <w:rPr>
          <w:rFonts w:ascii="Garamond" w:hAnsi="Garamond" w:cs="Times New Roman"/>
          <w:sz w:val="24"/>
          <w:szCs w:val="24"/>
        </w:rPr>
        <w:t>“</w:t>
      </w:r>
      <w:r w:rsidRPr="0017216A">
        <w:rPr>
          <w:rFonts w:ascii="Garamond" w:hAnsi="Garamond" w:cs="Times New Roman"/>
          <w:sz w:val="24"/>
          <w:szCs w:val="24"/>
        </w:rPr>
        <w:t>already ethically concerned</w:t>
      </w:r>
      <w:r>
        <w:rPr>
          <w:rFonts w:ascii="Garamond" w:hAnsi="Garamond" w:cs="Times New Roman"/>
          <w:sz w:val="24"/>
          <w:szCs w:val="24"/>
        </w:rPr>
        <w:t>”</w:t>
      </w:r>
      <w:r w:rsidRPr="0017216A">
        <w:rPr>
          <w:rFonts w:ascii="Garamond" w:hAnsi="Garamond" w:cs="Times New Roman"/>
          <w:sz w:val="24"/>
          <w:szCs w:val="24"/>
        </w:rPr>
        <w:t xml:space="preserve"> consumers (Barnett et al., 2011). The reification of Wilberforcian </w:t>
      </w:r>
      <w:r>
        <w:rPr>
          <w:rFonts w:ascii="Garamond" w:hAnsi="Garamond" w:cs="Times New Roman"/>
          <w:sz w:val="24"/>
          <w:szCs w:val="24"/>
        </w:rPr>
        <w:t>“</w:t>
      </w:r>
      <w:r w:rsidRPr="0017216A">
        <w:rPr>
          <w:rFonts w:ascii="Garamond" w:eastAsia="Times New Roman" w:hAnsi="Garamond" w:cs="Times New Roman"/>
          <w:color w:val="000000"/>
          <w:sz w:val="24"/>
          <w:szCs w:val="24"/>
          <w:shd w:val="clear" w:color="auto" w:fill="FFFFFF"/>
          <w:lang w:eastAsia="en-GB"/>
        </w:rPr>
        <w:t>values, character, principles and struggles</w:t>
      </w:r>
      <w:r>
        <w:rPr>
          <w:rFonts w:ascii="Garamond" w:eastAsia="Times New Roman" w:hAnsi="Garamond" w:cs="Times New Roman"/>
          <w:color w:val="000000"/>
          <w:sz w:val="24"/>
          <w:szCs w:val="24"/>
          <w:shd w:val="clear" w:color="auto" w:fill="FFFFFF"/>
          <w:lang w:eastAsia="en-GB"/>
        </w:rPr>
        <w:t>”</w:t>
      </w:r>
      <w:r w:rsidRPr="0017216A">
        <w:rPr>
          <w:rFonts w:ascii="Garamond" w:eastAsia="Times New Roman" w:hAnsi="Garamond" w:cs="Times New Roman"/>
          <w:color w:val="000000"/>
          <w:sz w:val="24"/>
          <w:szCs w:val="24"/>
          <w:shd w:val="clear" w:color="auto" w:fill="FFFFFF"/>
          <w:lang w:eastAsia="en-GB"/>
        </w:rPr>
        <w:t xml:space="preserve"> </w:t>
      </w:r>
      <w:r w:rsidRPr="0017216A">
        <w:rPr>
          <w:rFonts w:ascii="Garamond" w:hAnsi="Garamond" w:cs="Times New Roman"/>
          <w:sz w:val="24"/>
          <w:szCs w:val="24"/>
        </w:rPr>
        <w:t>(interview Dearnley, 2011), and the elevation of the role of the consumer in ending slavery, enables STT</w:t>
      </w:r>
      <w:r>
        <w:rPr>
          <w:rFonts w:ascii="Garamond" w:hAnsi="Garamond" w:cs="Times New Roman"/>
          <w:sz w:val="24"/>
          <w:szCs w:val="24"/>
        </w:rPr>
        <w:t xml:space="preserve"> </w:t>
      </w:r>
      <w:r w:rsidRPr="0017216A">
        <w:rPr>
          <w:rFonts w:ascii="Garamond" w:hAnsi="Garamond" w:cs="Times New Roman"/>
          <w:sz w:val="24"/>
          <w:szCs w:val="24"/>
        </w:rPr>
        <w:t xml:space="preserve">to outline clear anti-trafficking problems and solutions. </w:t>
      </w:r>
      <w:r>
        <w:rPr>
          <w:rFonts w:ascii="Garamond" w:hAnsi="Garamond" w:cs="Times New Roman"/>
          <w:sz w:val="24"/>
          <w:szCs w:val="24"/>
        </w:rPr>
        <w:t xml:space="preserve">In the tradition of NGO campaigning, communicating simple problems and solutions with urgency are key to soliciting support (Sargeant </w:t>
      </w:r>
      <w:r w:rsidR="00F152DB">
        <w:rPr>
          <w:rFonts w:ascii="Garamond" w:hAnsi="Garamond" w:cs="Times New Roman"/>
          <w:sz w:val="24"/>
          <w:szCs w:val="24"/>
        </w:rPr>
        <w:t>and</w:t>
      </w:r>
      <w:r>
        <w:rPr>
          <w:rFonts w:ascii="Garamond" w:hAnsi="Garamond" w:cs="Times New Roman"/>
          <w:sz w:val="24"/>
          <w:szCs w:val="24"/>
        </w:rPr>
        <w:t xml:space="preserve"> Jay, 2004; Sargeant </w:t>
      </w:r>
      <w:r w:rsidR="00F152DB">
        <w:rPr>
          <w:rFonts w:ascii="Garamond" w:hAnsi="Garamond" w:cs="Times New Roman"/>
          <w:sz w:val="24"/>
          <w:szCs w:val="24"/>
        </w:rPr>
        <w:t>and</w:t>
      </w:r>
      <w:r>
        <w:rPr>
          <w:rFonts w:ascii="Garamond" w:hAnsi="Garamond" w:cs="Times New Roman"/>
          <w:sz w:val="24"/>
          <w:szCs w:val="24"/>
        </w:rPr>
        <w:t xml:space="preserve"> Woodliffe 2007; Crosfield, 2008). </w:t>
      </w:r>
    </w:p>
    <w:p w:rsidR="004A7172" w:rsidRDefault="004A7172" w:rsidP="00410C58">
      <w:pPr>
        <w:spacing w:after="0" w:line="360" w:lineRule="auto"/>
        <w:jc w:val="both"/>
        <w:rPr>
          <w:rFonts w:ascii="Garamond" w:hAnsi="Garamond" w:cs="Times New Roman"/>
          <w:i/>
          <w:szCs w:val="18"/>
        </w:rPr>
      </w:pPr>
    </w:p>
    <w:p w:rsidR="00410C58" w:rsidRDefault="00410C58" w:rsidP="00410C58">
      <w:pPr>
        <w:spacing w:after="0" w:line="360" w:lineRule="auto"/>
        <w:jc w:val="both"/>
        <w:rPr>
          <w:rFonts w:ascii="Garamond" w:hAnsi="Garamond" w:cs="Times New Roman"/>
          <w:i/>
          <w:szCs w:val="18"/>
        </w:rPr>
      </w:pPr>
    </w:p>
    <w:p w:rsidR="00410C58" w:rsidRDefault="00410C58" w:rsidP="00410C58">
      <w:pPr>
        <w:spacing w:after="0" w:line="360" w:lineRule="auto"/>
        <w:jc w:val="both"/>
        <w:rPr>
          <w:rFonts w:ascii="Garamond" w:hAnsi="Garamond" w:cs="Times New Roman"/>
          <w:i/>
          <w:szCs w:val="18"/>
        </w:rPr>
      </w:pPr>
      <w:r>
        <w:rPr>
          <w:rFonts w:ascii="Garamond" w:hAnsi="Garamond" w:cs="Times New Roman"/>
          <w:i/>
          <w:szCs w:val="18"/>
        </w:rPr>
        <w:t>i</w:t>
      </w:r>
      <w:r w:rsidR="00472B3A">
        <w:rPr>
          <w:rFonts w:ascii="Garamond" w:hAnsi="Garamond" w:cs="Times New Roman"/>
          <w:i/>
          <w:szCs w:val="18"/>
        </w:rPr>
        <w:t xml:space="preserve">v) </w:t>
      </w:r>
      <w:r w:rsidR="00472B3A" w:rsidRPr="003916ED">
        <w:rPr>
          <w:rFonts w:ascii="Garamond" w:hAnsi="Garamond" w:cs="Times New Roman"/>
          <w:i/>
          <w:szCs w:val="18"/>
        </w:rPr>
        <w:t>Instrumental signs of progress</w:t>
      </w:r>
    </w:p>
    <w:p w:rsidR="00472B3A" w:rsidRPr="003916ED" w:rsidRDefault="00472B3A" w:rsidP="00410C58">
      <w:pPr>
        <w:spacing w:after="0" w:line="360" w:lineRule="auto"/>
        <w:jc w:val="both"/>
        <w:rPr>
          <w:rFonts w:ascii="Garamond" w:hAnsi="Garamond" w:cs="Times New Roman"/>
          <w:i/>
          <w:szCs w:val="18"/>
        </w:rPr>
      </w:pPr>
    </w:p>
    <w:p w:rsidR="00472B3A" w:rsidRPr="005D086E" w:rsidDel="0004024C" w:rsidRDefault="00472B3A" w:rsidP="00410C58">
      <w:pPr>
        <w:spacing w:after="0" w:line="360" w:lineRule="auto"/>
        <w:jc w:val="both"/>
        <w:rPr>
          <w:rFonts w:ascii="Garamond" w:hAnsi="Garamond" w:cs="Times New Roman"/>
          <w:sz w:val="24"/>
          <w:szCs w:val="24"/>
        </w:rPr>
      </w:pPr>
      <w:r>
        <w:rPr>
          <w:rFonts w:ascii="Garamond" w:hAnsi="Garamond" w:cs="Times New Roman"/>
          <w:sz w:val="24"/>
          <w:szCs w:val="24"/>
        </w:rPr>
        <w:t>Since 2006, chocolate activism has led to a series of tangible and quantifiable successes for STT. Ambiguities</w:t>
      </w:r>
      <w:r w:rsidRPr="005D086E">
        <w:rPr>
          <w:rFonts w:ascii="Garamond" w:hAnsi="Garamond" w:cs="Times New Roman"/>
          <w:sz w:val="24"/>
          <w:szCs w:val="24"/>
        </w:rPr>
        <w:t xml:space="preserve"> over</w:t>
      </w:r>
      <w:r>
        <w:rPr>
          <w:rFonts w:ascii="Garamond" w:hAnsi="Garamond" w:cs="Times New Roman"/>
          <w:sz w:val="24"/>
          <w:szCs w:val="24"/>
        </w:rPr>
        <w:t xml:space="preserve"> precise trafficking definitions combined with the complexities and political sensitivities of publicizing and contesting trafficking prevalent across other industries (sex, tourism, domestic labour, narcotic production) means that successes gained in reforming the chocolate industry offer up key evidence that anti-trafficking is a legitimate pursuit that produces results</w:t>
      </w:r>
      <w:r w:rsidRPr="005D086E">
        <w:rPr>
          <w:rFonts w:ascii="Garamond" w:hAnsi="Garamond" w:cs="Times New Roman"/>
          <w:sz w:val="24"/>
          <w:szCs w:val="24"/>
        </w:rPr>
        <w:t>.</w:t>
      </w:r>
      <w:r>
        <w:rPr>
          <w:rFonts w:ascii="Garamond" w:hAnsi="Garamond" w:cs="Times New Roman"/>
          <w:sz w:val="24"/>
          <w:szCs w:val="24"/>
        </w:rPr>
        <w:t xml:space="preserve"> Unlike the restaurant trade or the sex industry, stakeholders in the chocolate industry have promised to reform practice. </w:t>
      </w:r>
      <w:r w:rsidRPr="005D086E">
        <w:rPr>
          <w:rFonts w:ascii="Garamond" w:hAnsi="Garamond" w:cs="Times New Roman"/>
          <w:sz w:val="24"/>
          <w:szCs w:val="24"/>
        </w:rPr>
        <w:t xml:space="preserve">The conversion of Mars Australia (2012) and Royal Verkade (2008, subsidiary of United </w:t>
      </w:r>
      <w:r>
        <w:rPr>
          <w:rFonts w:ascii="Garamond" w:hAnsi="Garamond" w:cs="Times New Roman"/>
          <w:sz w:val="24"/>
          <w:szCs w:val="24"/>
        </w:rPr>
        <w:t>Biscuits) to certification</w:t>
      </w:r>
      <w:r w:rsidRPr="005D086E">
        <w:rPr>
          <w:rFonts w:ascii="Garamond" w:hAnsi="Garamond" w:cs="Times New Roman"/>
          <w:sz w:val="24"/>
          <w:szCs w:val="24"/>
        </w:rPr>
        <w:t xml:space="preserve"> in addition to four fingered Kit Kats and Cadbury’s Dairy Milk, provide a sense of meaningful progress for the NGO and its supporters.</w:t>
      </w:r>
      <w:r>
        <w:rPr>
          <w:rFonts w:ascii="Garamond" w:hAnsi="Garamond" w:cs="Times New Roman"/>
          <w:sz w:val="24"/>
          <w:szCs w:val="24"/>
        </w:rPr>
        <w:t xml:space="preserve"> </w:t>
      </w:r>
    </w:p>
    <w:p w:rsidR="00943FE2" w:rsidRDefault="00943FE2" w:rsidP="00410C58">
      <w:pPr>
        <w:spacing w:after="0" w:line="360" w:lineRule="auto"/>
        <w:jc w:val="both"/>
        <w:rPr>
          <w:rFonts w:ascii="Garamond" w:hAnsi="Garamond" w:cs="Times New Roman"/>
          <w:sz w:val="28"/>
          <w:szCs w:val="28"/>
          <w:u w:val="single"/>
        </w:rPr>
      </w:pPr>
    </w:p>
    <w:p w:rsidR="004A7172" w:rsidRDefault="004A7172" w:rsidP="00410C58">
      <w:pPr>
        <w:spacing w:after="0" w:line="360" w:lineRule="auto"/>
        <w:jc w:val="both"/>
        <w:rPr>
          <w:rFonts w:ascii="Garamond" w:hAnsi="Garamond" w:cs="Times New Roman"/>
          <w:sz w:val="28"/>
          <w:szCs w:val="28"/>
          <w:u w:val="single"/>
        </w:rPr>
      </w:pPr>
    </w:p>
    <w:p w:rsidR="004A7172" w:rsidRDefault="004A7172" w:rsidP="00410C58">
      <w:pPr>
        <w:spacing w:after="0" w:line="360" w:lineRule="auto"/>
        <w:jc w:val="both"/>
        <w:rPr>
          <w:rFonts w:ascii="Garamond" w:hAnsi="Garamond" w:cs="Times New Roman"/>
          <w:sz w:val="28"/>
          <w:szCs w:val="28"/>
          <w:u w:val="single"/>
        </w:rPr>
      </w:pPr>
    </w:p>
    <w:p w:rsidR="004A7172" w:rsidRDefault="004A7172" w:rsidP="00410C58">
      <w:pPr>
        <w:spacing w:after="0" w:line="360" w:lineRule="auto"/>
        <w:jc w:val="both"/>
        <w:rPr>
          <w:rFonts w:ascii="Garamond" w:hAnsi="Garamond" w:cs="Times New Roman"/>
          <w:sz w:val="28"/>
          <w:szCs w:val="28"/>
          <w:u w:val="single"/>
        </w:rPr>
      </w:pPr>
    </w:p>
    <w:p w:rsidR="004A7172" w:rsidRDefault="004A7172" w:rsidP="00410C58">
      <w:pPr>
        <w:spacing w:after="0" w:line="360" w:lineRule="auto"/>
        <w:jc w:val="both"/>
        <w:rPr>
          <w:rFonts w:ascii="Garamond" w:hAnsi="Garamond" w:cs="Times New Roman"/>
          <w:sz w:val="28"/>
          <w:szCs w:val="28"/>
          <w:u w:val="single"/>
        </w:rPr>
      </w:pPr>
    </w:p>
    <w:p w:rsidR="00472B3A" w:rsidRDefault="00472B3A" w:rsidP="00410C58">
      <w:pPr>
        <w:spacing w:after="0" w:line="360" w:lineRule="auto"/>
        <w:jc w:val="both"/>
        <w:rPr>
          <w:rFonts w:ascii="Garamond" w:hAnsi="Garamond" w:cs="Times New Roman"/>
          <w:sz w:val="28"/>
          <w:szCs w:val="28"/>
          <w:u w:val="single"/>
        </w:rPr>
      </w:pPr>
    </w:p>
    <w:p w:rsidR="00472B3A" w:rsidRDefault="00472B3A" w:rsidP="00943FE2">
      <w:pPr>
        <w:pStyle w:val="Heading2"/>
      </w:pPr>
      <w:bookmarkStart w:id="539" w:name="_Toc244508063"/>
      <w:bookmarkStart w:id="540" w:name="_Toc244535757"/>
      <w:bookmarkStart w:id="541" w:name="_Toc244578389"/>
      <w:bookmarkStart w:id="542" w:name="_Toc244578773"/>
      <w:bookmarkStart w:id="543" w:name="_Toc263452024"/>
      <w:bookmarkStart w:id="544" w:name="_Toc263510942"/>
      <w:r w:rsidRPr="00204256">
        <w:lastRenderedPageBreak/>
        <w:t>Deploying the child-producer topos</w:t>
      </w:r>
      <w:bookmarkEnd w:id="539"/>
      <w:bookmarkEnd w:id="540"/>
      <w:bookmarkEnd w:id="541"/>
      <w:bookmarkEnd w:id="542"/>
      <w:bookmarkEnd w:id="543"/>
      <w:bookmarkEnd w:id="544"/>
    </w:p>
    <w:p w:rsidR="00472B3A" w:rsidRDefault="00472B3A" w:rsidP="00410C58">
      <w:pPr>
        <w:spacing w:after="0" w:line="360" w:lineRule="auto"/>
        <w:rPr>
          <w:rFonts w:ascii="Garamond" w:hAnsi="Garamond" w:cs="Times New Roman"/>
          <w:b/>
          <w:sz w:val="24"/>
          <w:szCs w:val="24"/>
        </w:rPr>
      </w:pPr>
    </w:p>
    <w:p w:rsidR="00410C58" w:rsidRDefault="00472B3A" w:rsidP="00410C58">
      <w:pPr>
        <w:spacing w:after="0" w:line="360" w:lineRule="auto"/>
        <w:ind w:left="284" w:right="284"/>
        <w:rPr>
          <w:rFonts w:ascii="Garamond" w:hAnsi="Garamond" w:cs="Times New Roman"/>
        </w:rPr>
      </w:pPr>
      <w:r w:rsidRPr="00204256">
        <w:rPr>
          <w:rFonts w:ascii="Garamond" w:hAnsi="Garamond" w:cs="Times New Roman"/>
        </w:rPr>
        <w:t>Put your money where your mouth is. (</w:t>
      </w:r>
      <w:r w:rsidRPr="00204256">
        <w:rPr>
          <w:rFonts w:ascii="Garamond" w:hAnsi="Garamond" w:cs="Times New Roman"/>
          <w:i/>
        </w:rPr>
        <w:t xml:space="preserve">Stop The Traffik, </w:t>
      </w:r>
      <w:r w:rsidRPr="00204256">
        <w:rPr>
          <w:rFonts w:ascii="Garamond" w:hAnsi="Garamond" w:cs="Times New Roman"/>
        </w:rPr>
        <w:t>2009: 96)</w:t>
      </w:r>
    </w:p>
    <w:p w:rsidR="00472B3A" w:rsidRPr="00204256" w:rsidRDefault="00472B3A" w:rsidP="00410C58">
      <w:pPr>
        <w:spacing w:after="0" w:line="360" w:lineRule="auto"/>
        <w:ind w:left="284" w:right="284"/>
        <w:rPr>
          <w:rFonts w:ascii="Garamond" w:hAnsi="Garamond" w:cs="Times New Roman"/>
          <w:b/>
          <w:sz w:val="24"/>
          <w:szCs w:val="24"/>
        </w:rPr>
      </w:pPr>
    </w:p>
    <w:p w:rsidR="00472B3A" w:rsidRPr="00204256" w:rsidRDefault="00472B3A" w:rsidP="00410C58">
      <w:pPr>
        <w:spacing w:after="0" w:line="360" w:lineRule="auto"/>
        <w:ind w:left="284" w:right="284"/>
        <w:jc w:val="both"/>
        <w:rPr>
          <w:rFonts w:ascii="Garamond" w:hAnsi="Garamond" w:cs="Times New Roman"/>
        </w:rPr>
      </w:pPr>
      <w:r w:rsidRPr="00204256">
        <w:rPr>
          <w:rFonts w:ascii="Garamond" w:hAnsi="Garamond" w:cs="Times New Roman"/>
        </w:rPr>
        <w:t xml:space="preserve">It is the young black male body that is seen as epitomizing this promise of wildness, of unlimited physical prowess and unbridled eroticism. It was this black body that was most ‘desired’ for its labor in slavery and it is this body that is most represented in contemporary popular culture as the body to be watched, </w:t>
      </w:r>
      <w:r>
        <w:rPr>
          <w:rFonts w:ascii="Garamond" w:hAnsi="Garamond" w:cs="Times New Roman"/>
        </w:rPr>
        <w:t>imitated, desired and possessed.</w:t>
      </w:r>
      <w:r w:rsidRPr="00204256">
        <w:rPr>
          <w:rFonts w:ascii="Garamond" w:hAnsi="Garamond" w:cs="Times New Roman"/>
        </w:rPr>
        <w:t xml:space="preserve"> (hooks, 1992: 7)</w:t>
      </w:r>
    </w:p>
    <w:p w:rsidR="00472B3A" w:rsidRPr="005D086E" w:rsidRDefault="00472B3A" w:rsidP="00410C58">
      <w:pPr>
        <w:spacing w:after="0" w:line="360" w:lineRule="auto"/>
        <w:jc w:val="both"/>
        <w:rPr>
          <w:rFonts w:ascii="Garamond" w:hAnsi="Garamond" w:cs="Times New Roman"/>
          <w:sz w:val="24"/>
          <w:szCs w:val="24"/>
          <w:u w:val="single"/>
        </w:rPr>
      </w:pPr>
    </w:p>
    <w:p w:rsidR="00410C58" w:rsidRDefault="00472B3A" w:rsidP="00410C58">
      <w:pPr>
        <w:spacing w:after="0" w:line="360" w:lineRule="auto"/>
        <w:jc w:val="both"/>
        <w:rPr>
          <w:rFonts w:ascii="Garamond" w:hAnsi="Garamond"/>
          <w:sz w:val="24"/>
          <w:szCs w:val="24"/>
        </w:rPr>
      </w:pPr>
      <w:r w:rsidRPr="005D086E">
        <w:rPr>
          <w:rFonts w:ascii="Garamond" w:hAnsi="Garamond" w:cs="Times New Roman"/>
          <w:sz w:val="24"/>
          <w:szCs w:val="24"/>
        </w:rPr>
        <w:t>What does STT</w:t>
      </w:r>
      <w:r w:rsidR="00AF727C">
        <w:rPr>
          <w:rFonts w:ascii="Garamond" w:hAnsi="Garamond" w:cs="Times New Roman"/>
          <w:sz w:val="24"/>
          <w:szCs w:val="24"/>
        </w:rPr>
        <w:t>’</w:t>
      </w:r>
      <w:r w:rsidRPr="005D086E">
        <w:rPr>
          <w:rFonts w:ascii="Garamond" w:hAnsi="Garamond" w:cs="Times New Roman"/>
          <w:sz w:val="24"/>
          <w:szCs w:val="24"/>
        </w:rPr>
        <w:t>s child producer-chocolate topos look, sound and taste like? It deals in absolutes;</w:t>
      </w:r>
      <w:r w:rsidRPr="005D086E">
        <w:rPr>
          <w:rFonts w:ascii="Garamond" w:hAnsi="Garamond" w:cs="Times New Roman"/>
        </w:rPr>
        <w:t xml:space="preserve"> </w:t>
      </w:r>
      <w:r w:rsidRPr="005D086E">
        <w:rPr>
          <w:rFonts w:ascii="Garamond" w:hAnsi="Garamond" w:cs="Times New Roman"/>
          <w:sz w:val="24"/>
          <w:szCs w:val="24"/>
        </w:rPr>
        <w:t>“do you like the taste of children being exploited?”</w:t>
      </w:r>
      <w:r w:rsidRPr="005D086E">
        <w:rPr>
          <w:rFonts w:ascii="Garamond" w:hAnsi="Garamond"/>
          <w:sz w:val="24"/>
          <w:szCs w:val="24"/>
        </w:rPr>
        <w:t xml:space="preserve"> was a rhetorical question posed to me by the director of STT’s chocolate campaigns. Carried and shaped by sound-bites, status updates and celebrities, it jet streams abolitionist clichés into public consciousness for instantaneous consumption</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T</w:t>
      </w:r>
      <w:r w:rsidRPr="005D086E">
        <w:rPr>
          <w:rFonts w:ascii="Garamond" w:hAnsi="Garamond"/>
          <w:sz w:val="24"/>
          <w:szCs w:val="24"/>
        </w:rPr>
        <w:t>he actor Rhys Evans warns consumers, “if you eat chocolate that isn’t traffik [</w:t>
      </w:r>
      <w:r w:rsidRPr="005D086E">
        <w:rPr>
          <w:rFonts w:ascii="Garamond" w:hAnsi="Garamond"/>
          <w:i/>
          <w:sz w:val="24"/>
          <w:szCs w:val="24"/>
        </w:rPr>
        <w:t>sic</w:t>
      </w:r>
      <w:r w:rsidRPr="005D086E">
        <w:rPr>
          <w:rFonts w:ascii="Garamond" w:hAnsi="Garamond"/>
          <w:sz w:val="24"/>
          <w:szCs w:val="24"/>
        </w:rPr>
        <w:t>] free, then you’ve got blood on your teeth” (</w:t>
      </w:r>
      <w:r w:rsidRPr="005D086E">
        <w:rPr>
          <w:rFonts w:ascii="Garamond" w:hAnsi="Garamond"/>
          <w:i/>
          <w:sz w:val="24"/>
          <w:szCs w:val="24"/>
        </w:rPr>
        <w:t xml:space="preserve">Stop The Traffik </w:t>
      </w:r>
      <w:r w:rsidRPr="005D086E">
        <w:rPr>
          <w:rFonts w:ascii="Garamond" w:hAnsi="Garamond"/>
          <w:sz w:val="24"/>
          <w:szCs w:val="24"/>
        </w:rPr>
        <w:t>2009: 96). It corrupts pure chocolate indulgence</w:t>
      </w:r>
      <w:r>
        <w:rPr>
          <w:rFonts w:ascii="Garamond" w:hAnsi="Garamond"/>
          <w:sz w:val="24"/>
          <w:szCs w:val="24"/>
        </w:rPr>
        <w:t>.</w:t>
      </w:r>
      <w:r w:rsidRPr="005D086E">
        <w:rPr>
          <w:rFonts w:ascii="Garamond" w:hAnsi="Garamond"/>
          <w:sz w:val="24"/>
          <w:szCs w:val="24"/>
        </w:rPr>
        <w:t xml:space="preserve"> </w:t>
      </w:r>
      <w:r>
        <w:rPr>
          <w:rFonts w:ascii="Garamond" w:hAnsi="Garamond"/>
          <w:sz w:val="24"/>
          <w:szCs w:val="24"/>
        </w:rPr>
        <w:t>A</w:t>
      </w:r>
      <w:r w:rsidRPr="005D086E">
        <w:rPr>
          <w:rFonts w:ascii="Garamond" w:hAnsi="Garamond"/>
          <w:sz w:val="24"/>
          <w:szCs w:val="24"/>
        </w:rPr>
        <w:t xml:space="preserve"> mass produced STT leaflet</w:t>
      </w:r>
      <w:r>
        <w:rPr>
          <w:rFonts w:ascii="Garamond" w:hAnsi="Garamond"/>
          <w:sz w:val="24"/>
          <w:szCs w:val="24"/>
        </w:rPr>
        <w:t xml:space="preserve"> </w:t>
      </w:r>
      <w:r w:rsidR="00B002F4">
        <w:rPr>
          <w:rFonts w:ascii="Garamond" w:hAnsi="Garamond"/>
          <w:sz w:val="24"/>
          <w:szCs w:val="24"/>
        </w:rPr>
        <w:t>(see F</w:t>
      </w:r>
      <w:r>
        <w:rPr>
          <w:rFonts w:ascii="Garamond" w:hAnsi="Garamond"/>
          <w:sz w:val="24"/>
          <w:szCs w:val="24"/>
        </w:rPr>
        <w:t xml:space="preserve">igure </w:t>
      </w:r>
      <w:r w:rsidR="00B002F4">
        <w:rPr>
          <w:rFonts w:ascii="Garamond" w:hAnsi="Garamond"/>
          <w:sz w:val="24"/>
          <w:szCs w:val="24"/>
        </w:rPr>
        <w:t>4</w:t>
      </w:r>
      <w:r>
        <w:rPr>
          <w:rFonts w:ascii="Garamond" w:hAnsi="Garamond"/>
          <w:sz w:val="24"/>
          <w:szCs w:val="24"/>
        </w:rPr>
        <w:t xml:space="preserve">5) </w:t>
      </w:r>
      <w:r w:rsidRPr="005D086E">
        <w:rPr>
          <w:rFonts w:ascii="Garamond" w:hAnsi="Garamond"/>
          <w:sz w:val="24"/>
          <w:szCs w:val="24"/>
        </w:rPr>
        <w:t>depicting an indulgent close-up of chocolate is enjoined by the caption, “You don’t have to eat this chocolate to feel sick”</w:t>
      </w:r>
      <w:r>
        <w:rPr>
          <w:rFonts w:ascii="Garamond" w:hAnsi="Garamond"/>
          <w:sz w:val="24"/>
          <w:szCs w:val="24"/>
        </w:rPr>
        <w:t>.</w:t>
      </w:r>
      <w:r w:rsidRPr="005D086E">
        <w:rPr>
          <w:rStyle w:val="FootnoteReference"/>
          <w:rFonts w:ascii="Garamond" w:hAnsi="Garamond"/>
          <w:sz w:val="24"/>
          <w:szCs w:val="24"/>
        </w:rPr>
        <w:footnoteReference w:id="117"/>
      </w:r>
      <w:r w:rsidRPr="005D086E">
        <w:rPr>
          <w:rFonts w:ascii="Garamond" w:hAnsi="Garamond"/>
          <w:sz w:val="24"/>
          <w:szCs w:val="24"/>
        </w:rPr>
        <w:t xml:space="preserve"> It stages car</w:t>
      </w:r>
      <w:r>
        <w:rPr>
          <w:rFonts w:ascii="Garamond" w:hAnsi="Garamond"/>
          <w:sz w:val="24"/>
          <w:szCs w:val="24"/>
        </w:rPr>
        <w:t>nality and pity, neatly summariz</w:t>
      </w:r>
      <w:r w:rsidRPr="005D086E">
        <w:rPr>
          <w:rFonts w:ascii="Garamond" w:hAnsi="Garamond"/>
          <w:sz w:val="24"/>
          <w:szCs w:val="24"/>
        </w:rPr>
        <w:t>ed by Fountain as “b</w:t>
      </w:r>
      <w:r w:rsidR="00B002F4">
        <w:rPr>
          <w:rFonts w:ascii="Garamond" w:hAnsi="Garamond"/>
          <w:sz w:val="24"/>
          <w:szCs w:val="24"/>
        </w:rPr>
        <w:t>leeding heart communications” (I</w:t>
      </w:r>
      <w:r>
        <w:rPr>
          <w:rFonts w:ascii="Garamond" w:hAnsi="Garamond"/>
          <w:sz w:val="24"/>
          <w:szCs w:val="24"/>
        </w:rPr>
        <w:t>nterview, 2011), and epitomiz</w:t>
      </w:r>
      <w:r w:rsidRPr="005D086E">
        <w:rPr>
          <w:rFonts w:ascii="Garamond" w:hAnsi="Garamond"/>
          <w:sz w:val="24"/>
          <w:szCs w:val="24"/>
        </w:rPr>
        <w:t>ed by the oft re</w:t>
      </w:r>
      <w:r w:rsidR="00B002F4">
        <w:rPr>
          <w:rFonts w:ascii="Garamond" w:hAnsi="Garamond"/>
          <w:sz w:val="24"/>
          <w:szCs w:val="24"/>
        </w:rPr>
        <w:t xml:space="preserve">peated slave testimony: </w:t>
      </w:r>
      <w:r w:rsidRPr="005D086E">
        <w:rPr>
          <w:rFonts w:ascii="Garamond" w:hAnsi="Garamond"/>
          <w:sz w:val="24"/>
          <w:szCs w:val="24"/>
        </w:rPr>
        <w:t>“when you eat chocolate, you eat my flesh” (</w:t>
      </w:r>
      <w:r w:rsidRPr="005D086E">
        <w:rPr>
          <w:rFonts w:ascii="Garamond" w:hAnsi="Garamond"/>
          <w:i/>
          <w:sz w:val="24"/>
          <w:szCs w:val="24"/>
        </w:rPr>
        <w:t xml:space="preserve">Stop The Traffik, </w:t>
      </w:r>
      <w:r w:rsidR="00AF727C">
        <w:rPr>
          <w:rFonts w:ascii="Garamond" w:hAnsi="Garamond"/>
          <w:sz w:val="24"/>
          <w:szCs w:val="24"/>
        </w:rPr>
        <w:t xml:space="preserve">2009: 98; </w:t>
      </w:r>
      <w:r w:rsidR="00B002F4">
        <w:rPr>
          <w:rFonts w:ascii="Garamond" w:hAnsi="Garamond"/>
          <w:sz w:val="24"/>
          <w:szCs w:val="24"/>
        </w:rPr>
        <w:t>Interview, Eve 2011; I</w:t>
      </w:r>
      <w:r w:rsidRPr="005D086E">
        <w:rPr>
          <w:rFonts w:ascii="Garamond" w:hAnsi="Garamond"/>
          <w:sz w:val="24"/>
          <w:szCs w:val="24"/>
        </w:rPr>
        <w:t>nterview</w:t>
      </w:r>
      <w:r w:rsidR="00B002F4">
        <w:rPr>
          <w:rFonts w:ascii="Garamond" w:hAnsi="Garamond"/>
          <w:sz w:val="24"/>
          <w:szCs w:val="24"/>
        </w:rPr>
        <w:t>, Fountain</w:t>
      </w:r>
      <w:r w:rsidRPr="005D086E">
        <w:rPr>
          <w:rFonts w:ascii="Garamond" w:hAnsi="Garamond"/>
          <w:sz w:val="24"/>
          <w:szCs w:val="24"/>
        </w:rPr>
        <w:t xml:space="preserve"> 2011). These are the bare bones of the digitalized topos; STT’s inaugural handbook </w:t>
      </w:r>
      <w:r w:rsidRPr="005D086E">
        <w:rPr>
          <w:rFonts w:ascii="Garamond" w:hAnsi="Garamond"/>
          <w:i/>
          <w:sz w:val="24"/>
          <w:szCs w:val="24"/>
        </w:rPr>
        <w:t xml:space="preserve">Stop The Traffik </w:t>
      </w:r>
      <w:r w:rsidRPr="005D086E">
        <w:rPr>
          <w:rFonts w:ascii="Garamond" w:hAnsi="Garamond"/>
          <w:sz w:val="24"/>
          <w:szCs w:val="24"/>
        </w:rPr>
        <w:t xml:space="preserve">(2009) </w:t>
      </w:r>
      <w:r>
        <w:rPr>
          <w:rFonts w:ascii="Garamond" w:hAnsi="Garamond"/>
          <w:sz w:val="24"/>
          <w:szCs w:val="24"/>
        </w:rPr>
        <w:t xml:space="preserve">elucidates </w:t>
      </w:r>
      <w:r w:rsidRPr="005D086E">
        <w:rPr>
          <w:rFonts w:ascii="Garamond" w:hAnsi="Garamond"/>
          <w:sz w:val="24"/>
          <w:szCs w:val="24"/>
        </w:rPr>
        <w:t>a wider politics of p</w:t>
      </w:r>
      <w:r w:rsidR="00410C58">
        <w:rPr>
          <w:rFonts w:ascii="Garamond" w:hAnsi="Garamond"/>
          <w:sz w:val="24"/>
          <w:szCs w:val="24"/>
        </w:rPr>
        <w:t>ity, carnality and consumption.</w:t>
      </w:r>
    </w:p>
    <w:p w:rsidR="00410C58" w:rsidRDefault="00410C58" w:rsidP="00410C58">
      <w:pPr>
        <w:spacing w:after="0" w:line="360" w:lineRule="auto"/>
        <w:jc w:val="both"/>
        <w:rPr>
          <w:rFonts w:ascii="Garamond" w:hAnsi="Garamond"/>
          <w:sz w:val="24"/>
          <w:szCs w:val="24"/>
        </w:rPr>
      </w:pPr>
    </w:p>
    <w:p w:rsidR="004A7172" w:rsidRDefault="004A7172" w:rsidP="00410C58">
      <w:pPr>
        <w:spacing w:after="0" w:line="360" w:lineRule="auto"/>
        <w:jc w:val="both"/>
        <w:rPr>
          <w:rFonts w:ascii="Garamond" w:hAnsi="Garamond" w:cs="Times New Roman"/>
          <w:b/>
          <w:i/>
          <w:szCs w:val="24"/>
        </w:rPr>
      </w:pPr>
    </w:p>
    <w:p w:rsidR="00410C58" w:rsidRDefault="00472B3A" w:rsidP="00410C58">
      <w:pPr>
        <w:spacing w:after="0" w:line="360" w:lineRule="auto"/>
        <w:jc w:val="both"/>
        <w:rPr>
          <w:rFonts w:ascii="Garamond" w:hAnsi="Garamond" w:cs="Times New Roman"/>
          <w:b/>
          <w:i/>
          <w:szCs w:val="24"/>
        </w:rPr>
      </w:pPr>
      <w:r w:rsidRPr="003916ED">
        <w:rPr>
          <w:rFonts w:ascii="Garamond" w:hAnsi="Garamond" w:cs="Times New Roman"/>
          <w:b/>
          <w:i/>
          <w:szCs w:val="24"/>
        </w:rPr>
        <w:t>Manipulating child-producer subjectivities</w:t>
      </w:r>
    </w:p>
    <w:p w:rsidR="00410C58" w:rsidRDefault="00410C58" w:rsidP="00410C58">
      <w:pPr>
        <w:spacing w:after="0" w:line="360" w:lineRule="auto"/>
        <w:jc w:val="both"/>
        <w:rPr>
          <w:rFonts w:ascii="Garamond" w:hAnsi="Garamond" w:cs="Times New Roman"/>
          <w:b/>
          <w:i/>
          <w:szCs w:val="24"/>
        </w:rPr>
      </w:pPr>
    </w:p>
    <w:p w:rsidR="00410C58" w:rsidRDefault="00472B3A" w:rsidP="00410C58">
      <w:pPr>
        <w:spacing w:after="0" w:line="360" w:lineRule="auto"/>
        <w:jc w:val="both"/>
        <w:rPr>
          <w:rFonts w:ascii="Garamond" w:hAnsi="Garamond"/>
          <w:sz w:val="24"/>
          <w:szCs w:val="24"/>
        </w:rPr>
      </w:pPr>
      <w:r w:rsidRPr="005D086E">
        <w:rPr>
          <w:rFonts w:ascii="Garamond" w:hAnsi="Garamond"/>
          <w:sz w:val="24"/>
          <w:szCs w:val="24"/>
        </w:rPr>
        <w:t>The child producer-chocolate topos manipulates subjects</w:t>
      </w:r>
      <w:r>
        <w:rPr>
          <w:rFonts w:ascii="Garamond" w:hAnsi="Garamond"/>
          <w:sz w:val="24"/>
          <w:szCs w:val="24"/>
        </w:rPr>
        <w:t xml:space="preserve"> and our response to them, </w:t>
      </w:r>
      <w:r w:rsidRPr="005D086E">
        <w:rPr>
          <w:rFonts w:ascii="Garamond" w:hAnsi="Garamond"/>
          <w:sz w:val="24"/>
          <w:szCs w:val="24"/>
        </w:rPr>
        <w:t xml:space="preserve">a manipulation which Lawrance (2010a) refers to as part of the broader abolitionist tradition in providing particular types of oral histories and thematic tropes.  “When you eat chocolate, you eat my flesh”. The shock of this statement derives from its specific </w:t>
      </w:r>
      <w:r>
        <w:rPr>
          <w:rFonts w:ascii="Garamond" w:hAnsi="Garamond"/>
          <w:sz w:val="24"/>
          <w:szCs w:val="24"/>
        </w:rPr>
        <w:t>subjective relationality.</w:t>
      </w:r>
    </w:p>
    <w:p w:rsidR="00472B3A" w:rsidRPr="00410C58" w:rsidRDefault="00472B3A" w:rsidP="00410C58">
      <w:pPr>
        <w:spacing w:after="0" w:line="360" w:lineRule="auto"/>
        <w:jc w:val="both"/>
        <w:rPr>
          <w:rFonts w:ascii="Garamond" w:hAnsi="Garamond"/>
          <w:sz w:val="24"/>
          <w:szCs w:val="24"/>
        </w:rPr>
      </w:pPr>
    </w:p>
    <w:p w:rsidR="00472B3A" w:rsidRPr="005D086E" w:rsidRDefault="00472B3A" w:rsidP="00472B3A">
      <w:pPr>
        <w:spacing w:line="360" w:lineRule="auto"/>
        <w:jc w:val="center"/>
        <w:rPr>
          <w:rFonts w:ascii="Garamond" w:hAnsi="Garamond"/>
          <w:sz w:val="24"/>
          <w:szCs w:val="24"/>
        </w:rPr>
      </w:pPr>
      <w:r w:rsidRPr="005D086E">
        <w:rPr>
          <w:rFonts w:ascii="Garamond" w:hAnsi="Garamond"/>
          <w:noProof/>
          <w:sz w:val="24"/>
          <w:szCs w:val="24"/>
          <w:lang w:eastAsia="en-GB"/>
        </w:rPr>
        <w:drawing>
          <wp:inline distT="0" distB="0" distL="0" distR="0">
            <wp:extent cx="3619500" cy="3160367"/>
            <wp:effectExtent l="76200" t="25400" r="114300" b="65433"/>
            <wp:docPr id="36" name="Picture 13" descr="C:\Users\Hugh\Pictures\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Pictures\img068.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3619500" cy="316036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4CFD" w:rsidRDefault="00410C58" w:rsidP="00943FE2">
      <w:pPr>
        <w:pStyle w:val="Caption"/>
        <w:ind w:left="1276" w:right="1212"/>
        <w:jc w:val="center"/>
        <w:rPr>
          <w:rFonts w:ascii="Perpetua" w:hAnsi="Perpetua" w:cs="Times New Roman"/>
          <w:b w:val="0"/>
          <w:color w:val="auto"/>
          <w:sz w:val="20"/>
        </w:rPr>
      </w:pPr>
      <w:bookmarkStart w:id="545" w:name="_Toc263509042"/>
      <w:bookmarkStart w:id="546" w:name="_Toc263510829"/>
      <w:bookmarkStart w:id="547" w:name="_Toc244508245"/>
      <w:bookmarkStart w:id="548" w:name="_Toc244577307"/>
      <w:bookmarkStart w:id="549" w:name="_Toc263495776"/>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45</w:t>
      </w:r>
      <w:r w:rsidR="00DF2DF8" w:rsidRPr="00504CFD">
        <w:rPr>
          <w:rFonts w:ascii="Perpetua" w:hAnsi="Perpetua"/>
          <w:b w:val="0"/>
          <w:color w:val="auto"/>
          <w:sz w:val="20"/>
        </w:rPr>
        <w:fldChar w:fldCharType="end"/>
      </w:r>
      <w:r w:rsidR="00472B3A" w:rsidRPr="00504CFD">
        <w:rPr>
          <w:rFonts w:ascii="Perpetua" w:hAnsi="Perpetua" w:cs="Times New Roman"/>
          <w:b w:val="0"/>
          <w:color w:val="auto"/>
          <w:sz w:val="20"/>
        </w:rPr>
        <w:t>:</w:t>
      </w:r>
      <w:r w:rsidR="00472B3A" w:rsidRPr="00B55D6E">
        <w:rPr>
          <w:rFonts w:ascii="Perpetua" w:hAnsi="Perpetua" w:cs="Times New Roman"/>
          <w:b w:val="0"/>
          <w:color w:val="auto"/>
          <w:sz w:val="20"/>
        </w:rPr>
        <w:t xml:space="preserve"> </w:t>
      </w:r>
      <w:r w:rsidR="00504CFD">
        <w:rPr>
          <w:rFonts w:ascii="Perpetua" w:hAnsi="Perpetua" w:cs="Times New Roman"/>
          <w:b w:val="0"/>
          <w:color w:val="auto"/>
          <w:sz w:val="20"/>
        </w:rPr>
        <w:t>STT campaign material, ‘When you each chocolate, you eat my flesh’.</w:t>
      </w:r>
      <w:bookmarkEnd w:id="545"/>
      <w:bookmarkEnd w:id="546"/>
      <w:r w:rsidR="00504CFD">
        <w:rPr>
          <w:rFonts w:ascii="Perpetua" w:hAnsi="Perpetua" w:cs="Times New Roman"/>
          <w:b w:val="0"/>
          <w:color w:val="auto"/>
          <w:sz w:val="20"/>
        </w:rPr>
        <w:t xml:space="preserve"> </w:t>
      </w:r>
    </w:p>
    <w:p w:rsidR="00472B3A" w:rsidRPr="00504CFD" w:rsidRDefault="00504CFD" w:rsidP="00504CFD">
      <w:pPr>
        <w:ind w:left="1418"/>
        <w:rPr>
          <w:rFonts w:ascii="Perpetua" w:hAnsi="Perpetua"/>
          <w:sz w:val="20"/>
        </w:rPr>
      </w:pPr>
      <w:r w:rsidRPr="00504CFD">
        <w:rPr>
          <w:rFonts w:ascii="Perpetua" w:hAnsi="Perpetua"/>
          <w:sz w:val="20"/>
        </w:rPr>
        <w:t>The material demonstrates how STT manipulate</w:t>
      </w:r>
      <w:r w:rsidR="00472B3A" w:rsidRPr="00504CFD">
        <w:rPr>
          <w:rFonts w:ascii="Perpetua" w:hAnsi="Perpetua"/>
          <w:sz w:val="20"/>
        </w:rPr>
        <w:t xml:space="preserve"> subjectivities in the c</w:t>
      </w:r>
      <w:r w:rsidRPr="00504CFD">
        <w:rPr>
          <w:rFonts w:ascii="Perpetua" w:hAnsi="Perpetua"/>
          <w:sz w:val="20"/>
        </w:rPr>
        <w:t>hild producer – chocolate topos. Image from Chalke (</w:t>
      </w:r>
      <w:r w:rsidR="00472B3A" w:rsidRPr="00504CFD">
        <w:rPr>
          <w:rFonts w:ascii="Perpetua" w:hAnsi="Perpetua"/>
          <w:sz w:val="20"/>
        </w:rPr>
        <w:t>2009: 99</w:t>
      </w:r>
      <w:bookmarkEnd w:id="547"/>
      <w:bookmarkEnd w:id="548"/>
      <w:bookmarkEnd w:id="549"/>
      <w:r w:rsidRPr="00504CFD">
        <w:rPr>
          <w:rFonts w:ascii="Perpetua" w:hAnsi="Perpetua"/>
          <w:sz w:val="20"/>
        </w:rPr>
        <w:t>).</w:t>
      </w:r>
    </w:p>
    <w:p w:rsidR="00B55D6E" w:rsidRDefault="00B55D6E" w:rsidP="00472B3A">
      <w:pPr>
        <w:spacing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Pr>
          <w:rFonts w:ascii="Garamond" w:hAnsi="Garamond"/>
          <w:sz w:val="24"/>
          <w:szCs w:val="24"/>
        </w:rPr>
        <w:t>Across anti-trafficking campaign materials</w:t>
      </w:r>
      <w:r w:rsidRPr="005D086E">
        <w:rPr>
          <w:rFonts w:ascii="Garamond" w:hAnsi="Garamond"/>
          <w:sz w:val="24"/>
          <w:szCs w:val="24"/>
        </w:rPr>
        <w:t xml:space="preserve"> the quotation marks</w:t>
      </w:r>
      <w:r>
        <w:rPr>
          <w:rFonts w:ascii="Garamond" w:hAnsi="Garamond"/>
          <w:sz w:val="24"/>
          <w:szCs w:val="24"/>
        </w:rPr>
        <w:t xml:space="preserve"> around the statement</w:t>
      </w:r>
      <w:r w:rsidRPr="005D086E">
        <w:rPr>
          <w:rFonts w:ascii="Garamond" w:hAnsi="Garamond"/>
          <w:sz w:val="24"/>
          <w:szCs w:val="24"/>
        </w:rPr>
        <w:t xml:space="preserve"> are misleading</w:t>
      </w:r>
      <w:r>
        <w:rPr>
          <w:rFonts w:ascii="Garamond" w:hAnsi="Garamond"/>
          <w:sz w:val="24"/>
          <w:szCs w:val="24"/>
        </w:rPr>
        <w:t>,</w:t>
      </w:r>
      <w:r w:rsidRPr="005D086E">
        <w:rPr>
          <w:rFonts w:ascii="Garamond" w:hAnsi="Garamond"/>
          <w:sz w:val="24"/>
          <w:szCs w:val="24"/>
        </w:rPr>
        <w:t xml:space="preserve"> as the identity of their user is subsumed firstly by the universal moniker ‘former s</w:t>
      </w:r>
      <w:r>
        <w:rPr>
          <w:rFonts w:ascii="Garamond" w:hAnsi="Garamond"/>
          <w:sz w:val="24"/>
          <w:szCs w:val="24"/>
        </w:rPr>
        <w:t>lave’, secondly by the populariz</w:t>
      </w:r>
      <w:r w:rsidRPr="005D086E">
        <w:rPr>
          <w:rFonts w:ascii="Garamond" w:hAnsi="Garamond"/>
          <w:sz w:val="24"/>
          <w:szCs w:val="24"/>
        </w:rPr>
        <w:t>ation of the phrase as an abolitionist leitmotiv, and thir</w:t>
      </w:r>
      <w:r>
        <w:rPr>
          <w:rFonts w:ascii="Garamond" w:hAnsi="Garamond"/>
          <w:sz w:val="24"/>
          <w:szCs w:val="24"/>
        </w:rPr>
        <w:t>dly</w:t>
      </w:r>
      <w:r w:rsidR="00B55D6E">
        <w:rPr>
          <w:rFonts w:ascii="Garamond" w:hAnsi="Garamond"/>
          <w:sz w:val="24"/>
          <w:szCs w:val="24"/>
        </w:rPr>
        <w:t>,</w:t>
      </w:r>
      <w:r>
        <w:rPr>
          <w:rFonts w:ascii="Garamond" w:hAnsi="Garamond"/>
          <w:sz w:val="24"/>
          <w:szCs w:val="24"/>
        </w:rPr>
        <w:t xml:space="preserve"> by the dramatized re-subjec</w:t>
      </w:r>
      <w:r w:rsidRPr="005D086E">
        <w:rPr>
          <w:rFonts w:ascii="Garamond" w:hAnsi="Garamond"/>
          <w:sz w:val="24"/>
          <w:szCs w:val="24"/>
        </w:rPr>
        <w:t xml:space="preserve">tification of the term, a deliberative process of attributing the phrase to a range of different slaves and different forms of suffering, a process apparent in </w:t>
      </w:r>
      <w:r w:rsidRPr="005D086E">
        <w:rPr>
          <w:rFonts w:ascii="Garamond" w:hAnsi="Garamond"/>
          <w:i/>
          <w:sz w:val="24"/>
          <w:szCs w:val="24"/>
        </w:rPr>
        <w:t>Stop The Traffik</w:t>
      </w:r>
      <w:r w:rsidRPr="005D086E">
        <w:rPr>
          <w:rFonts w:ascii="Garamond" w:hAnsi="Garamond"/>
          <w:sz w:val="24"/>
          <w:szCs w:val="24"/>
        </w:rPr>
        <w:t xml:space="preserve"> (2009). The original phrase is lifted from the 2001 BBC documentary </w:t>
      </w:r>
      <w:r w:rsidRPr="005D086E">
        <w:rPr>
          <w:rFonts w:ascii="Garamond" w:hAnsi="Garamond"/>
          <w:i/>
          <w:sz w:val="24"/>
          <w:szCs w:val="24"/>
        </w:rPr>
        <w:t>Slavery: A Global Investigation.</w:t>
      </w:r>
      <w:r>
        <w:rPr>
          <w:rFonts w:ascii="Garamond" w:hAnsi="Garamond"/>
          <w:sz w:val="24"/>
          <w:szCs w:val="24"/>
        </w:rPr>
        <w:t xml:space="preserve"> STT’s contextualiz</w:t>
      </w:r>
      <w:r w:rsidRPr="005D086E">
        <w:rPr>
          <w:rFonts w:ascii="Garamond" w:hAnsi="Garamond"/>
          <w:sz w:val="24"/>
          <w:szCs w:val="24"/>
        </w:rPr>
        <w:t>ing caption references the documentary and reads</w:t>
      </w:r>
      <w:r>
        <w:rPr>
          <w:rFonts w:ascii="Garamond" w:hAnsi="Garamond"/>
          <w:sz w:val="24"/>
          <w:szCs w:val="24"/>
        </w:rPr>
        <w:t>:</w:t>
      </w:r>
      <w:r w:rsidRPr="005D086E">
        <w:rPr>
          <w:rFonts w:ascii="Garamond" w:hAnsi="Garamond"/>
          <w:sz w:val="24"/>
          <w:szCs w:val="24"/>
        </w:rPr>
        <w:t xml:space="preserve"> “A boy, eleven</w:t>
      </w:r>
      <w:r>
        <w:rPr>
          <w:rFonts w:ascii="Garamond" w:hAnsi="Garamond"/>
          <w:sz w:val="24"/>
          <w:szCs w:val="24"/>
        </w:rPr>
        <w:t>,</w:t>
      </w:r>
      <w:r w:rsidRPr="005D086E">
        <w:rPr>
          <w:rFonts w:ascii="Garamond" w:hAnsi="Garamond"/>
          <w:sz w:val="24"/>
          <w:szCs w:val="24"/>
        </w:rPr>
        <w:t xml:space="preserve"> trafficked into the Ivory Coast to work in a cocoa plantation” (2009: 99). Above the caption is a photograph of a boy who stands next to a tree warily looking up at the camera, his shirt removed and his back scarred with old and new wounds. The structures of affect that images like this educe have long histories in humanitarian discourse. Durham Peters writes: </w:t>
      </w:r>
    </w:p>
    <w:p w:rsidR="00472B3A" w:rsidRPr="005D086E" w:rsidRDefault="00472B3A" w:rsidP="00B55D6E">
      <w:pPr>
        <w:spacing w:after="0" w:line="360" w:lineRule="auto"/>
        <w:jc w:val="both"/>
        <w:rPr>
          <w:rFonts w:ascii="Garamond" w:hAnsi="Garamond"/>
          <w:sz w:val="24"/>
          <w:szCs w:val="24"/>
        </w:rPr>
      </w:pPr>
    </w:p>
    <w:p w:rsidR="00472B3A" w:rsidRPr="005D086E" w:rsidRDefault="00472B3A" w:rsidP="00B55D6E">
      <w:pPr>
        <w:spacing w:after="0" w:line="360" w:lineRule="auto"/>
        <w:ind w:left="284" w:right="284"/>
        <w:jc w:val="both"/>
        <w:rPr>
          <w:rFonts w:ascii="Garamond" w:hAnsi="Garamond"/>
        </w:rPr>
      </w:pPr>
      <w:r w:rsidRPr="005D086E">
        <w:rPr>
          <w:rFonts w:ascii="Garamond" w:hAnsi="Garamond" w:cs="Times New Roman"/>
        </w:rPr>
        <w:t>humanitarian care and spectacular sorrowful images go together. These are historical structures of feeling that shape our world of images and</w:t>
      </w:r>
      <w:r w:rsidR="00B55D6E">
        <w:rPr>
          <w:rFonts w:ascii="Garamond" w:hAnsi="Garamond" w:cs="Times New Roman"/>
        </w:rPr>
        <w:t xml:space="preserve"> responses to them. (2005: </w:t>
      </w:r>
      <w:r>
        <w:rPr>
          <w:rFonts w:ascii="Garamond" w:hAnsi="Garamond" w:cs="Times New Roman"/>
        </w:rPr>
        <w:t>224)</w:t>
      </w:r>
      <w:r w:rsidRPr="005D086E">
        <w:rPr>
          <w:rFonts w:ascii="Garamond" w:hAnsi="Garamond"/>
        </w:rPr>
        <w:t xml:space="preserve"> </w:t>
      </w:r>
    </w:p>
    <w:p w:rsidR="00472B3A" w:rsidRPr="005D086E" w:rsidRDefault="00472B3A" w:rsidP="00B55D6E">
      <w:pPr>
        <w:spacing w:after="0"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lastRenderedPageBreak/>
        <w:t xml:space="preserve">The camera, to his right </w:t>
      </w:r>
      <w:r>
        <w:rPr>
          <w:rFonts w:ascii="Garamond" w:hAnsi="Garamond"/>
          <w:sz w:val="24"/>
          <w:szCs w:val="24"/>
        </w:rPr>
        <w:t xml:space="preserve">and </w:t>
      </w:r>
      <w:r w:rsidRPr="005D086E">
        <w:rPr>
          <w:rFonts w:ascii="Garamond" w:hAnsi="Garamond"/>
          <w:sz w:val="24"/>
          <w:szCs w:val="24"/>
        </w:rPr>
        <w:t>above the boy’s head and shoulders</w:t>
      </w:r>
      <w:r>
        <w:rPr>
          <w:rFonts w:ascii="Garamond" w:hAnsi="Garamond"/>
          <w:sz w:val="24"/>
          <w:szCs w:val="24"/>
        </w:rPr>
        <w:t>,</w:t>
      </w:r>
      <w:r w:rsidRPr="005D086E">
        <w:rPr>
          <w:rFonts w:ascii="Garamond" w:hAnsi="Garamond"/>
          <w:sz w:val="24"/>
          <w:szCs w:val="24"/>
        </w:rPr>
        <w:t xml:space="preserve"> reveal his scars. The same caption for the flesh statement is repeated to the margin of the photograph. The suggestion is that the quote came from the boy depicted, and that by eating chocolate you may eat</w:t>
      </w:r>
      <w:r w:rsidRPr="005D086E">
        <w:rPr>
          <w:rFonts w:ascii="Garamond" w:hAnsi="Garamond"/>
          <w:i/>
          <w:sz w:val="24"/>
          <w:szCs w:val="24"/>
        </w:rPr>
        <w:t xml:space="preserve"> his</w:t>
      </w:r>
      <w:r w:rsidRPr="005D086E">
        <w:rPr>
          <w:rFonts w:ascii="Garamond" w:hAnsi="Garamond"/>
          <w:sz w:val="24"/>
          <w:szCs w:val="24"/>
        </w:rPr>
        <w:t xml:space="preserve"> flesh and scar </w:t>
      </w:r>
      <w:r w:rsidRPr="005D086E">
        <w:rPr>
          <w:rFonts w:ascii="Garamond" w:hAnsi="Garamond"/>
          <w:i/>
          <w:sz w:val="24"/>
          <w:szCs w:val="24"/>
        </w:rPr>
        <w:t>him</w:t>
      </w:r>
      <w:r w:rsidRPr="005D086E">
        <w:rPr>
          <w:rFonts w:ascii="Garamond" w:hAnsi="Garamond"/>
          <w:sz w:val="24"/>
          <w:szCs w:val="24"/>
        </w:rPr>
        <w:t xml:space="preserve"> further</w:t>
      </w:r>
      <w:r>
        <w:rPr>
          <w:rFonts w:ascii="Garamond" w:hAnsi="Garamond"/>
          <w:sz w:val="24"/>
          <w:szCs w:val="24"/>
        </w:rPr>
        <w:t>; but t</w:t>
      </w:r>
      <w:r w:rsidRPr="005D086E">
        <w:rPr>
          <w:rFonts w:ascii="Garamond" w:hAnsi="Garamond"/>
          <w:sz w:val="24"/>
          <w:szCs w:val="24"/>
        </w:rPr>
        <w:t>he</w:t>
      </w:r>
      <w:r>
        <w:rPr>
          <w:rFonts w:ascii="Garamond" w:hAnsi="Garamond"/>
          <w:sz w:val="24"/>
          <w:szCs w:val="24"/>
        </w:rPr>
        <w:t xml:space="preserve"> original statement from Blewett</w:t>
      </w:r>
      <w:r w:rsidRPr="005D086E">
        <w:rPr>
          <w:rFonts w:ascii="Garamond" w:hAnsi="Garamond"/>
          <w:sz w:val="24"/>
          <w:szCs w:val="24"/>
        </w:rPr>
        <w:t xml:space="preserve"> </w:t>
      </w:r>
      <w:r>
        <w:rPr>
          <w:rFonts w:ascii="Garamond" w:hAnsi="Garamond"/>
          <w:sz w:val="24"/>
          <w:szCs w:val="24"/>
        </w:rPr>
        <w:t>and</w:t>
      </w:r>
      <w:r w:rsidRPr="005D086E">
        <w:rPr>
          <w:rFonts w:ascii="Garamond" w:hAnsi="Garamond"/>
          <w:sz w:val="24"/>
          <w:szCs w:val="24"/>
        </w:rPr>
        <w:t xml:space="preserve"> Wood’s (2001) documentary was made by a young man of different appearance who was broad</w:t>
      </w:r>
      <w:r w:rsidR="00B55D6E">
        <w:rPr>
          <w:rFonts w:ascii="Garamond" w:hAnsi="Garamond"/>
          <w:sz w:val="24"/>
          <w:szCs w:val="24"/>
        </w:rPr>
        <w:t xml:space="preserve"> in shoulder and deep in voice.</w:t>
      </w:r>
    </w:p>
    <w:p w:rsidR="00B55D6E" w:rsidRDefault="00B55D6E" w:rsidP="00B55D6E">
      <w:pPr>
        <w:spacing w:after="0"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t xml:space="preserve">In manipulating subjectivity, what is at stake here? </w:t>
      </w:r>
      <w:r w:rsidRPr="005D086E">
        <w:rPr>
          <w:rFonts w:ascii="Garamond" w:eastAsia="Times New Roman" w:hAnsi="Garamond" w:cs="Times New Roman"/>
          <w:sz w:val="24"/>
          <w:szCs w:val="24"/>
          <w:lang w:val="en-US"/>
        </w:rPr>
        <w:t xml:space="preserve">STT’s child producer-chocolate topos stages the production of cocoa as part of a politics of pity, which to quote Boltanski </w:t>
      </w:r>
      <w:r w:rsidRPr="005D086E">
        <w:rPr>
          <w:rFonts w:ascii="Garamond" w:eastAsia="Times New Roman" w:hAnsi="Garamond" w:cs="Times New Roman"/>
          <w:sz w:val="24"/>
          <w:szCs w:val="24"/>
        </w:rPr>
        <w:t>“</w:t>
      </w:r>
      <w:r w:rsidRPr="005D086E">
        <w:rPr>
          <w:rFonts w:ascii="Garamond" w:eastAsia="Times New Roman" w:hAnsi="Garamond" w:cs="Times New Roman"/>
          <w:sz w:val="24"/>
          <w:szCs w:val="24"/>
          <w:lang w:val="en-US"/>
        </w:rPr>
        <w:t>generalises in order to deal with distance, and in order to generalise becomes eloquent, recognizing and discovering itself as emotion and feeling</w:t>
      </w:r>
      <w:r w:rsidRPr="005D086E">
        <w:rPr>
          <w:rFonts w:ascii="Garamond" w:eastAsia="Times New Roman" w:hAnsi="Garamond" w:cs="Times New Roman"/>
          <w:sz w:val="24"/>
          <w:szCs w:val="24"/>
        </w:rPr>
        <w:t>”</w:t>
      </w:r>
      <w:r w:rsidRPr="005D086E">
        <w:rPr>
          <w:rFonts w:ascii="Garamond" w:eastAsia="Times New Roman" w:hAnsi="Garamond" w:cs="Times New Roman"/>
          <w:sz w:val="24"/>
          <w:szCs w:val="24"/>
          <w:lang w:val="en-US"/>
        </w:rPr>
        <w:t xml:space="preserve"> (1999: 6). The politics of pity is argumentative; it is p</w:t>
      </w:r>
      <w:r>
        <w:rPr>
          <w:rFonts w:ascii="Garamond" w:eastAsia="Times New Roman" w:hAnsi="Garamond" w:cs="Times New Roman"/>
          <w:sz w:val="24"/>
          <w:szCs w:val="24"/>
          <w:lang w:val="en-US"/>
        </w:rPr>
        <w:t>rone to exaggeration and pseudo-</w:t>
      </w:r>
      <w:r w:rsidRPr="005D086E">
        <w:rPr>
          <w:rFonts w:ascii="Garamond" w:eastAsia="Times New Roman" w:hAnsi="Garamond" w:cs="Times New Roman"/>
          <w:sz w:val="24"/>
          <w:szCs w:val="24"/>
          <w:lang w:val="en-US"/>
        </w:rPr>
        <w:t>evidence.</w:t>
      </w:r>
      <w:r w:rsidRPr="005D086E">
        <w:rPr>
          <w:rFonts w:ascii="Garamond" w:hAnsi="Garamond"/>
          <w:sz w:val="24"/>
          <w:szCs w:val="24"/>
        </w:rPr>
        <w:t xml:space="preserve"> STT inf</w:t>
      </w:r>
      <w:r>
        <w:rPr>
          <w:rFonts w:ascii="Garamond" w:hAnsi="Garamond"/>
          <w:sz w:val="24"/>
          <w:szCs w:val="24"/>
        </w:rPr>
        <w:t>antilize their chocolate anthropophagy</w:t>
      </w:r>
      <w:r w:rsidRPr="005D086E">
        <w:rPr>
          <w:rFonts w:ascii="Garamond" w:hAnsi="Garamond"/>
          <w:sz w:val="24"/>
          <w:szCs w:val="24"/>
        </w:rPr>
        <w:t xml:space="preserve"> to add emotive impact to the topos, and they use photographs and video screenshots of real children and young people working in the farms of the </w:t>
      </w:r>
      <w:r>
        <w:rPr>
          <w:rFonts w:ascii="Garamond" w:hAnsi="Garamond"/>
          <w:sz w:val="24"/>
          <w:szCs w:val="24"/>
        </w:rPr>
        <w:t>Côte</w:t>
      </w:r>
      <w:r w:rsidRPr="005D086E">
        <w:rPr>
          <w:rFonts w:ascii="Garamond" w:hAnsi="Garamond"/>
          <w:sz w:val="24"/>
          <w:szCs w:val="24"/>
        </w:rPr>
        <w:t xml:space="preserve"> D’Ivoire. Images of other forms of trafficking in different chapters use “commissioned photography [which] has been taken in the stu</w:t>
      </w:r>
      <w:r w:rsidR="00B55D6E">
        <w:rPr>
          <w:rFonts w:ascii="Garamond" w:hAnsi="Garamond"/>
          <w:sz w:val="24"/>
          <w:szCs w:val="24"/>
        </w:rPr>
        <w:t xml:space="preserve">dio and posed by models” (2009: </w:t>
      </w:r>
      <w:r w:rsidRPr="005D086E">
        <w:rPr>
          <w:rFonts w:ascii="Garamond" w:hAnsi="Garamond"/>
          <w:sz w:val="24"/>
          <w:szCs w:val="24"/>
        </w:rPr>
        <w:t>4) to create hyper-real violent simulacra (Baudrillard, 1994). However, the publication treats cocoa trafficking as a special case that requires its captions to exaggerate innocence and its photographs to pro</w:t>
      </w:r>
      <w:r w:rsidR="00B55D6E">
        <w:rPr>
          <w:rFonts w:ascii="Garamond" w:hAnsi="Garamond"/>
          <w:sz w:val="24"/>
          <w:szCs w:val="24"/>
        </w:rPr>
        <w:t>vide evidence of real violence.</w:t>
      </w:r>
    </w:p>
    <w:p w:rsidR="00504CFD" w:rsidRDefault="00504CFD" w:rsidP="00B55D6E">
      <w:pPr>
        <w:spacing w:after="0" w:line="360" w:lineRule="auto"/>
        <w:jc w:val="both"/>
        <w:rPr>
          <w:rFonts w:ascii="Garamond" w:hAnsi="Garamond"/>
          <w:b/>
          <w:i/>
          <w:szCs w:val="24"/>
        </w:rPr>
      </w:pPr>
    </w:p>
    <w:p w:rsidR="00B55D6E" w:rsidRDefault="00472B3A" w:rsidP="00B55D6E">
      <w:pPr>
        <w:spacing w:after="0" w:line="360" w:lineRule="auto"/>
        <w:jc w:val="both"/>
        <w:rPr>
          <w:rFonts w:ascii="Garamond" w:hAnsi="Garamond"/>
          <w:b/>
          <w:i/>
          <w:szCs w:val="24"/>
        </w:rPr>
      </w:pPr>
      <w:r w:rsidRPr="003916ED">
        <w:rPr>
          <w:rFonts w:ascii="Garamond" w:hAnsi="Garamond"/>
          <w:b/>
          <w:i/>
          <w:szCs w:val="24"/>
        </w:rPr>
        <w:t>Staging anthropophagia</w:t>
      </w:r>
    </w:p>
    <w:p w:rsidR="00B55D6E" w:rsidRDefault="00B55D6E" w:rsidP="00B55D6E">
      <w:pPr>
        <w:spacing w:after="0" w:line="360" w:lineRule="auto"/>
        <w:jc w:val="both"/>
        <w:rPr>
          <w:rFonts w:ascii="Garamond" w:hAnsi="Garamond"/>
          <w:b/>
          <w:i/>
          <w:szCs w:val="24"/>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t>The de-subjectivizing propensity of staged pity enables the primary bodywork of the child-producer topos; the figurative trick of the topos turns children into meaty and blood-filled carcasses. Blood and flesh were the two somatic staples of the romantic blood-sugar topos of the late eighteenth cent</w:t>
      </w:r>
      <w:r>
        <w:rPr>
          <w:rFonts w:ascii="Garamond" w:hAnsi="Garamond"/>
          <w:sz w:val="24"/>
          <w:szCs w:val="24"/>
        </w:rPr>
        <w:t>ury (Morton, 2000; Sheller, 2003</w:t>
      </w:r>
      <w:r w:rsidRPr="005D086E">
        <w:rPr>
          <w:rFonts w:ascii="Garamond" w:hAnsi="Garamond"/>
          <w:sz w:val="24"/>
          <w:szCs w:val="24"/>
        </w:rPr>
        <w:t xml:space="preserve">) and of the BOA’s blood-orange boycotts.  </w:t>
      </w:r>
      <w:r w:rsidRPr="005D086E">
        <w:rPr>
          <w:rFonts w:ascii="Garamond" w:hAnsi="Garamond"/>
          <w:i/>
          <w:sz w:val="24"/>
          <w:szCs w:val="24"/>
        </w:rPr>
        <w:t xml:space="preserve">Stop The Traffik </w:t>
      </w:r>
      <w:r w:rsidRPr="005D086E">
        <w:rPr>
          <w:rFonts w:ascii="Garamond" w:hAnsi="Garamond"/>
          <w:sz w:val="24"/>
          <w:szCs w:val="24"/>
        </w:rPr>
        <w:t>(2009) reproduce this topos in a spectacle of black mutilation, “mangling flesh” (Mort</w:t>
      </w:r>
      <w:r>
        <w:rPr>
          <w:rFonts w:ascii="Garamond" w:hAnsi="Garamond"/>
          <w:sz w:val="24"/>
          <w:szCs w:val="24"/>
        </w:rPr>
        <w:t>on, 2000</w:t>
      </w:r>
      <w:r w:rsidRPr="005D086E">
        <w:rPr>
          <w:rFonts w:ascii="Garamond" w:hAnsi="Garamond"/>
          <w:sz w:val="24"/>
          <w:szCs w:val="24"/>
        </w:rPr>
        <w:t xml:space="preserve">) and meat. The chapter entitled ‘BUY’ frames the violence with a carnal relationship between consumer and producer bodies, of eater and eaten; it reads as an anthropophagic account of cocoa trafficking. Eating and drinking </w:t>
      </w:r>
      <w:r>
        <w:rPr>
          <w:rFonts w:ascii="Garamond" w:hAnsi="Garamond"/>
          <w:sz w:val="24"/>
          <w:szCs w:val="24"/>
        </w:rPr>
        <w:t xml:space="preserve">flesh and blood </w:t>
      </w:r>
      <w:r w:rsidRPr="005D086E">
        <w:rPr>
          <w:rFonts w:ascii="Garamond" w:hAnsi="Garamond"/>
          <w:sz w:val="24"/>
          <w:szCs w:val="24"/>
        </w:rPr>
        <w:t xml:space="preserve">is literalized by witness statements and former slave testimonies: </w:t>
      </w:r>
    </w:p>
    <w:p w:rsidR="00472B3A" w:rsidRPr="005D086E" w:rsidRDefault="00472B3A" w:rsidP="00B55D6E">
      <w:pPr>
        <w:spacing w:after="0" w:line="360" w:lineRule="auto"/>
        <w:jc w:val="both"/>
        <w:rPr>
          <w:rFonts w:ascii="Garamond" w:hAnsi="Garamond"/>
          <w:sz w:val="24"/>
          <w:szCs w:val="24"/>
        </w:rPr>
      </w:pPr>
    </w:p>
    <w:p w:rsidR="00B55D6E" w:rsidRDefault="00472B3A" w:rsidP="00B55D6E">
      <w:pPr>
        <w:spacing w:after="0" w:line="360" w:lineRule="auto"/>
        <w:ind w:left="284" w:right="284"/>
        <w:jc w:val="both"/>
        <w:rPr>
          <w:rFonts w:ascii="Garamond" w:hAnsi="Garamond"/>
        </w:rPr>
      </w:pPr>
      <w:r w:rsidRPr="005D086E">
        <w:rPr>
          <w:rFonts w:ascii="Garamond" w:hAnsi="Garamond"/>
        </w:rPr>
        <w:t>The fear I felt was like heavy rocks piled up on top of me. And there was no way out…</w:t>
      </w:r>
      <w:r>
        <w:rPr>
          <w:rFonts w:ascii="Garamond" w:hAnsi="Garamond"/>
        </w:rPr>
        <w:t xml:space="preserve"> </w:t>
      </w:r>
      <w:r w:rsidRPr="005D086E">
        <w:rPr>
          <w:rFonts w:ascii="Garamond" w:hAnsi="Garamond"/>
        </w:rPr>
        <w:t xml:space="preserve">I’d seen other slaves who dared to try and run away. They were whipped until what little </w:t>
      </w:r>
      <w:r w:rsidRPr="005D086E">
        <w:rPr>
          <w:rFonts w:ascii="Garamond" w:hAnsi="Garamond"/>
        </w:rPr>
        <w:lastRenderedPageBreak/>
        <w:t>flesh there was left on their backs hung like st</w:t>
      </w:r>
      <w:r>
        <w:rPr>
          <w:rFonts w:ascii="Garamond" w:hAnsi="Garamond"/>
        </w:rPr>
        <w:t>rips of meat in the smoke house.</w:t>
      </w:r>
      <w:r w:rsidRPr="005D086E">
        <w:rPr>
          <w:rFonts w:ascii="Garamond" w:hAnsi="Garamond"/>
        </w:rPr>
        <w:t xml:space="preserve"> (Blackman, 2007, in Chalke 2009: 102)</w:t>
      </w:r>
    </w:p>
    <w:p w:rsidR="00472B3A" w:rsidRPr="005D086E" w:rsidRDefault="00472B3A" w:rsidP="00B55D6E">
      <w:pPr>
        <w:spacing w:after="0" w:line="360" w:lineRule="auto"/>
        <w:ind w:left="284" w:right="284"/>
        <w:jc w:val="both"/>
        <w:rPr>
          <w:rFonts w:ascii="Garamond" w:hAnsi="Garamond"/>
        </w:rPr>
      </w:pPr>
    </w:p>
    <w:p w:rsidR="00B55D6E" w:rsidRDefault="00472B3A" w:rsidP="00B55D6E">
      <w:pPr>
        <w:spacing w:after="0" w:line="360" w:lineRule="auto"/>
        <w:ind w:left="284" w:right="284"/>
        <w:jc w:val="both"/>
        <w:rPr>
          <w:rFonts w:ascii="Garamond" w:hAnsi="Garamond"/>
        </w:rPr>
      </w:pPr>
      <w:r w:rsidRPr="005D086E">
        <w:rPr>
          <w:rFonts w:ascii="Garamond" w:hAnsi="Garamond"/>
        </w:rPr>
        <w:t>People drinking cocoa are drinking their blood…</w:t>
      </w:r>
      <w:r>
        <w:rPr>
          <w:rFonts w:ascii="Garamond" w:hAnsi="Garamond"/>
        </w:rPr>
        <w:t xml:space="preserve"> </w:t>
      </w:r>
      <w:r w:rsidRPr="005D086E">
        <w:rPr>
          <w:rFonts w:ascii="Garamond" w:hAnsi="Garamond"/>
        </w:rPr>
        <w:t>It’s the blood of young children carrying six kilograms of cocoa sacks so heavy that they have wounds on their shoulders…</w:t>
      </w:r>
      <w:r>
        <w:rPr>
          <w:rFonts w:ascii="Garamond" w:hAnsi="Garamond"/>
        </w:rPr>
        <w:t xml:space="preserve"> </w:t>
      </w:r>
      <w:r w:rsidRPr="005D086E">
        <w:rPr>
          <w:rFonts w:ascii="Garamond" w:hAnsi="Garamond"/>
        </w:rPr>
        <w:t>Travelling deeper and deeper into the cocoa belt, I saw no electricity. No drainage, and child after child, mac</w:t>
      </w:r>
      <w:r>
        <w:rPr>
          <w:rFonts w:ascii="Garamond" w:hAnsi="Garamond"/>
        </w:rPr>
        <w:t xml:space="preserve">hete in hand and scars on legs. </w:t>
      </w:r>
      <w:r w:rsidRPr="005D086E">
        <w:rPr>
          <w:rFonts w:ascii="Garamond" w:hAnsi="Garamond"/>
        </w:rPr>
        <w:t>(Hawksley, 2007 in Chalke, 2009: 100)</w:t>
      </w:r>
    </w:p>
    <w:p w:rsidR="00472B3A" w:rsidRPr="005D086E" w:rsidRDefault="00472B3A" w:rsidP="00B55D6E">
      <w:pPr>
        <w:spacing w:after="0" w:line="360" w:lineRule="auto"/>
        <w:ind w:left="284" w:right="284"/>
        <w:jc w:val="both"/>
        <w:rPr>
          <w:rFonts w:ascii="Garamond" w:hAnsi="Garamond"/>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t>These sources</w:t>
      </w:r>
      <w:r>
        <w:rPr>
          <w:rFonts w:ascii="Garamond" w:hAnsi="Garamond"/>
          <w:sz w:val="24"/>
          <w:szCs w:val="24"/>
        </w:rPr>
        <w:t xml:space="preserve">, </w:t>
      </w:r>
      <w:r w:rsidRPr="005D086E">
        <w:rPr>
          <w:rFonts w:ascii="Garamond" w:hAnsi="Garamond"/>
          <w:sz w:val="24"/>
          <w:szCs w:val="24"/>
        </w:rPr>
        <w:t xml:space="preserve">the first a former slave testimony from </w:t>
      </w:r>
      <w:r w:rsidRPr="005D086E">
        <w:rPr>
          <w:rFonts w:ascii="Garamond" w:hAnsi="Garamond"/>
          <w:i/>
          <w:sz w:val="24"/>
          <w:szCs w:val="24"/>
        </w:rPr>
        <w:t xml:space="preserve">Unheard Voices </w:t>
      </w:r>
      <w:r w:rsidRPr="005D086E">
        <w:rPr>
          <w:rFonts w:ascii="Garamond" w:hAnsi="Garamond"/>
          <w:sz w:val="24"/>
          <w:szCs w:val="24"/>
        </w:rPr>
        <w:t>(2007) and the second a witness account by the BBC journalist Humphrey Hawksley (2007)</w:t>
      </w:r>
      <w:r>
        <w:rPr>
          <w:rFonts w:ascii="Garamond" w:hAnsi="Garamond"/>
          <w:sz w:val="24"/>
          <w:szCs w:val="24"/>
        </w:rPr>
        <w:t>,</w:t>
      </w:r>
      <w:r w:rsidRPr="005D086E">
        <w:rPr>
          <w:rFonts w:ascii="Garamond" w:hAnsi="Garamond"/>
          <w:sz w:val="24"/>
          <w:szCs w:val="24"/>
        </w:rPr>
        <w:t xml:space="preserve"> are provided as documentary evidence of slavery and violence in the cocoa industry</w:t>
      </w:r>
      <w:r>
        <w:rPr>
          <w:rFonts w:ascii="Garamond" w:hAnsi="Garamond"/>
          <w:sz w:val="24"/>
          <w:szCs w:val="24"/>
        </w:rPr>
        <w:t>. T</w:t>
      </w:r>
      <w:r w:rsidRPr="005D086E">
        <w:rPr>
          <w:rFonts w:ascii="Garamond" w:hAnsi="Garamond"/>
          <w:sz w:val="24"/>
          <w:szCs w:val="24"/>
        </w:rPr>
        <w:t xml:space="preserve">hey emote a moral politics of chocolate consumption. </w:t>
      </w:r>
      <w:r>
        <w:rPr>
          <w:rFonts w:ascii="Garamond" w:hAnsi="Garamond"/>
          <w:sz w:val="24"/>
          <w:szCs w:val="24"/>
        </w:rPr>
        <w:t>However,</w:t>
      </w:r>
      <w:r w:rsidRPr="005D086E">
        <w:rPr>
          <w:rFonts w:ascii="Garamond" w:hAnsi="Garamond"/>
          <w:sz w:val="24"/>
          <w:szCs w:val="24"/>
        </w:rPr>
        <w:t xml:space="preserve"> both testimony and witness account are problematic</w:t>
      </w:r>
      <w:r>
        <w:rPr>
          <w:rFonts w:ascii="Garamond" w:hAnsi="Garamond"/>
          <w:sz w:val="24"/>
          <w:szCs w:val="24"/>
        </w:rPr>
        <w:t>:</w:t>
      </w:r>
      <w:r w:rsidRPr="005D086E">
        <w:rPr>
          <w:rFonts w:ascii="Garamond" w:hAnsi="Garamond"/>
          <w:sz w:val="24"/>
          <w:szCs w:val="24"/>
        </w:rPr>
        <w:t xml:space="preserve"> they are too performative and artistic, they contain too much of the Western imagination, </w:t>
      </w:r>
      <w:r>
        <w:rPr>
          <w:rFonts w:ascii="Garamond" w:hAnsi="Garamond"/>
          <w:sz w:val="24"/>
          <w:szCs w:val="24"/>
        </w:rPr>
        <w:t>they are not</w:t>
      </w:r>
      <w:r w:rsidRPr="005D086E">
        <w:rPr>
          <w:rFonts w:ascii="Garamond" w:hAnsi="Garamond"/>
          <w:sz w:val="24"/>
          <w:szCs w:val="24"/>
        </w:rPr>
        <w:t xml:space="preserve"> reliable forms of witness. In </w:t>
      </w:r>
      <w:r w:rsidRPr="005D086E">
        <w:rPr>
          <w:rFonts w:ascii="Garamond" w:hAnsi="Garamond"/>
          <w:i/>
          <w:sz w:val="24"/>
          <w:szCs w:val="24"/>
        </w:rPr>
        <w:t xml:space="preserve">Courting the Abyss, </w:t>
      </w:r>
      <w:r w:rsidRPr="005D086E">
        <w:rPr>
          <w:rFonts w:ascii="Garamond" w:hAnsi="Garamond"/>
          <w:sz w:val="24"/>
          <w:szCs w:val="24"/>
        </w:rPr>
        <w:t>Durham</w:t>
      </w:r>
      <w:r>
        <w:rPr>
          <w:rFonts w:ascii="Garamond" w:hAnsi="Garamond"/>
          <w:sz w:val="24"/>
          <w:szCs w:val="24"/>
        </w:rPr>
        <w:t>-</w:t>
      </w:r>
      <w:r w:rsidRPr="005D086E">
        <w:rPr>
          <w:rFonts w:ascii="Garamond" w:hAnsi="Garamond"/>
          <w:sz w:val="24"/>
          <w:szCs w:val="24"/>
        </w:rPr>
        <w:t>Peters (2005) outlines that witnessing has a powerful moral force in law, theology and atrocity</w:t>
      </w:r>
      <w:r>
        <w:rPr>
          <w:rFonts w:ascii="Garamond" w:hAnsi="Garamond"/>
          <w:sz w:val="24"/>
          <w:szCs w:val="24"/>
        </w:rPr>
        <w:t>,</w:t>
      </w:r>
      <w:r w:rsidRPr="005D086E">
        <w:rPr>
          <w:rFonts w:ascii="Garamond" w:hAnsi="Garamond"/>
          <w:sz w:val="24"/>
          <w:szCs w:val="24"/>
        </w:rPr>
        <w:t xml:space="preserve"> when the bonds between speech and truth are strictly policed by courts so that statements cannot become arguments. </w:t>
      </w:r>
      <w:r>
        <w:rPr>
          <w:rFonts w:ascii="Garamond" w:hAnsi="Garamond"/>
          <w:sz w:val="24"/>
          <w:szCs w:val="24"/>
        </w:rPr>
        <w:t xml:space="preserve">In that light, </w:t>
      </w:r>
      <w:r w:rsidRPr="005D086E">
        <w:rPr>
          <w:rFonts w:ascii="Garamond" w:hAnsi="Garamond"/>
          <w:sz w:val="24"/>
          <w:szCs w:val="24"/>
        </w:rPr>
        <w:t>Hawksley’s account of violence in the cocoa belt can be critiqued from three angles: firstly, he reveals his position as an interested party rather than accidental witness of atrocity; secondly, there are no independent means (such as courts) to easily test the validity of his statement; thirdly, his account, and the slave testimony, are framed by STT’s wider concern of presenting a politics of carnality – in short, they are selected less for their objective validity and more for their ability to artic</w:t>
      </w:r>
      <w:r>
        <w:rPr>
          <w:rFonts w:ascii="Garamond" w:hAnsi="Garamond"/>
          <w:sz w:val="24"/>
          <w:szCs w:val="24"/>
        </w:rPr>
        <w:t>ulate the shock of anthropophagy</w:t>
      </w:r>
      <w:r w:rsidRPr="005D086E">
        <w:rPr>
          <w:rFonts w:ascii="Garamond" w:hAnsi="Garamond"/>
          <w:sz w:val="24"/>
          <w:szCs w:val="24"/>
        </w:rPr>
        <w:t xml:space="preserve">. The </w:t>
      </w:r>
      <w:r>
        <w:rPr>
          <w:rFonts w:ascii="Garamond" w:hAnsi="Garamond"/>
          <w:sz w:val="24"/>
          <w:szCs w:val="24"/>
        </w:rPr>
        <w:t xml:space="preserve">former </w:t>
      </w:r>
      <w:r w:rsidRPr="005D086E">
        <w:rPr>
          <w:rFonts w:ascii="Garamond" w:hAnsi="Garamond"/>
          <w:sz w:val="24"/>
          <w:szCs w:val="24"/>
        </w:rPr>
        <w:t>slave testimony</w:t>
      </w:r>
      <w:r>
        <w:rPr>
          <w:rFonts w:ascii="Garamond" w:hAnsi="Garamond"/>
          <w:sz w:val="24"/>
          <w:szCs w:val="24"/>
        </w:rPr>
        <w:t xml:space="preserve">, presented in this context, </w:t>
      </w:r>
      <w:r w:rsidRPr="005D086E">
        <w:rPr>
          <w:rFonts w:ascii="Garamond" w:hAnsi="Garamond"/>
          <w:sz w:val="24"/>
          <w:szCs w:val="24"/>
        </w:rPr>
        <w:t>has more in common with colonial discourses of c</w:t>
      </w:r>
      <w:r>
        <w:rPr>
          <w:rFonts w:ascii="Garamond" w:hAnsi="Garamond"/>
          <w:sz w:val="24"/>
          <w:szCs w:val="24"/>
        </w:rPr>
        <w:t>annibalism that sought to utiliz</w:t>
      </w:r>
      <w:r w:rsidRPr="005D086E">
        <w:rPr>
          <w:rFonts w:ascii="Garamond" w:hAnsi="Garamond"/>
          <w:sz w:val="24"/>
          <w:szCs w:val="24"/>
        </w:rPr>
        <w:t>e the purported savagery of indigenous people as moral justification for their exclusion and oppression (Kilgou</w:t>
      </w:r>
      <w:r>
        <w:rPr>
          <w:rFonts w:ascii="Garamond" w:hAnsi="Garamond"/>
          <w:sz w:val="24"/>
          <w:szCs w:val="24"/>
        </w:rPr>
        <w:t>r, 1990; Barker et al.</w:t>
      </w:r>
      <w:r w:rsidRPr="005D086E">
        <w:rPr>
          <w:rFonts w:ascii="Garamond" w:hAnsi="Garamond"/>
          <w:sz w:val="24"/>
          <w:szCs w:val="24"/>
        </w:rPr>
        <w:t xml:space="preserve"> 1998) than with the historiography of embodied and passive witness.</w:t>
      </w:r>
      <w:r>
        <w:rPr>
          <w:rStyle w:val="FootnoteReference"/>
          <w:rFonts w:ascii="Garamond" w:hAnsi="Garamond"/>
          <w:sz w:val="24"/>
          <w:szCs w:val="24"/>
        </w:rPr>
        <w:footnoteReference w:id="118"/>
      </w:r>
      <w:r w:rsidRPr="005D086E">
        <w:rPr>
          <w:rFonts w:ascii="Garamond" w:hAnsi="Garamond"/>
          <w:sz w:val="24"/>
          <w:szCs w:val="24"/>
        </w:rPr>
        <w:t xml:space="preserve"> There are four constitutive parts of this carnality</w:t>
      </w:r>
      <w:r>
        <w:rPr>
          <w:rFonts w:ascii="Garamond" w:hAnsi="Garamond"/>
          <w:sz w:val="24"/>
          <w:szCs w:val="24"/>
        </w:rPr>
        <w:t>:</w:t>
      </w:r>
      <w:r w:rsidRPr="005D086E">
        <w:rPr>
          <w:rFonts w:ascii="Garamond" w:hAnsi="Garamond"/>
          <w:sz w:val="24"/>
          <w:szCs w:val="24"/>
        </w:rPr>
        <w:t xml:space="preserve"> the topologies of ‘pure victimhood’, the aestheticization of violence, the threat to consumer purity, and deeper, darker interiors. These elements work to bring consumer bodies closer to producers in particular ways.</w:t>
      </w:r>
    </w:p>
    <w:p w:rsidR="00504CFD" w:rsidRDefault="00504CFD" w:rsidP="00B55D6E">
      <w:pPr>
        <w:spacing w:after="0" w:line="360" w:lineRule="auto"/>
        <w:jc w:val="both"/>
        <w:rPr>
          <w:rFonts w:ascii="Garamond" w:hAnsi="Garamond"/>
          <w:sz w:val="24"/>
          <w:szCs w:val="24"/>
        </w:rPr>
      </w:pPr>
    </w:p>
    <w:p w:rsidR="00504CFD" w:rsidRDefault="00504CFD" w:rsidP="00B55D6E">
      <w:pPr>
        <w:spacing w:after="0" w:line="360" w:lineRule="auto"/>
        <w:jc w:val="both"/>
        <w:rPr>
          <w:rFonts w:ascii="Garamond" w:hAnsi="Garamond"/>
          <w:sz w:val="24"/>
          <w:szCs w:val="24"/>
        </w:rPr>
      </w:pPr>
    </w:p>
    <w:p w:rsidR="00B55D6E" w:rsidRDefault="00B55D6E" w:rsidP="00B55D6E">
      <w:pPr>
        <w:spacing w:after="0"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sidRPr="003916ED">
        <w:rPr>
          <w:rFonts w:ascii="Garamond" w:hAnsi="Garamond"/>
          <w:b/>
          <w:i/>
          <w:szCs w:val="24"/>
        </w:rPr>
        <w:lastRenderedPageBreak/>
        <w:t>Topologies of pure victimhood</w:t>
      </w:r>
    </w:p>
    <w:p w:rsidR="00B55D6E" w:rsidRDefault="00B55D6E" w:rsidP="00B55D6E">
      <w:pPr>
        <w:spacing w:after="0"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Pr>
          <w:rFonts w:ascii="Garamond" w:hAnsi="Garamond"/>
          <w:sz w:val="24"/>
          <w:szCs w:val="24"/>
        </w:rPr>
        <w:t>Sheller (2003</w:t>
      </w:r>
      <w:r w:rsidRPr="005D086E">
        <w:rPr>
          <w:rFonts w:ascii="Garamond" w:hAnsi="Garamond"/>
          <w:sz w:val="24"/>
          <w:szCs w:val="24"/>
        </w:rPr>
        <w:t xml:space="preserve">) and Mather </w:t>
      </w:r>
      <w:r w:rsidR="00F152DB">
        <w:rPr>
          <w:rFonts w:ascii="Garamond" w:hAnsi="Garamond"/>
          <w:sz w:val="24"/>
          <w:szCs w:val="24"/>
        </w:rPr>
        <w:t>and</w:t>
      </w:r>
      <w:r w:rsidR="00B55D6E">
        <w:rPr>
          <w:rFonts w:ascii="Garamond" w:hAnsi="Garamond"/>
          <w:sz w:val="24"/>
          <w:szCs w:val="24"/>
        </w:rPr>
        <w:t xml:space="preserve"> </w:t>
      </w:r>
      <w:r>
        <w:rPr>
          <w:rFonts w:ascii="Garamond" w:hAnsi="Garamond"/>
          <w:sz w:val="24"/>
          <w:szCs w:val="24"/>
        </w:rPr>
        <w:t>Mackenzie (2006</w:t>
      </w:r>
      <w:r w:rsidRPr="005D086E">
        <w:rPr>
          <w:rFonts w:ascii="Garamond" w:hAnsi="Garamond"/>
          <w:sz w:val="24"/>
          <w:szCs w:val="24"/>
        </w:rPr>
        <w:t>) suggest that boycott campaigns create an embodied sense of proximity to producers (</w:t>
      </w:r>
      <w:r>
        <w:rPr>
          <w:rFonts w:ascii="Garamond" w:hAnsi="Garamond"/>
          <w:sz w:val="24"/>
          <w:szCs w:val="24"/>
        </w:rPr>
        <w:t xml:space="preserve">e.g. </w:t>
      </w:r>
      <w:r w:rsidRPr="005D086E">
        <w:rPr>
          <w:rFonts w:ascii="Garamond" w:hAnsi="Garamond"/>
          <w:sz w:val="24"/>
          <w:szCs w:val="24"/>
        </w:rPr>
        <w:t xml:space="preserve">slaves, apartheid labourers). But what does this proximity actually entail? STT’s producer-chocolate topos only brings producers more proximate in specific ways. Emotional proximity to child cocoa producers in STT’s literature is achieved through the lens of pity, and embodied proximity through a framed ‘world’ of cocoa and chocolate bodies “in which individuals of all kinds exchange constitutive parts – leading to the enrichment of some and the demise of others” (Gatens </w:t>
      </w:r>
      <w:r>
        <w:rPr>
          <w:rFonts w:ascii="Garamond" w:hAnsi="Garamond"/>
          <w:sz w:val="24"/>
          <w:szCs w:val="24"/>
        </w:rPr>
        <w:t>and</w:t>
      </w:r>
      <w:r w:rsidRPr="005D086E">
        <w:rPr>
          <w:rFonts w:ascii="Garamond" w:hAnsi="Garamond"/>
          <w:sz w:val="24"/>
          <w:szCs w:val="24"/>
        </w:rPr>
        <w:t xml:space="preserve"> Lloyd 1999: 101). The emotional proximity of the chocolate consumer to the child producer is premised on illusions of ‘pure victimhood’ (K</w:t>
      </w:r>
      <w:r>
        <w:rPr>
          <w:rFonts w:ascii="Garamond" w:hAnsi="Garamond"/>
          <w:sz w:val="24"/>
          <w:szCs w:val="24"/>
        </w:rPr>
        <w:t>orf, 2007</w:t>
      </w:r>
      <w:r w:rsidRPr="005D086E">
        <w:rPr>
          <w:rFonts w:ascii="Garamond" w:hAnsi="Garamond"/>
          <w:sz w:val="24"/>
          <w:szCs w:val="24"/>
        </w:rPr>
        <w:t>), and the understanding that, for them, there is little to sacrifice. To repeat:</w:t>
      </w:r>
    </w:p>
    <w:p w:rsidR="00472B3A" w:rsidRPr="005D086E" w:rsidRDefault="00472B3A" w:rsidP="00B55D6E">
      <w:pPr>
        <w:spacing w:after="0" w:line="360" w:lineRule="auto"/>
        <w:jc w:val="both"/>
        <w:rPr>
          <w:rFonts w:ascii="Garamond" w:hAnsi="Garamond"/>
          <w:sz w:val="24"/>
          <w:szCs w:val="24"/>
        </w:rPr>
      </w:pPr>
    </w:p>
    <w:p w:rsidR="00472B3A" w:rsidRPr="005D086E" w:rsidRDefault="00B55D6E" w:rsidP="00B55D6E">
      <w:pPr>
        <w:spacing w:line="360" w:lineRule="auto"/>
        <w:ind w:left="284" w:right="284"/>
        <w:rPr>
          <w:rFonts w:ascii="Garamond" w:hAnsi="Garamond" w:cs="Times New Roman"/>
        </w:rPr>
      </w:pPr>
      <w:r>
        <w:rPr>
          <w:rFonts w:ascii="Garamond" w:hAnsi="Garamond" w:cs="Times New Roman"/>
        </w:rPr>
        <w:t>HUGH</w:t>
      </w:r>
      <w:r w:rsidR="00472B3A" w:rsidRPr="005D086E">
        <w:rPr>
          <w:rFonts w:ascii="Garamond" w:hAnsi="Garamond" w:cs="Times New Roman"/>
        </w:rPr>
        <w:t xml:space="preserve">: Is there a sacrifice that farmers are potentially required to make for </w:t>
      </w:r>
      <w:r w:rsidR="00472B3A">
        <w:rPr>
          <w:rFonts w:ascii="Garamond" w:hAnsi="Garamond" w:cs="Times New Roman"/>
        </w:rPr>
        <w:t>fair trade</w:t>
      </w:r>
      <w:r w:rsidR="00472B3A" w:rsidRPr="005D086E">
        <w:rPr>
          <w:rFonts w:ascii="Garamond" w:hAnsi="Garamond" w:cs="Times New Roman"/>
        </w:rPr>
        <w:t>?</w:t>
      </w:r>
    </w:p>
    <w:p w:rsidR="00B55D6E" w:rsidRDefault="00B55D6E" w:rsidP="00B55D6E">
      <w:pPr>
        <w:spacing w:line="360" w:lineRule="auto"/>
        <w:ind w:left="284" w:right="284"/>
        <w:jc w:val="both"/>
        <w:rPr>
          <w:rFonts w:ascii="Garamond" w:hAnsi="Garamond" w:cs="Times New Roman"/>
        </w:rPr>
      </w:pPr>
      <w:r>
        <w:rPr>
          <w:rFonts w:ascii="Garamond" w:hAnsi="Garamond" w:cs="Times New Roman"/>
        </w:rPr>
        <w:t>ANTONIE</w:t>
      </w:r>
      <w:r w:rsidR="00472B3A" w:rsidRPr="005D086E">
        <w:rPr>
          <w:rFonts w:ascii="Garamond" w:hAnsi="Garamond" w:cs="Times New Roman"/>
        </w:rPr>
        <w:t>: I think the sacrifice is on our side and not theirs. I mean, they’ve got nothing to sacrifice. They have nothing, and that’s our responsibility.</w:t>
      </w:r>
      <w:r>
        <w:rPr>
          <w:rFonts w:ascii="Garamond" w:hAnsi="Garamond" w:cs="Times New Roman"/>
        </w:rPr>
        <w:t xml:space="preserve"> (Interview Fountain, 2011)</w:t>
      </w:r>
    </w:p>
    <w:p w:rsidR="00472B3A" w:rsidRPr="005D086E" w:rsidRDefault="00472B3A" w:rsidP="00B55D6E">
      <w:pPr>
        <w:spacing w:after="0" w:line="360" w:lineRule="auto"/>
        <w:ind w:left="284" w:right="284"/>
        <w:jc w:val="both"/>
        <w:rPr>
          <w:rFonts w:ascii="Garamond" w:hAnsi="Garamond"/>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t xml:space="preserve">Degrees of consumer proximity to producers, as understood through pity, are inversely proportionate to the level of embodied alterity between producer and consumer. Pity is encouraged by the apparent chasm between self and other (which is also bridged by feelings of responsibility). Similarly, </w:t>
      </w:r>
      <w:r>
        <w:rPr>
          <w:rFonts w:ascii="Garamond" w:hAnsi="Garamond"/>
          <w:sz w:val="24"/>
          <w:szCs w:val="24"/>
        </w:rPr>
        <w:t xml:space="preserve">the </w:t>
      </w:r>
      <w:r w:rsidRPr="005D086E">
        <w:rPr>
          <w:rFonts w:ascii="Garamond" w:hAnsi="Garamond"/>
          <w:sz w:val="24"/>
          <w:szCs w:val="24"/>
        </w:rPr>
        <w:t xml:space="preserve">embodied proximity that is provoked by following the route of food (Probyn, 2000), which in this case makes child bodies potentially digestible, </w:t>
      </w:r>
      <w:r>
        <w:rPr>
          <w:rFonts w:ascii="Garamond" w:hAnsi="Garamond"/>
          <w:sz w:val="24"/>
          <w:szCs w:val="24"/>
        </w:rPr>
        <w:t>can</w:t>
      </w:r>
      <w:r w:rsidRPr="005D086E">
        <w:rPr>
          <w:rFonts w:ascii="Garamond" w:hAnsi="Garamond"/>
          <w:sz w:val="24"/>
          <w:szCs w:val="24"/>
        </w:rPr>
        <w:t xml:space="preserve"> produce an instant distanciation on the part of the consumer. Visceral reactions of disgust and abjection to the suggestion of drinking child blood</w:t>
      </w:r>
      <w:r>
        <w:rPr>
          <w:rFonts w:ascii="Garamond" w:hAnsi="Garamond"/>
          <w:sz w:val="24"/>
          <w:szCs w:val="24"/>
        </w:rPr>
        <w:t xml:space="preserve"> or</w:t>
      </w:r>
      <w:r w:rsidRPr="005D086E">
        <w:rPr>
          <w:rFonts w:ascii="Garamond" w:hAnsi="Garamond"/>
          <w:sz w:val="24"/>
          <w:szCs w:val="24"/>
        </w:rPr>
        <w:t xml:space="preserve"> cooking strips of child meat can easily be given spatial form by the assembly of new (and perhaps prejudice</w:t>
      </w:r>
      <w:r w:rsidR="00B002F4">
        <w:rPr>
          <w:rFonts w:ascii="Garamond" w:hAnsi="Garamond"/>
          <w:sz w:val="24"/>
          <w:szCs w:val="24"/>
        </w:rPr>
        <w:t>d) social boundaries (ibid.</w:t>
      </w:r>
      <w:r w:rsidR="00B55D6E">
        <w:rPr>
          <w:rFonts w:ascii="Garamond" w:hAnsi="Garamond"/>
          <w:sz w:val="24"/>
          <w:szCs w:val="24"/>
        </w:rPr>
        <w:t xml:space="preserve">). </w:t>
      </w:r>
      <w:r w:rsidRPr="005D086E">
        <w:rPr>
          <w:rFonts w:ascii="Garamond" w:hAnsi="Garamond"/>
          <w:sz w:val="24"/>
          <w:szCs w:val="24"/>
        </w:rPr>
        <w:t xml:space="preserve">Embodied proximity in these contexts can equally lead to embodied disconnection both socially and possibly from the wider projects of </w:t>
      </w:r>
      <w:r>
        <w:rPr>
          <w:rFonts w:ascii="Garamond" w:hAnsi="Garamond"/>
          <w:sz w:val="24"/>
          <w:szCs w:val="24"/>
        </w:rPr>
        <w:t>fair trade</w:t>
      </w:r>
      <w:r w:rsidRPr="005D086E">
        <w:rPr>
          <w:rFonts w:ascii="Garamond" w:hAnsi="Garamond"/>
          <w:sz w:val="24"/>
          <w:szCs w:val="24"/>
        </w:rPr>
        <w:t xml:space="preserve"> and STT itself:</w:t>
      </w:r>
    </w:p>
    <w:p w:rsidR="00472B3A" w:rsidRPr="005D086E" w:rsidRDefault="00472B3A" w:rsidP="00B55D6E">
      <w:pPr>
        <w:spacing w:after="0" w:line="360" w:lineRule="auto"/>
        <w:jc w:val="both"/>
        <w:rPr>
          <w:rFonts w:ascii="Garamond" w:hAnsi="Garamond"/>
          <w:sz w:val="24"/>
          <w:szCs w:val="24"/>
        </w:rPr>
      </w:pPr>
    </w:p>
    <w:p w:rsidR="00504CFD" w:rsidRDefault="00472B3A" w:rsidP="00B55D6E">
      <w:pPr>
        <w:spacing w:after="0" w:line="360" w:lineRule="auto"/>
        <w:ind w:left="284" w:right="284"/>
        <w:jc w:val="both"/>
        <w:rPr>
          <w:rFonts w:ascii="Garamond" w:hAnsi="Garamond" w:cs="Times New Roman"/>
        </w:rPr>
      </w:pPr>
      <w:r w:rsidRPr="005D086E">
        <w:rPr>
          <w:rFonts w:ascii="Garamond" w:hAnsi="Garamond" w:cs="Times New Roman"/>
        </w:rPr>
        <w:t xml:space="preserve">We don't actively encourage people to feel sick or guilty eating chocolate, but rather, we want them to eat lots of it. We only ask that they choose and ask for </w:t>
      </w:r>
      <w:r w:rsidR="00B002F4">
        <w:rPr>
          <w:rFonts w:ascii="Garamond" w:hAnsi="Garamond" w:cs="Times New Roman"/>
        </w:rPr>
        <w:t xml:space="preserve">fair trade. (Interview, </w:t>
      </w:r>
      <w:r w:rsidR="0096303B">
        <w:rPr>
          <w:rFonts w:ascii="Garamond" w:hAnsi="Garamond" w:cs="Times New Roman"/>
        </w:rPr>
        <w:t>Anna</w:t>
      </w:r>
      <w:r w:rsidRPr="005D086E">
        <w:rPr>
          <w:rFonts w:ascii="Garamond" w:hAnsi="Garamond" w:cs="Times New Roman"/>
        </w:rPr>
        <w:t xml:space="preserve"> 2011).</w:t>
      </w:r>
    </w:p>
    <w:p w:rsidR="00504CFD" w:rsidRDefault="00504CFD" w:rsidP="00B55D6E">
      <w:pPr>
        <w:spacing w:after="0" w:line="360" w:lineRule="auto"/>
        <w:ind w:left="284" w:right="284"/>
        <w:jc w:val="both"/>
        <w:rPr>
          <w:rFonts w:ascii="Garamond" w:hAnsi="Garamond" w:cs="Times New Roman"/>
        </w:rPr>
      </w:pPr>
    </w:p>
    <w:p w:rsidR="00B55D6E" w:rsidRDefault="00B55D6E" w:rsidP="00B55D6E">
      <w:pPr>
        <w:spacing w:after="0" w:line="360" w:lineRule="auto"/>
        <w:ind w:left="284" w:right="284"/>
        <w:jc w:val="both"/>
        <w:rPr>
          <w:rFonts w:ascii="Garamond" w:hAnsi="Garamond" w:cs="Times New Roman"/>
        </w:rPr>
      </w:pPr>
    </w:p>
    <w:p w:rsidR="00B55D6E" w:rsidRDefault="00B55D6E" w:rsidP="00B55D6E">
      <w:pPr>
        <w:spacing w:after="0" w:line="360" w:lineRule="auto"/>
        <w:ind w:left="284" w:right="284"/>
        <w:jc w:val="both"/>
        <w:rPr>
          <w:rFonts w:ascii="Garamond" w:hAnsi="Garamond" w:cs="Times New Roman"/>
        </w:rPr>
      </w:pPr>
    </w:p>
    <w:p w:rsidR="00B55D6E" w:rsidRDefault="00472B3A" w:rsidP="00B55D6E">
      <w:pPr>
        <w:spacing w:after="0" w:line="360" w:lineRule="auto"/>
        <w:jc w:val="both"/>
        <w:rPr>
          <w:rFonts w:ascii="Garamond" w:hAnsi="Garamond" w:cs="Times New Roman"/>
        </w:rPr>
      </w:pPr>
      <w:r w:rsidRPr="003916ED">
        <w:rPr>
          <w:rFonts w:ascii="Garamond" w:hAnsi="Garamond" w:cs="Times New Roman"/>
          <w:b/>
          <w:i/>
          <w:szCs w:val="24"/>
        </w:rPr>
        <w:lastRenderedPageBreak/>
        <w:t>Heroism in anthropophagic landscapes</w:t>
      </w:r>
    </w:p>
    <w:p w:rsidR="00B55D6E" w:rsidRDefault="00B55D6E" w:rsidP="00B55D6E">
      <w:pPr>
        <w:spacing w:after="0" w:line="360" w:lineRule="auto"/>
        <w:jc w:val="both"/>
        <w:rPr>
          <w:rFonts w:ascii="Garamond" w:hAnsi="Garamond" w:cs="Times New Roman"/>
        </w:rPr>
      </w:pPr>
    </w:p>
    <w:p w:rsidR="00B55D6E" w:rsidRDefault="00472B3A" w:rsidP="00B55D6E">
      <w:pPr>
        <w:spacing w:after="0" w:line="360" w:lineRule="auto"/>
        <w:jc w:val="both"/>
        <w:rPr>
          <w:rFonts w:ascii="Garamond" w:hAnsi="Garamond"/>
          <w:sz w:val="24"/>
          <w:szCs w:val="24"/>
        </w:rPr>
      </w:pPr>
      <w:r w:rsidRPr="005D086E">
        <w:rPr>
          <w:rFonts w:ascii="Garamond" w:hAnsi="Garamond" w:cs="Times New Roman"/>
          <w:sz w:val="24"/>
          <w:szCs w:val="24"/>
        </w:rPr>
        <w:t>The above statement</w:t>
      </w:r>
      <w:r w:rsidR="0096303B">
        <w:rPr>
          <w:rFonts w:ascii="Garamond" w:hAnsi="Garamond" w:cs="Times New Roman"/>
          <w:sz w:val="24"/>
          <w:szCs w:val="24"/>
        </w:rPr>
        <w:t>, where Anna</w:t>
      </w:r>
      <w:r>
        <w:rPr>
          <w:rFonts w:ascii="Garamond" w:hAnsi="Garamond" w:cs="Times New Roman"/>
          <w:sz w:val="24"/>
          <w:szCs w:val="24"/>
        </w:rPr>
        <w:t xml:space="preserve"> claims STT do not encourage sickness or guilt in the consumer,</w:t>
      </w:r>
      <w:r w:rsidRPr="005D086E">
        <w:rPr>
          <w:rFonts w:ascii="Garamond" w:hAnsi="Garamond" w:cs="Times New Roman"/>
          <w:sz w:val="24"/>
          <w:szCs w:val="24"/>
        </w:rPr>
        <w:t xml:space="preserve"> appears to contradict the </w:t>
      </w:r>
      <w:r>
        <w:rPr>
          <w:rFonts w:ascii="Garamond" w:hAnsi="Garamond" w:cs="Times New Roman"/>
          <w:sz w:val="24"/>
          <w:szCs w:val="24"/>
        </w:rPr>
        <w:t>explicit close-up images of v</w:t>
      </w:r>
      <w:r w:rsidR="0048108D">
        <w:rPr>
          <w:rFonts w:ascii="Garamond" w:hAnsi="Garamond" w:cs="Times New Roman"/>
          <w:sz w:val="24"/>
          <w:szCs w:val="24"/>
        </w:rPr>
        <w:t>iolence as depicted in Figure 45</w:t>
      </w:r>
      <w:r>
        <w:rPr>
          <w:rFonts w:ascii="Garamond" w:hAnsi="Garamond" w:cs="Times New Roman"/>
          <w:sz w:val="24"/>
          <w:szCs w:val="24"/>
        </w:rPr>
        <w:t xml:space="preserve">, and the quotes that adorn the image, where the subjects of this crime, staring at the camera, implicate the consumer of chocolate in trafficking violence. </w:t>
      </w:r>
      <w:r w:rsidRPr="005D086E">
        <w:rPr>
          <w:rFonts w:ascii="Garamond" w:hAnsi="Garamond" w:cs="Times New Roman"/>
          <w:sz w:val="24"/>
          <w:szCs w:val="24"/>
        </w:rPr>
        <w:t xml:space="preserve">However, STT interviewees frequently positioned their chocolate campaigns as a ‘gateway’ to getting involved with other forms of anti-trafficking. The topos can induce shock and recoil, but it also reaches out to </w:t>
      </w:r>
      <w:r>
        <w:rPr>
          <w:rFonts w:ascii="Garamond" w:hAnsi="Garamond" w:cs="Times New Roman"/>
          <w:sz w:val="24"/>
          <w:szCs w:val="24"/>
        </w:rPr>
        <w:t>Western imaginations by emphasiz</w:t>
      </w:r>
      <w:r w:rsidRPr="005D086E">
        <w:rPr>
          <w:rFonts w:ascii="Garamond" w:hAnsi="Garamond" w:cs="Times New Roman"/>
          <w:sz w:val="24"/>
          <w:szCs w:val="24"/>
        </w:rPr>
        <w:t>ing heroism in dark, dangerous and anthropophagic places. Arens writes that this heroism has a long lineage of narcissism</w:t>
      </w:r>
      <w:r>
        <w:rPr>
          <w:rFonts w:ascii="Garamond" w:hAnsi="Garamond" w:cs="Times New Roman"/>
          <w:sz w:val="24"/>
          <w:szCs w:val="24"/>
        </w:rPr>
        <w:t>:</w:t>
      </w:r>
      <w:r w:rsidRPr="005D086E">
        <w:rPr>
          <w:rFonts w:ascii="Garamond" w:hAnsi="Garamond" w:cs="Times New Roman"/>
          <w:sz w:val="24"/>
          <w:szCs w:val="24"/>
        </w:rPr>
        <w:t xml:space="preserve"> “typically an explorer, missionary or anthropologist, is se</w:t>
      </w:r>
      <w:r>
        <w:rPr>
          <w:rFonts w:ascii="Garamond" w:hAnsi="Garamond" w:cs="Times New Roman"/>
          <w:sz w:val="24"/>
          <w:szCs w:val="24"/>
        </w:rPr>
        <w:t>lf-romanticiz</w:t>
      </w:r>
      <w:r w:rsidRPr="005D086E">
        <w:rPr>
          <w:rFonts w:ascii="Garamond" w:hAnsi="Garamond" w:cs="Times New Roman"/>
          <w:sz w:val="24"/>
          <w:szCs w:val="24"/>
        </w:rPr>
        <w:t>ed by the experience of a sojourn among a once cannibal people” (Arens, 1998: 41). This, the final trick of the topos, displaces</w:t>
      </w:r>
      <w:r>
        <w:rPr>
          <w:rFonts w:ascii="Garamond" w:hAnsi="Garamond" w:cs="Times New Roman"/>
          <w:sz w:val="24"/>
          <w:szCs w:val="24"/>
        </w:rPr>
        <w:t xml:space="preserve"> fears of consumer anthropophagy</w:t>
      </w:r>
      <w:r w:rsidRPr="005D086E">
        <w:rPr>
          <w:rFonts w:ascii="Garamond" w:hAnsi="Garamond" w:cs="Times New Roman"/>
          <w:sz w:val="24"/>
          <w:szCs w:val="24"/>
        </w:rPr>
        <w:t xml:space="preserve"> by transferring the threat of violence and savagery “deeper and deeper</w:t>
      </w:r>
      <w:r>
        <w:rPr>
          <w:rFonts w:ascii="Garamond" w:hAnsi="Garamond" w:cs="Times New Roman"/>
          <w:sz w:val="24"/>
          <w:szCs w:val="24"/>
        </w:rPr>
        <w:t xml:space="preserve"> into the cocoa belt” (Hawksley in Chalke,</w:t>
      </w:r>
      <w:r w:rsidRPr="005D086E">
        <w:rPr>
          <w:rFonts w:ascii="Garamond" w:hAnsi="Garamond" w:cs="Times New Roman"/>
          <w:sz w:val="24"/>
          <w:szCs w:val="24"/>
        </w:rPr>
        <w:t xml:space="preserve"> 2007</w:t>
      </w:r>
      <w:r>
        <w:rPr>
          <w:rFonts w:ascii="Garamond" w:hAnsi="Garamond" w:cs="Times New Roman"/>
          <w:sz w:val="24"/>
          <w:szCs w:val="24"/>
        </w:rPr>
        <w:t>: 100</w:t>
      </w:r>
      <w:r w:rsidRPr="005D086E">
        <w:rPr>
          <w:rFonts w:ascii="Garamond" w:hAnsi="Garamond" w:cs="Times New Roman"/>
          <w:sz w:val="24"/>
          <w:szCs w:val="24"/>
        </w:rPr>
        <w:t>), so that the landscape itself becomes hostile. The question of who are the eaters, and who gets eaten</w:t>
      </w:r>
      <w:r>
        <w:rPr>
          <w:rFonts w:ascii="Garamond" w:hAnsi="Garamond" w:cs="Times New Roman"/>
          <w:sz w:val="24"/>
          <w:szCs w:val="24"/>
        </w:rPr>
        <w:t>,</w:t>
      </w:r>
      <w:r w:rsidRPr="005D086E">
        <w:rPr>
          <w:rFonts w:ascii="Garamond" w:hAnsi="Garamond" w:cs="Times New Roman"/>
          <w:sz w:val="24"/>
          <w:szCs w:val="24"/>
        </w:rPr>
        <w:t xml:space="preserve"> is complicated at this juncture. </w:t>
      </w:r>
      <w:r w:rsidRPr="005D086E">
        <w:rPr>
          <w:rFonts w:ascii="Garamond" w:hAnsi="Garamond"/>
          <w:sz w:val="24"/>
          <w:szCs w:val="24"/>
        </w:rPr>
        <w:t>The consuming body is threatened by types of eating which create new and unwanted identities both as eater and ea</w:t>
      </w:r>
      <w:r>
        <w:rPr>
          <w:rFonts w:ascii="Garamond" w:hAnsi="Garamond"/>
          <w:sz w:val="24"/>
          <w:szCs w:val="24"/>
        </w:rPr>
        <w:t>ten; the threat of anthropophagy</w:t>
      </w:r>
      <w:r w:rsidRPr="005D086E">
        <w:rPr>
          <w:rFonts w:ascii="Garamond" w:hAnsi="Garamond"/>
          <w:sz w:val="24"/>
          <w:szCs w:val="24"/>
        </w:rPr>
        <w:t xml:space="preserve"> to the self is heightened by accounts of exploration which reproduce the colonial trope of dark interiors and deep Africa.</w:t>
      </w:r>
    </w:p>
    <w:p w:rsidR="00B55D6E" w:rsidRDefault="00B55D6E" w:rsidP="00B55D6E">
      <w:pPr>
        <w:spacing w:after="0" w:line="360" w:lineRule="auto"/>
        <w:jc w:val="both"/>
        <w:rPr>
          <w:rFonts w:ascii="Garamond" w:hAnsi="Garamond"/>
          <w:sz w:val="24"/>
          <w:szCs w:val="24"/>
        </w:rPr>
      </w:pPr>
    </w:p>
    <w:p w:rsidR="00B55D6E" w:rsidRDefault="00472B3A" w:rsidP="00B55D6E">
      <w:pPr>
        <w:spacing w:after="0" w:line="360" w:lineRule="auto"/>
        <w:jc w:val="both"/>
        <w:rPr>
          <w:rFonts w:ascii="Garamond" w:hAnsi="Garamond"/>
          <w:sz w:val="24"/>
          <w:szCs w:val="24"/>
        </w:rPr>
      </w:pPr>
      <w:r w:rsidRPr="005D086E">
        <w:rPr>
          <w:rFonts w:ascii="Garamond" w:hAnsi="Garamond"/>
          <w:sz w:val="24"/>
          <w:szCs w:val="24"/>
        </w:rPr>
        <w:t xml:space="preserve">In line with </w:t>
      </w:r>
      <w:r w:rsidRPr="005D086E">
        <w:rPr>
          <w:rFonts w:ascii="Garamond" w:hAnsi="Garamond"/>
          <w:i/>
          <w:sz w:val="24"/>
          <w:szCs w:val="24"/>
        </w:rPr>
        <w:t>Through the Dark Continent</w:t>
      </w:r>
      <w:r w:rsidRPr="005D086E">
        <w:rPr>
          <w:rFonts w:ascii="Garamond" w:hAnsi="Garamond"/>
          <w:sz w:val="24"/>
          <w:szCs w:val="24"/>
        </w:rPr>
        <w:t xml:space="preserve">, and </w:t>
      </w:r>
      <w:r w:rsidRPr="005D086E">
        <w:rPr>
          <w:rFonts w:ascii="Garamond" w:hAnsi="Garamond"/>
          <w:i/>
          <w:sz w:val="24"/>
          <w:szCs w:val="24"/>
        </w:rPr>
        <w:t>The Heart of Darkness</w:t>
      </w:r>
      <w:r>
        <w:rPr>
          <w:rFonts w:ascii="Garamond" w:hAnsi="Garamond"/>
          <w:sz w:val="24"/>
          <w:szCs w:val="24"/>
        </w:rPr>
        <w:t>, colonial literature on exploration of central Africa</w:t>
      </w:r>
      <w:r w:rsidRPr="005D086E">
        <w:rPr>
          <w:rFonts w:ascii="Garamond" w:hAnsi="Garamond"/>
          <w:sz w:val="24"/>
          <w:szCs w:val="24"/>
        </w:rPr>
        <w:t xml:space="preserve"> frequently positioned interiors and hearts as the scenes of moral debasement and ‘cannibali</w:t>
      </w:r>
      <w:r>
        <w:rPr>
          <w:rFonts w:ascii="Garamond" w:hAnsi="Garamond"/>
          <w:sz w:val="24"/>
          <w:szCs w:val="24"/>
        </w:rPr>
        <w:t>sm’ (Stanley, 1878; Conrad, 1901</w:t>
      </w:r>
      <w:r w:rsidRPr="005D086E">
        <w:rPr>
          <w:rFonts w:ascii="Garamond" w:hAnsi="Garamond"/>
          <w:sz w:val="24"/>
          <w:szCs w:val="24"/>
        </w:rPr>
        <w:t>). Contemporary threats to Western witnesses of trafficking and slavery are made clear by STT:</w:t>
      </w:r>
    </w:p>
    <w:p w:rsidR="00472B3A" w:rsidRPr="00B55D6E" w:rsidRDefault="00472B3A" w:rsidP="00B55D6E">
      <w:pPr>
        <w:spacing w:after="0" w:line="360" w:lineRule="auto"/>
        <w:jc w:val="both"/>
        <w:rPr>
          <w:rFonts w:ascii="Garamond" w:hAnsi="Garamond" w:cs="Times New Roman"/>
        </w:rPr>
      </w:pPr>
    </w:p>
    <w:p w:rsidR="00B55D6E" w:rsidRDefault="00472B3A" w:rsidP="0038222D">
      <w:pPr>
        <w:spacing w:after="0" w:line="360" w:lineRule="auto"/>
        <w:ind w:left="284" w:right="284"/>
        <w:jc w:val="both"/>
        <w:rPr>
          <w:rFonts w:ascii="Garamond" w:hAnsi="Garamond"/>
        </w:rPr>
      </w:pPr>
      <w:r w:rsidRPr="005D086E">
        <w:rPr>
          <w:rFonts w:ascii="Garamond" w:hAnsi="Garamond"/>
        </w:rPr>
        <w:t>Investigating trafficking is fraught with danger. French Canadian journalist Guy Andre Kieffer was kidnapped in 2004 and tortured to death after trying to investigate corruption in t</w:t>
      </w:r>
      <w:r>
        <w:rPr>
          <w:rFonts w:ascii="Garamond" w:hAnsi="Garamond"/>
        </w:rPr>
        <w:t>he Ivory Coast’s cocoa industry.</w:t>
      </w:r>
      <w:r w:rsidR="00B55D6E">
        <w:rPr>
          <w:rFonts w:ascii="Garamond" w:hAnsi="Garamond"/>
        </w:rPr>
        <w:t xml:space="preserve"> (Chalke, 2009: 103)</w:t>
      </w:r>
    </w:p>
    <w:p w:rsidR="00472B3A" w:rsidRPr="005D086E" w:rsidRDefault="00472B3A" w:rsidP="0038222D">
      <w:pPr>
        <w:spacing w:after="0" w:line="360" w:lineRule="auto"/>
        <w:ind w:left="284" w:right="284"/>
        <w:jc w:val="both"/>
        <w:rPr>
          <w:rFonts w:ascii="Garamond" w:hAnsi="Garamond"/>
        </w:rPr>
      </w:pPr>
    </w:p>
    <w:p w:rsidR="0038222D" w:rsidRDefault="00472B3A" w:rsidP="0038222D">
      <w:pPr>
        <w:spacing w:after="0" w:line="360" w:lineRule="auto"/>
        <w:jc w:val="both"/>
        <w:rPr>
          <w:rFonts w:ascii="Garamond" w:hAnsi="Garamond"/>
          <w:sz w:val="24"/>
          <w:szCs w:val="24"/>
        </w:rPr>
      </w:pPr>
      <w:r w:rsidRPr="005D086E">
        <w:rPr>
          <w:rFonts w:ascii="Garamond" w:hAnsi="Garamond"/>
          <w:sz w:val="24"/>
          <w:szCs w:val="24"/>
        </w:rPr>
        <w:t>The effect of conflating the violence done to white witnesses of trafficking with anthropophagic accounts is the implicit suggestion</w:t>
      </w:r>
      <w:r>
        <w:rPr>
          <w:rFonts w:ascii="Garamond" w:hAnsi="Garamond"/>
          <w:sz w:val="24"/>
          <w:szCs w:val="24"/>
        </w:rPr>
        <w:t xml:space="preserve"> of black on white anthropophagy</w:t>
      </w:r>
      <w:r w:rsidRPr="005D086E">
        <w:rPr>
          <w:rFonts w:ascii="Garamond" w:hAnsi="Garamond"/>
          <w:sz w:val="24"/>
          <w:szCs w:val="24"/>
        </w:rPr>
        <w:t xml:space="preserve">. Against the backdrop of a hostile black masculinity, STT’s child producer-chocolate topos contributes to a popular visual culture that implicitly reifies (European) witnesses of trafficking and produces child rescue narratives. This is typified in Panorama’s documentary on child trafficking in the </w:t>
      </w:r>
      <w:r>
        <w:rPr>
          <w:rFonts w:ascii="Garamond" w:hAnsi="Garamond"/>
          <w:sz w:val="24"/>
          <w:szCs w:val="24"/>
        </w:rPr>
        <w:t>Côte</w:t>
      </w:r>
      <w:r w:rsidRPr="005D086E">
        <w:rPr>
          <w:rFonts w:ascii="Garamond" w:hAnsi="Garamond"/>
          <w:sz w:val="24"/>
          <w:szCs w:val="24"/>
        </w:rPr>
        <w:t xml:space="preserve"> D’Ivoire entitled </w:t>
      </w:r>
      <w:r w:rsidRPr="005D086E">
        <w:rPr>
          <w:rFonts w:ascii="Garamond" w:hAnsi="Garamond"/>
          <w:i/>
          <w:sz w:val="24"/>
          <w:szCs w:val="24"/>
        </w:rPr>
        <w:t>Chocolate</w:t>
      </w:r>
      <w:r>
        <w:rPr>
          <w:rFonts w:ascii="Garamond" w:hAnsi="Garamond"/>
          <w:i/>
          <w:sz w:val="24"/>
          <w:szCs w:val="24"/>
        </w:rPr>
        <w:t xml:space="preserve"> </w:t>
      </w:r>
      <w:r w:rsidRPr="005D086E">
        <w:rPr>
          <w:rFonts w:ascii="Garamond" w:hAnsi="Garamond"/>
          <w:i/>
          <w:sz w:val="24"/>
          <w:szCs w:val="24"/>
        </w:rPr>
        <w:t>- The Bitter Truth</w:t>
      </w:r>
      <w:r w:rsidRPr="005D086E">
        <w:rPr>
          <w:rFonts w:ascii="Garamond" w:hAnsi="Garamond"/>
          <w:sz w:val="24"/>
          <w:szCs w:val="24"/>
        </w:rPr>
        <w:t xml:space="preserve"> (2010)</w:t>
      </w:r>
      <w:r>
        <w:rPr>
          <w:rFonts w:ascii="Garamond" w:hAnsi="Garamond"/>
          <w:sz w:val="24"/>
          <w:szCs w:val="24"/>
        </w:rPr>
        <w:t>,</w:t>
      </w:r>
      <w:r w:rsidRPr="005D086E">
        <w:rPr>
          <w:rFonts w:ascii="Garamond" w:hAnsi="Garamond"/>
          <w:sz w:val="24"/>
          <w:szCs w:val="24"/>
        </w:rPr>
        <w:t xml:space="preserve"> which was produced in dialogue with STT (interview</w:t>
      </w:r>
      <w:r>
        <w:rPr>
          <w:rFonts w:ascii="Garamond" w:hAnsi="Garamond"/>
          <w:sz w:val="24"/>
          <w:szCs w:val="24"/>
        </w:rPr>
        <w:t xml:space="preserve"> Fountain,</w:t>
      </w:r>
      <w:r w:rsidRPr="005D086E">
        <w:rPr>
          <w:rFonts w:ascii="Garamond" w:hAnsi="Garamond"/>
          <w:sz w:val="24"/>
          <w:szCs w:val="24"/>
        </w:rPr>
        <w:t xml:space="preserve"> 2011). The </w:t>
      </w:r>
      <w:r w:rsidRPr="005D086E">
        <w:rPr>
          <w:rFonts w:ascii="Garamond" w:hAnsi="Garamond"/>
          <w:sz w:val="24"/>
          <w:szCs w:val="24"/>
        </w:rPr>
        <w:lastRenderedPageBreak/>
        <w:t xml:space="preserve">documentary is an </w:t>
      </w:r>
      <w:r w:rsidRPr="00884B10">
        <w:rPr>
          <w:rFonts w:ascii="Garamond" w:hAnsi="Garamond" w:cs="Arial"/>
          <w:bCs/>
          <w:color w:val="000000"/>
          <w:sz w:val="24"/>
          <w:szCs w:val="24"/>
          <w:shd w:val="clear" w:color="auto" w:fill="FFFFFF"/>
        </w:rPr>
        <w:t xml:space="preserve">exposé </w:t>
      </w:r>
      <w:r w:rsidRPr="005D086E">
        <w:rPr>
          <w:rFonts w:ascii="Garamond" w:hAnsi="Garamond"/>
          <w:sz w:val="24"/>
          <w:szCs w:val="24"/>
        </w:rPr>
        <w:t>and witness account of child trafficking in the cocoa producing areas of West Africa. Paul Kenyon poses as a cocoa dealer and using interviews and hidden cameras he reveals the widespread use of child labour on cocoa farms (including children engaging in “worst forms” labour)</w:t>
      </w:r>
      <w:r>
        <w:rPr>
          <w:rFonts w:ascii="Garamond" w:hAnsi="Garamond"/>
          <w:sz w:val="24"/>
          <w:szCs w:val="24"/>
        </w:rPr>
        <w:t xml:space="preserve"> </w:t>
      </w:r>
      <w:r w:rsidRPr="005D086E">
        <w:rPr>
          <w:rFonts w:ascii="Garamond" w:hAnsi="Garamond"/>
          <w:sz w:val="24"/>
          <w:szCs w:val="24"/>
        </w:rPr>
        <w:t>and</w:t>
      </w:r>
      <w:r>
        <w:rPr>
          <w:rFonts w:ascii="Garamond" w:hAnsi="Garamond"/>
          <w:sz w:val="24"/>
          <w:szCs w:val="24"/>
        </w:rPr>
        <w:t xml:space="preserve"> </w:t>
      </w:r>
      <w:r w:rsidRPr="005D086E">
        <w:rPr>
          <w:rFonts w:ascii="Garamond" w:hAnsi="Garamond"/>
          <w:sz w:val="24"/>
          <w:szCs w:val="24"/>
        </w:rPr>
        <w:t xml:space="preserve">searches for the illusive ‘Pied Piper’ figure of trafficking (Manzo, 2005). Kenyon presents a clear case for buying </w:t>
      </w:r>
      <w:r>
        <w:rPr>
          <w:rFonts w:ascii="Garamond" w:hAnsi="Garamond"/>
          <w:sz w:val="24"/>
          <w:szCs w:val="24"/>
        </w:rPr>
        <w:t>fair trade</w:t>
      </w:r>
      <w:r w:rsidRPr="005D086E">
        <w:rPr>
          <w:rFonts w:ascii="Garamond" w:hAnsi="Garamond"/>
          <w:sz w:val="24"/>
          <w:szCs w:val="24"/>
        </w:rPr>
        <w:t xml:space="preserve"> chocolate, but t</w:t>
      </w:r>
      <w:r>
        <w:rPr>
          <w:rFonts w:ascii="Garamond" w:hAnsi="Garamond"/>
          <w:sz w:val="24"/>
          <w:szCs w:val="24"/>
        </w:rPr>
        <w:t>he film’s credibility is slightly marred</w:t>
      </w:r>
      <w:r w:rsidRPr="005D086E">
        <w:rPr>
          <w:rFonts w:ascii="Garamond" w:hAnsi="Garamond"/>
          <w:sz w:val="24"/>
          <w:szCs w:val="24"/>
        </w:rPr>
        <w:t xml:space="preserve"> by factual errors</w:t>
      </w:r>
      <w:r>
        <w:rPr>
          <w:rFonts w:ascii="Garamond" w:hAnsi="Garamond"/>
          <w:sz w:val="24"/>
          <w:szCs w:val="24"/>
        </w:rPr>
        <w:t>,</w:t>
      </w:r>
      <w:r w:rsidRPr="005D086E">
        <w:rPr>
          <w:rStyle w:val="FootnoteReference"/>
          <w:rFonts w:ascii="Garamond" w:hAnsi="Garamond"/>
          <w:sz w:val="24"/>
          <w:szCs w:val="24"/>
        </w:rPr>
        <w:footnoteReference w:id="119"/>
      </w:r>
      <w:r w:rsidRPr="005D086E">
        <w:rPr>
          <w:rFonts w:ascii="Garamond" w:hAnsi="Garamond"/>
          <w:sz w:val="24"/>
          <w:szCs w:val="24"/>
        </w:rPr>
        <w:t xml:space="preserve"> and by the deployment of a child rescue narrative involving Fatao, a child trafficked into cocoa labour. The rescue n</w:t>
      </w:r>
      <w:r>
        <w:rPr>
          <w:rFonts w:ascii="Garamond" w:hAnsi="Garamond"/>
          <w:sz w:val="24"/>
          <w:szCs w:val="24"/>
        </w:rPr>
        <w:t>arrative deploys the universaliz</w:t>
      </w:r>
      <w:r w:rsidRPr="005D086E">
        <w:rPr>
          <w:rFonts w:ascii="Garamond" w:hAnsi="Garamond"/>
          <w:sz w:val="24"/>
          <w:szCs w:val="24"/>
        </w:rPr>
        <w:t>ing Western conception of childhood (Lawrance, 2010a)</w:t>
      </w:r>
      <w:r>
        <w:rPr>
          <w:rFonts w:ascii="Garamond" w:hAnsi="Garamond"/>
          <w:sz w:val="24"/>
          <w:szCs w:val="24"/>
        </w:rPr>
        <w:t xml:space="preserve">. </w:t>
      </w:r>
      <w:r w:rsidRPr="005D086E">
        <w:rPr>
          <w:rFonts w:ascii="Garamond" w:hAnsi="Garamond"/>
          <w:sz w:val="24"/>
          <w:szCs w:val="24"/>
        </w:rPr>
        <w:t>Fatao is depicted as a ‘becoming’ rather than a being (Kraftl, 2008), and his voice is entirely subsumed b</w:t>
      </w:r>
      <w:r>
        <w:rPr>
          <w:rFonts w:ascii="Garamond" w:hAnsi="Garamond"/>
          <w:sz w:val="24"/>
          <w:szCs w:val="24"/>
        </w:rPr>
        <w:t>y the ensuing narrative. The</w:t>
      </w:r>
      <w:r w:rsidRPr="005D086E">
        <w:rPr>
          <w:rFonts w:ascii="Garamond" w:hAnsi="Garamond"/>
          <w:sz w:val="24"/>
          <w:szCs w:val="24"/>
        </w:rPr>
        <w:t xml:space="preserve"> rescue shifts the emphasis of the documentary from the unveiling of the chocolate fetish and </w:t>
      </w:r>
      <w:r>
        <w:rPr>
          <w:rFonts w:ascii="Garamond" w:hAnsi="Garamond"/>
          <w:sz w:val="24"/>
          <w:szCs w:val="24"/>
        </w:rPr>
        <w:t>the</w:t>
      </w:r>
      <w:r w:rsidRPr="005D086E">
        <w:rPr>
          <w:rFonts w:ascii="Garamond" w:hAnsi="Garamond"/>
          <w:sz w:val="24"/>
          <w:szCs w:val="24"/>
        </w:rPr>
        <w:t xml:space="preserve"> subsequent reaction of consumer indignation towards the cocoa industry</w:t>
      </w:r>
      <w:r>
        <w:rPr>
          <w:rFonts w:ascii="Garamond" w:hAnsi="Garamond"/>
          <w:sz w:val="24"/>
          <w:szCs w:val="24"/>
        </w:rPr>
        <w:t>,</w:t>
      </w:r>
      <w:r w:rsidRPr="005D086E">
        <w:rPr>
          <w:rFonts w:ascii="Garamond" w:hAnsi="Garamond"/>
          <w:sz w:val="24"/>
          <w:szCs w:val="24"/>
        </w:rPr>
        <w:t xml:space="preserve"> towards a politics of sentiment:</w:t>
      </w:r>
    </w:p>
    <w:p w:rsidR="00472B3A" w:rsidRPr="005D086E" w:rsidRDefault="00472B3A" w:rsidP="0038222D">
      <w:pPr>
        <w:spacing w:after="0" w:line="360" w:lineRule="auto"/>
        <w:jc w:val="both"/>
        <w:rPr>
          <w:rFonts w:ascii="Garamond" w:hAnsi="Garamond"/>
          <w:sz w:val="24"/>
          <w:szCs w:val="24"/>
        </w:rPr>
      </w:pPr>
    </w:p>
    <w:p w:rsidR="0038222D" w:rsidRDefault="00472B3A" w:rsidP="0038222D">
      <w:pPr>
        <w:spacing w:after="0" w:line="360" w:lineRule="auto"/>
        <w:ind w:left="284" w:right="284"/>
        <w:jc w:val="both"/>
        <w:rPr>
          <w:rFonts w:ascii="Garamond" w:hAnsi="Garamond" w:cs="Times New Roman"/>
        </w:rPr>
      </w:pPr>
      <w:r w:rsidRPr="005D086E">
        <w:rPr>
          <w:rFonts w:ascii="Garamond" w:hAnsi="Garamond" w:cs="Times New Roman"/>
        </w:rPr>
        <w:t>The moment pity takes a tender hearted rather than an indignant route is the moment when attention is directed to the act of charity per</w:t>
      </w:r>
      <w:r>
        <w:rPr>
          <w:rFonts w:ascii="Garamond" w:hAnsi="Garamond" w:cs="Times New Roman"/>
        </w:rPr>
        <w:t>formed by a benefactor. (Boltanski, 1999</w:t>
      </w:r>
      <w:r w:rsidRPr="005D086E">
        <w:rPr>
          <w:rFonts w:ascii="Garamond" w:hAnsi="Garamond" w:cs="Times New Roman"/>
        </w:rPr>
        <w:t>: 94)</w:t>
      </w:r>
    </w:p>
    <w:p w:rsidR="00472B3A" w:rsidRPr="005D086E" w:rsidRDefault="00472B3A" w:rsidP="0038222D">
      <w:pPr>
        <w:spacing w:after="0" w:line="360" w:lineRule="auto"/>
        <w:ind w:left="284" w:right="284"/>
        <w:jc w:val="both"/>
        <w:rPr>
          <w:rFonts w:ascii="Garamond" w:hAnsi="Garamond" w:cs="Times New Roman"/>
          <w:sz w:val="24"/>
          <w:szCs w:val="24"/>
        </w:rPr>
      </w:pPr>
    </w:p>
    <w:p w:rsidR="00472B3A" w:rsidRPr="005D086E" w:rsidRDefault="00472B3A" w:rsidP="0038222D">
      <w:pPr>
        <w:spacing w:after="0" w:line="360" w:lineRule="auto"/>
        <w:jc w:val="both"/>
        <w:rPr>
          <w:rFonts w:ascii="Garamond" w:hAnsi="Garamond"/>
          <w:sz w:val="24"/>
          <w:szCs w:val="24"/>
        </w:rPr>
      </w:pPr>
      <w:r>
        <w:rPr>
          <w:rFonts w:ascii="Garamond" w:hAnsi="Garamond"/>
          <w:sz w:val="24"/>
          <w:szCs w:val="24"/>
        </w:rPr>
        <w:t>The Western spectator sympathiz</w:t>
      </w:r>
      <w:r w:rsidRPr="005D086E">
        <w:rPr>
          <w:rFonts w:ascii="Garamond" w:hAnsi="Garamond"/>
          <w:sz w:val="24"/>
          <w:szCs w:val="24"/>
        </w:rPr>
        <w:t xml:space="preserve">es with Fatao’s gratitude for the </w:t>
      </w:r>
      <w:r>
        <w:rPr>
          <w:rFonts w:ascii="Garamond" w:hAnsi="Garamond"/>
          <w:sz w:val="24"/>
          <w:szCs w:val="24"/>
        </w:rPr>
        <w:t xml:space="preserve">tender-hearted </w:t>
      </w:r>
      <w:r w:rsidRPr="005D086E">
        <w:rPr>
          <w:rFonts w:ascii="Garamond" w:hAnsi="Garamond"/>
          <w:sz w:val="24"/>
          <w:szCs w:val="24"/>
        </w:rPr>
        <w:t>act of rescue</w:t>
      </w:r>
      <w:r>
        <w:rPr>
          <w:rFonts w:ascii="Garamond" w:hAnsi="Garamond"/>
          <w:sz w:val="24"/>
          <w:szCs w:val="24"/>
        </w:rPr>
        <w:t xml:space="preserve"> by the BBC production crew</w:t>
      </w:r>
      <w:r w:rsidRPr="005D086E">
        <w:rPr>
          <w:rFonts w:ascii="Garamond" w:hAnsi="Garamond"/>
          <w:sz w:val="24"/>
          <w:szCs w:val="24"/>
        </w:rPr>
        <w:t xml:space="preserve"> and </w:t>
      </w:r>
      <w:r>
        <w:rPr>
          <w:rFonts w:ascii="Garamond" w:hAnsi="Garamond"/>
          <w:sz w:val="24"/>
          <w:szCs w:val="24"/>
        </w:rPr>
        <w:t>attention</w:t>
      </w:r>
      <w:r w:rsidRPr="005D086E">
        <w:rPr>
          <w:rFonts w:ascii="Garamond" w:hAnsi="Garamond"/>
          <w:sz w:val="24"/>
          <w:szCs w:val="24"/>
        </w:rPr>
        <w:t xml:space="preserve"> is shifted from the conditions of cocoa production to the act of Western charity. A further remove from the structural inequality of the cocoa industry is achieved by the film’s treatment of black masculinity. The instrumental distinction between male childhood and adult masculinity is a critical framing device for the film; boys are victimized and men are largely perpetrators of trafficking (a necessary separation which reflects wider international discourse on smuggling and trafficking). We learn that Fatao’s mother agreed with a ‘nasty’ uncle to let her son work on the cocoa farms. The finale is filmed on the Atlantic coast at sunset</w:t>
      </w:r>
      <w:r>
        <w:rPr>
          <w:rFonts w:ascii="Garamond" w:hAnsi="Garamond"/>
          <w:sz w:val="24"/>
          <w:szCs w:val="24"/>
        </w:rPr>
        <w:t>,</w:t>
      </w:r>
      <w:r w:rsidRPr="005D086E">
        <w:rPr>
          <w:rFonts w:ascii="Garamond" w:hAnsi="Garamond"/>
          <w:sz w:val="24"/>
          <w:szCs w:val="24"/>
        </w:rPr>
        <w:t xml:space="preserve"> with mother and son happily re-united after the BBC film crew put a message out on local radio. Kenyon interviews Fatao’s mother and the men responsible for Fatao on the cocoa farm. These scenes make uncomfortable viewing</w:t>
      </w:r>
      <w:r>
        <w:rPr>
          <w:rFonts w:ascii="Garamond" w:hAnsi="Garamond"/>
          <w:sz w:val="24"/>
          <w:szCs w:val="24"/>
        </w:rPr>
        <w:t>.</w:t>
      </w:r>
      <w:r w:rsidRPr="005D086E">
        <w:rPr>
          <w:rFonts w:ascii="Garamond" w:hAnsi="Garamond"/>
          <w:sz w:val="24"/>
          <w:szCs w:val="24"/>
        </w:rPr>
        <w:t xml:space="preserve"> Kenyon comforts Fatao’s mother after disclosing that her son had been working as a slave, and the farmers are blamed for the trafficking, proven to be liars and given custodial sentences. The lasting </w:t>
      </w:r>
      <w:r w:rsidRPr="005D086E">
        <w:rPr>
          <w:rFonts w:ascii="Garamond" w:hAnsi="Garamond"/>
          <w:sz w:val="24"/>
          <w:szCs w:val="24"/>
        </w:rPr>
        <w:lastRenderedPageBreak/>
        <w:t>impression is of a morally corrupt black masculinity, rather than a structurally corrupt chocolate industry that does</w:t>
      </w:r>
      <w:r>
        <w:rPr>
          <w:rFonts w:ascii="Garamond" w:hAnsi="Garamond"/>
          <w:sz w:val="24"/>
          <w:szCs w:val="24"/>
        </w:rPr>
        <w:t xml:space="preserve"> not</w:t>
      </w:r>
      <w:r w:rsidRPr="005D086E">
        <w:rPr>
          <w:rFonts w:ascii="Garamond" w:hAnsi="Garamond"/>
          <w:sz w:val="24"/>
          <w:szCs w:val="24"/>
        </w:rPr>
        <w:t xml:space="preserve"> pay farmers enough for cocoa to employ workers on a decent wage. The film does</w:t>
      </w:r>
      <w:r>
        <w:rPr>
          <w:rFonts w:ascii="Garamond" w:hAnsi="Garamond"/>
          <w:sz w:val="24"/>
          <w:szCs w:val="24"/>
        </w:rPr>
        <w:t xml:space="preserve"> not</w:t>
      </w:r>
      <w:r w:rsidRPr="005D086E">
        <w:rPr>
          <w:rFonts w:ascii="Garamond" w:hAnsi="Garamond"/>
          <w:sz w:val="24"/>
          <w:szCs w:val="24"/>
        </w:rPr>
        <w:t xml:space="preserve"> touch on the complexities of child labour in the </w:t>
      </w:r>
      <w:r>
        <w:rPr>
          <w:rFonts w:ascii="Garamond" w:hAnsi="Garamond"/>
          <w:sz w:val="24"/>
          <w:szCs w:val="24"/>
        </w:rPr>
        <w:t>Côte</w:t>
      </w:r>
      <w:r w:rsidRPr="005D086E">
        <w:rPr>
          <w:rFonts w:ascii="Garamond" w:hAnsi="Garamond"/>
          <w:sz w:val="24"/>
          <w:szCs w:val="24"/>
        </w:rPr>
        <w:t xml:space="preserve"> D’Ivoire</w:t>
      </w:r>
      <w:r>
        <w:rPr>
          <w:rFonts w:ascii="Garamond" w:hAnsi="Garamond"/>
          <w:sz w:val="24"/>
          <w:szCs w:val="24"/>
        </w:rPr>
        <w:t>,</w:t>
      </w:r>
      <w:r w:rsidRPr="005D086E">
        <w:rPr>
          <w:rFonts w:ascii="Garamond" w:hAnsi="Garamond"/>
          <w:sz w:val="24"/>
          <w:szCs w:val="24"/>
        </w:rPr>
        <w:t xml:space="preserve"> where children are sometimes willingly sent to work with family relations in cocoa farms for economic</w:t>
      </w:r>
      <w:r>
        <w:rPr>
          <w:rFonts w:ascii="Garamond" w:hAnsi="Garamond"/>
          <w:sz w:val="24"/>
          <w:szCs w:val="24"/>
        </w:rPr>
        <w:t xml:space="preserve"> reasons</w:t>
      </w:r>
      <w:r w:rsidRPr="005D086E">
        <w:rPr>
          <w:rFonts w:ascii="Garamond" w:hAnsi="Garamond"/>
          <w:sz w:val="24"/>
          <w:szCs w:val="24"/>
        </w:rPr>
        <w:t xml:space="preserve"> on a ‘cultural placement’ (ILO, 2001: 50)</w:t>
      </w:r>
      <w:r>
        <w:rPr>
          <w:rFonts w:ascii="Garamond" w:hAnsi="Garamond"/>
          <w:sz w:val="24"/>
          <w:szCs w:val="24"/>
        </w:rPr>
        <w:t xml:space="preserve">, </w:t>
      </w:r>
      <w:r w:rsidRPr="005D086E">
        <w:rPr>
          <w:rFonts w:ascii="Garamond" w:hAnsi="Garamond"/>
          <w:sz w:val="24"/>
          <w:szCs w:val="24"/>
        </w:rPr>
        <w:t xml:space="preserve">part of a reciprocal relationship where child labour is exchanged for training and the means for subsistence (Robson, 2005).  </w:t>
      </w:r>
    </w:p>
    <w:p w:rsidR="00472B3A" w:rsidRPr="005D086E" w:rsidRDefault="00472B3A" w:rsidP="0038222D">
      <w:pPr>
        <w:spacing w:after="0" w:line="360" w:lineRule="auto"/>
        <w:rPr>
          <w:rFonts w:ascii="Garamond" w:hAnsi="Garamond"/>
          <w:i/>
          <w:noProof/>
          <w:lang w:eastAsia="en-GB"/>
        </w:rPr>
      </w:pPr>
    </w:p>
    <w:p w:rsidR="0038222D" w:rsidRDefault="00472B3A" w:rsidP="0038222D">
      <w:pPr>
        <w:spacing w:after="0" w:line="360" w:lineRule="auto"/>
        <w:jc w:val="both"/>
        <w:rPr>
          <w:rFonts w:ascii="Garamond" w:hAnsi="Garamond" w:cs="Times New Roman"/>
          <w:b/>
          <w:i/>
          <w:szCs w:val="24"/>
        </w:rPr>
      </w:pPr>
      <w:r w:rsidRPr="003916ED">
        <w:rPr>
          <w:rFonts w:ascii="Garamond" w:hAnsi="Garamond" w:cs="Times New Roman"/>
          <w:b/>
          <w:i/>
          <w:szCs w:val="24"/>
        </w:rPr>
        <w:t>Using race to distinguish between childhood and masculinity</w:t>
      </w:r>
    </w:p>
    <w:p w:rsidR="0038222D" w:rsidRPr="005D086E" w:rsidRDefault="0038222D" w:rsidP="0038222D">
      <w:pPr>
        <w:spacing w:after="0" w:line="360" w:lineRule="auto"/>
        <w:ind w:right="284"/>
        <w:jc w:val="both"/>
        <w:rPr>
          <w:rFonts w:ascii="Garamond" w:hAnsi="Garamond" w:cs="Times New Roman"/>
        </w:rPr>
      </w:pPr>
    </w:p>
    <w:p w:rsidR="0038222D" w:rsidRDefault="0038222D" w:rsidP="0038222D">
      <w:pPr>
        <w:spacing w:after="0" w:line="360" w:lineRule="auto"/>
        <w:ind w:left="284" w:right="284"/>
        <w:jc w:val="both"/>
        <w:rPr>
          <w:rFonts w:ascii="Garamond" w:hAnsi="Garamond" w:cs="Times New Roman"/>
        </w:rPr>
      </w:pPr>
      <w:r w:rsidRPr="005D086E">
        <w:rPr>
          <w:rFonts w:ascii="Garamond" w:hAnsi="Garamond" w:cs="Times New Roman"/>
        </w:rPr>
        <w:t>In Dahl’s vision, chocolate bars are manufactured in a factory where instead of machines there are chocolate rivers and waterfalls…</w:t>
      </w:r>
      <w:r>
        <w:rPr>
          <w:rFonts w:ascii="Garamond" w:hAnsi="Garamond" w:cs="Times New Roman"/>
        </w:rPr>
        <w:t xml:space="preserve"> </w:t>
      </w:r>
      <w:r w:rsidRPr="005D086E">
        <w:rPr>
          <w:rFonts w:ascii="Garamond" w:hAnsi="Garamond" w:cs="Times New Roman"/>
        </w:rPr>
        <w:t>‘No other factory in the world mixes its chocolate by waterfall! But it’s the only way to do it properly’</w:t>
      </w:r>
      <w:r>
        <w:rPr>
          <w:rFonts w:ascii="Garamond" w:hAnsi="Garamond" w:cs="Times New Roman"/>
        </w:rPr>
        <w:t>. (Robertson, 2009: 1)</w:t>
      </w:r>
      <w:r w:rsidRPr="005D086E">
        <w:rPr>
          <w:rFonts w:ascii="Garamond" w:hAnsi="Garamond" w:cs="Times New Roman"/>
        </w:rPr>
        <w:t xml:space="preserve"> </w:t>
      </w:r>
    </w:p>
    <w:p w:rsidR="0038222D" w:rsidRDefault="0038222D" w:rsidP="0038222D">
      <w:pPr>
        <w:autoSpaceDE w:val="0"/>
        <w:autoSpaceDN w:val="0"/>
        <w:adjustRightInd w:val="0"/>
        <w:spacing w:after="0" w:line="360" w:lineRule="auto"/>
        <w:ind w:left="284" w:right="284"/>
        <w:jc w:val="both"/>
        <w:rPr>
          <w:rFonts w:ascii="Garamond" w:hAnsi="Garamond" w:cs="Times New Roman"/>
        </w:rPr>
      </w:pPr>
    </w:p>
    <w:p w:rsidR="0038222D" w:rsidRPr="005D086E" w:rsidRDefault="0038222D" w:rsidP="0038222D">
      <w:pPr>
        <w:autoSpaceDE w:val="0"/>
        <w:autoSpaceDN w:val="0"/>
        <w:adjustRightInd w:val="0"/>
        <w:spacing w:after="0" w:line="360" w:lineRule="auto"/>
        <w:ind w:left="284" w:right="284"/>
        <w:jc w:val="both"/>
        <w:rPr>
          <w:rFonts w:ascii="Garamond" w:hAnsi="Garamond" w:cs="Times New Roman"/>
        </w:rPr>
      </w:pPr>
      <w:r>
        <w:rPr>
          <w:rFonts w:ascii="Garamond" w:hAnsi="Garamond" w:cs="Times New Roman"/>
        </w:rPr>
        <w:t>‘</w:t>
      </w:r>
      <w:r w:rsidRPr="005D086E">
        <w:rPr>
          <w:rFonts w:ascii="Garamond" w:hAnsi="Garamond" w:cs="Times New Roman"/>
        </w:rPr>
        <w:t>A cocoa plantation. A chocolate factory!’ That’s what the man had said. That’s where Chaga would be working. And he could hardly sleep that night for the dreams of chocolate and bicycles – and even chocolate</w:t>
      </w:r>
      <w:r>
        <w:rPr>
          <w:rFonts w:ascii="Garamond" w:hAnsi="Garamond" w:cs="Times New Roman"/>
        </w:rPr>
        <w:t xml:space="preserve"> bicycles! – that kept him awake. (</w:t>
      </w:r>
      <w:r w:rsidR="003E1963">
        <w:rPr>
          <w:rFonts w:ascii="Garamond" w:hAnsi="Garamond" w:cs="Times New Roman"/>
        </w:rPr>
        <w:t>Hartman</w:t>
      </w:r>
      <w:r>
        <w:rPr>
          <w:rFonts w:ascii="Garamond" w:hAnsi="Garamond" w:cs="Times New Roman"/>
        </w:rPr>
        <w:t>, 2006)</w:t>
      </w:r>
    </w:p>
    <w:p w:rsidR="00472B3A" w:rsidRPr="003916ED" w:rsidRDefault="00472B3A" w:rsidP="0038222D">
      <w:pPr>
        <w:spacing w:after="0" w:line="360" w:lineRule="auto"/>
        <w:jc w:val="both"/>
        <w:rPr>
          <w:rFonts w:ascii="Garamond" w:hAnsi="Garamond" w:cs="Times New Roman"/>
          <w:b/>
          <w:i/>
          <w:szCs w:val="24"/>
        </w:rPr>
      </w:pPr>
    </w:p>
    <w:p w:rsidR="0038222D" w:rsidRDefault="00472B3A" w:rsidP="0038222D">
      <w:pPr>
        <w:spacing w:after="0" w:line="360" w:lineRule="auto"/>
        <w:jc w:val="both"/>
        <w:rPr>
          <w:rFonts w:ascii="Garamond" w:hAnsi="Garamond" w:cs="Times New Roman"/>
          <w:sz w:val="24"/>
          <w:szCs w:val="24"/>
        </w:rPr>
      </w:pPr>
      <w:r w:rsidRPr="005D086E">
        <w:rPr>
          <w:rFonts w:ascii="Garamond" w:hAnsi="Garamond" w:cs="Times New Roman"/>
          <w:sz w:val="24"/>
          <w:szCs w:val="24"/>
        </w:rPr>
        <w:t>The dishonesty and latent violence of black farmers and child traffickers, and the naturalization of violence in the cocoa producer landsca</w:t>
      </w:r>
      <w:r>
        <w:rPr>
          <w:rFonts w:ascii="Garamond" w:hAnsi="Garamond" w:cs="Times New Roman"/>
          <w:sz w:val="24"/>
          <w:szCs w:val="24"/>
        </w:rPr>
        <w:t>pe, is communicated to child chocolate consumers</w:t>
      </w:r>
      <w:r w:rsidRPr="005D086E">
        <w:rPr>
          <w:rFonts w:ascii="Garamond" w:hAnsi="Garamond" w:cs="Times New Roman"/>
          <w:sz w:val="24"/>
          <w:szCs w:val="24"/>
        </w:rPr>
        <w:t xml:space="preserve"> in a story on STT’s website entitled </w:t>
      </w:r>
      <w:r w:rsidRPr="005D086E">
        <w:rPr>
          <w:rFonts w:ascii="Garamond" w:hAnsi="Garamond" w:cs="Times New Roman"/>
          <w:i/>
          <w:sz w:val="24"/>
          <w:szCs w:val="24"/>
        </w:rPr>
        <w:t xml:space="preserve">Chaga and The Chocolate Factory </w:t>
      </w:r>
      <w:r w:rsidRPr="005D086E">
        <w:rPr>
          <w:rFonts w:ascii="Garamond" w:hAnsi="Garamond" w:cs="Times New Roman"/>
          <w:sz w:val="24"/>
          <w:szCs w:val="24"/>
        </w:rPr>
        <w:t>(</w:t>
      </w:r>
      <w:r w:rsidR="003E1963">
        <w:rPr>
          <w:rFonts w:ascii="Garamond" w:hAnsi="Garamond" w:cs="Times New Roman"/>
          <w:sz w:val="24"/>
          <w:szCs w:val="24"/>
        </w:rPr>
        <w:t>Hartman</w:t>
      </w:r>
      <w:r w:rsidRPr="005D086E">
        <w:rPr>
          <w:rFonts w:ascii="Garamond" w:hAnsi="Garamond" w:cs="Times New Roman"/>
          <w:sz w:val="24"/>
          <w:szCs w:val="24"/>
        </w:rPr>
        <w:t>, 2006)</w:t>
      </w:r>
      <w:r w:rsidRPr="005D086E">
        <w:rPr>
          <w:rFonts w:ascii="Garamond" w:hAnsi="Garamond" w:cs="Times New Roman"/>
          <w:i/>
          <w:sz w:val="24"/>
          <w:szCs w:val="24"/>
        </w:rPr>
        <w:t>.</w:t>
      </w:r>
      <w:r w:rsidRPr="005D086E">
        <w:rPr>
          <w:rFonts w:ascii="Garamond" w:hAnsi="Garamond" w:cs="Times New Roman"/>
          <w:sz w:val="24"/>
          <w:szCs w:val="24"/>
        </w:rPr>
        <w:t xml:space="preserve"> The story follows Chaga, a boy from Mali, who meets a man who promises him a bicycle and a good job in a chocolate factory. </w:t>
      </w:r>
      <w:r w:rsidR="003E1963">
        <w:rPr>
          <w:rFonts w:ascii="Garamond" w:hAnsi="Garamond" w:cs="Times New Roman"/>
          <w:sz w:val="24"/>
          <w:szCs w:val="24"/>
        </w:rPr>
        <w:t>Hartman</w:t>
      </w:r>
      <w:r w:rsidRPr="005D086E">
        <w:rPr>
          <w:rFonts w:ascii="Garamond" w:hAnsi="Garamond" w:cs="Times New Roman"/>
          <w:sz w:val="24"/>
          <w:szCs w:val="24"/>
        </w:rPr>
        <w:t xml:space="preserve"> uses elements from both producer and consumer child-chocolate topoi so that the violence of cocoa production is juxtaposed with a Western ethics of chocolate pleasure and transformation. Chaga masks are available on STT’s website</w:t>
      </w:r>
      <w:r>
        <w:rPr>
          <w:rFonts w:ascii="Garamond" w:hAnsi="Garamond" w:cs="Times New Roman"/>
          <w:sz w:val="24"/>
          <w:szCs w:val="24"/>
        </w:rPr>
        <w:t xml:space="preserve"> </w:t>
      </w:r>
      <w:r w:rsidRPr="005D086E">
        <w:rPr>
          <w:rFonts w:ascii="Garamond" w:hAnsi="Garamond" w:cs="Times New Roman"/>
          <w:sz w:val="24"/>
          <w:szCs w:val="24"/>
        </w:rPr>
        <w:t xml:space="preserve">for schoolchildren </w:t>
      </w:r>
      <w:r>
        <w:rPr>
          <w:rFonts w:ascii="Garamond" w:hAnsi="Garamond" w:cs="Times New Roman"/>
          <w:sz w:val="24"/>
          <w:szCs w:val="24"/>
        </w:rPr>
        <w:t>to wear</w:t>
      </w:r>
      <w:r w:rsidRPr="005D086E">
        <w:rPr>
          <w:rFonts w:ascii="Garamond" w:hAnsi="Garamond" w:cs="Times New Roman"/>
          <w:sz w:val="24"/>
          <w:szCs w:val="24"/>
        </w:rPr>
        <w:t>, and the story is used in</w:t>
      </w:r>
      <w:r w:rsidR="00AF727C">
        <w:rPr>
          <w:rFonts w:ascii="Garamond" w:hAnsi="Garamond" w:cs="Times New Roman"/>
          <w:sz w:val="24"/>
          <w:szCs w:val="24"/>
        </w:rPr>
        <w:t xml:space="preserve"> school advocacy work (</w:t>
      </w:r>
      <w:r w:rsidRPr="005D086E">
        <w:rPr>
          <w:rFonts w:ascii="Garamond" w:hAnsi="Garamond" w:cs="Times New Roman"/>
          <w:sz w:val="24"/>
          <w:szCs w:val="24"/>
        </w:rPr>
        <w:t>interview</w:t>
      </w:r>
      <w:r w:rsidR="00AF727C">
        <w:rPr>
          <w:rFonts w:ascii="Garamond" w:hAnsi="Garamond" w:cs="Times New Roman"/>
          <w:sz w:val="24"/>
          <w:szCs w:val="24"/>
        </w:rPr>
        <w:t>, Rachel</w:t>
      </w:r>
      <w:r w:rsidRPr="005D086E">
        <w:rPr>
          <w:rFonts w:ascii="Garamond" w:hAnsi="Garamond" w:cs="Times New Roman"/>
          <w:sz w:val="24"/>
          <w:szCs w:val="24"/>
        </w:rPr>
        <w:t xml:space="preserve"> </w:t>
      </w:r>
      <w:r w:rsidR="00AF727C">
        <w:rPr>
          <w:rFonts w:ascii="Garamond" w:hAnsi="Garamond" w:cs="Times New Roman"/>
          <w:sz w:val="24"/>
          <w:szCs w:val="24"/>
        </w:rPr>
        <w:t>2011; i</w:t>
      </w:r>
      <w:r w:rsidRPr="005D086E">
        <w:rPr>
          <w:rFonts w:ascii="Garamond" w:hAnsi="Garamond" w:cs="Times New Roman"/>
          <w:sz w:val="24"/>
          <w:szCs w:val="24"/>
        </w:rPr>
        <w:t xml:space="preserve">nterview, </w:t>
      </w:r>
      <w:r w:rsidR="00AF727C">
        <w:rPr>
          <w:rFonts w:ascii="Garamond" w:hAnsi="Garamond" w:cs="Times New Roman"/>
          <w:sz w:val="24"/>
          <w:szCs w:val="24"/>
        </w:rPr>
        <w:t xml:space="preserve">Eve </w:t>
      </w:r>
      <w:r w:rsidRPr="005D086E">
        <w:rPr>
          <w:rFonts w:ascii="Garamond" w:hAnsi="Garamond" w:cs="Times New Roman"/>
          <w:sz w:val="24"/>
          <w:szCs w:val="24"/>
        </w:rPr>
        <w:t>2011).</w:t>
      </w:r>
    </w:p>
    <w:p w:rsidR="0038222D" w:rsidRDefault="0038222D" w:rsidP="0038222D">
      <w:pPr>
        <w:spacing w:after="0" w:line="360" w:lineRule="auto"/>
        <w:jc w:val="both"/>
        <w:rPr>
          <w:rFonts w:ascii="Garamond" w:hAnsi="Garamond" w:cs="Times New Roman"/>
          <w:sz w:val="24"/>
          <w:szCs w:val="24"/>
        </w:rPr>
      </w:pPr>
    </w:p>
    <w:p w:rsidR="0038222D" w:rsidRDefault="0038222D" w:rsidP="0038222D">
      <w:pPr>
        <w:spacing w:after="0" w:line="360" w:lineRule="auto"/>
        <w:jc w:val="both"/>
        <w:rPr>
          <w:rFonts w:ascii="Garamond" w:hAnsi="Garamond"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38222D">
        <w:tc>
          <w:tcPr>
            <w:tcW w:w="4258" w:type="dxa"/>
          </w:tcPr>
          <w:p w:rsidR="0038222D" w:rsidRPr="0038222D" w:rsidRDefault="0038222D" w:rsidP="0038222D">
            <w:pPr>
              <w:spacing w:after="0" w:line="360" w:lineRule="auto"/>
              <w:jc w:val="both"/>
              <w:rPr>
                <w:rFonts w:ascii="Garamond" w:hAnsi="Garamond" w:cs="Times New Roman"/>
                <w:sz w:val="24"/>
                <w:szCs w:val="24"/>
              </w:rPr>
            </w:pPr>
            <w:r w:rsidRPr="0038222D">
              <w:rPr>
                <w:rFonts w:ascii="Garamond" w:hAnsi="Garamond" w:cs="Times New Roman"/>
                <w:noProof/>
                <w:sz w:val="24"/>
                <w:szCs w:val="24"/>
                <w:lang w:eastAsia="en-GB"/>
              </w:rPr>
              <w:lastRenderedPageBreak/>
              <w:drawing>
                <wp:inline distT="0" distB="0" distL="0" distR="0">
                  <wp:extent cx="2105419" cy="2973788"/>
                  <wp:effectExtent l="19050" t="0" r="9131"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2114320" cy="2986360"/>
                          </a:xfrm>
                          <a:prstGeom prst="rect">
                            <a:avLst/>
                          </a:prstGeom>
                          <a:noFill/>
                          <a:ln>
                            <a:noFill/>
                          </a:ln>
                        </pic:spPr>
                      </pic:pic>
                    </a:graphicData>
                  </a:graphic>
                </wp:inline>
              </w:drawing>
            </w:r>
          </w:p>
        </w:tc>
        <w:tc>
          <w:tcPr>
            <w:tcW w:w="4258" w:type="dxa"/>
          </w:tcPr>
          <w:p w:rsidR="00504CFD" w:rsidRDefault="0038222D" w:rsidP="0038222D">
            <w:pPr>
              <w:pStyle w:val="Caption"/>
              <w:rPr>
                <w:rFonts w:ascii="Perpetua" w:hAnsi="Perpetua"/>
                <w:b w:val="0"/>
                <w:noProof/>
                <w:color w:val="auto"/>
                <w:sz w:val="20"/>
                <w:lang w:eastAsia="en-GB"/>
              </w:rPr>
            </w:pPr>
            <w:bookmarkStart w:id="550" w:name="_Toc263509043"/>
            <w:bookmarkStart w:id="551" w:name="_Toc263510830"/>
            <w:bookmarkStart w:id="552" w:name="_Toc244508246"/>
            <w:bookmarkStart w:id="553" w:name="_Toc244577308"/>
            <w:bookmarkStart w:id="554" w:name="_Toc263495777"/>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46</w:t>
            </w:r>
            <w:r w:rsidR="00DF2DF8" w:rsidRPr="00504CFD">
              <w:rPr>
                <w:rFonts w:ascii="Perpetua" w:hAnsi="Perpetua"/>
                <w:b w:val="0"/>
                <w:color w:val="auto"/>
                <w:sz w:val="20"/>
              </w:rPr>
              <w:fldChar w:fldCharType="end"/>
            </w:r>
            <w:r w:rsidRPr="00504CFD">
              <w:rPr>
                <w:rFonts w:ascii="Perpetua" w:hAnsi="Perpetua"/>
                <w:b w:val="0"/>
                <w:color w:val="auto"/>
                <w:sz w:val="20"/>
              </w:rPr>
              <w:t>:</w:t>
            </w:r>
            <w:r w:rsidRPr="00F04316">
              <w:rPr>
                <w:rFonts w:ascii="Perpetua" w:hAnsi="Perpetua"/>
                <w:b w:val="0"/>
                <w:color w:val="auto"/>
                <w:sz w:val="20"/>
              </w:rPr>
              <w:t xml:space="preserve"> </w:t>
            </w:r>
            <w:r w:rsidRPr="00F04316">
              <w:rPr>
                <w:rFonts w:ascii="Perpetua" w:hAnsi="Perpetua"/>
                <w:b w:val="0"/>
                <w:noProof/>
                <w:color w:val="auto"/>
                <w:sz w:val="20"/>
                <w:lang w:eastAsia="en-GB"/>
              </w:rPr>
              <w:t xml:space="preserve">Illustration from </w:t>
            </w:r>
            <w:r w:rsidRPr="00F04316">
              <w:rPr>
                <w:rFonts w:ascii="Perpetua" w:hAnsi="Perpetua"/>
                <w:b w:val="0"/>
                <w:i/>
                <w:noProof/>
                <w:color w:val="auto"/>
                <w:sz w:val="20"/>
                <w:lang w:eastAsia="en-GB"/>
              </w:rPr>
              <w:t xml:space="preserve">Chocolate Chaga </w:t>
            </w:r>
            <w:r w:rsidRPr="00F04316">
              <w:rPr>
                <w:rFonts w:ascii="Perpetua" w:hAnsi="Perpetua"/>
                <w:b w:val="0"/>
                <w:noProof/>
                <w:color w:val="auto"/>
                <w:sz w:val="20"/>
                <w:lang w:eastAsia="en-GB"/>
              </w:rPr>
              <w:t>(</w:t>
            </w:r>
            <w:r w:rsidR="003E1963">
              <w:rPr>
                <w:rFonts w:ascii="Perpetua" w:hAnsi="Perpetua"/>
                <w:b w:val="0"/>
                <w:noProof/>
                <w:color w:val="auto"/>
                <w:sz w:val="20"/>
                <w:lang w:eastAsia="en-GB"/>
              </w:rPr>
              <w:t>Hartman</w:t>
            </w:r>
            <w:r w:rsidRPr="00F04316">
              <w:rPr>
                <w:rFonts w:ascii="Perpetua" w:hAnsi="Perpetua"/>
                <w:b w:val="0"/>
                <w:noProof/>
                <w:color w:val="auto"/>
                <w:sz w:val="20"/>
                <w:lang w:eastAsia="en-GB"/>
              </w:rPr>
              <w:t>, 2006) on the STT website.</w:t>
            </w:r>
            <w:bookmarkEnd w:id="550"/>
            <w:bookmarkEnd w:id="551"/>
            <w:r w:rsidRPr="00F04316">
              <w:rPr>
                <w:rFonts w:ascii="Perpetua" w:hAnsi="Perpetua"/>
                <w:b w:val="0"/>
                <w:noProof/>
                <w:color w:val="auto"/>
                <w:sz w:val="20"/>
                <w:lang w:eastAsia="en-GB"/>
              </w:rPr>
              <w:t xml:space="preserve"> </w:t>
            </w:r>
          </w:p>
          <w:p w:rsidR="0038222D" w:rsidRPr="00504CFD" w:rsidRDefault="0038222D" w:rsidP="00504CFD">
            <w:pPr>
              <w:rPr>
                <w:rFonts w:ascii="Perpetua" w:hAnsi="Perpetua"/>
                <w:sz w:val="20"/>
              </w:rPr>
            </w:pPr>
            <w:r w:rsidRPr="00504CFD">
              <w:rPr>
                <w:rFonts w:ascii="Perpetua" w:hAnsi="Perpetua"/>
                <w:sz w:val="20"/>
              </w:rPr>
              <w:t>Note the sylized treatment of the two bodies. An evil black masculinity is sillhouetted in the background of a whitened, sweating trafficked child victim.</w:t>
            </w:r>
            <w:bookmarkEnd w:id="552"/>
            <w:bookmarkEnd w:id="553"/>
            <w:bookmarkEnd w:id="554"/>
          </w:p>
        </w:tc>
      </w:tr>
    </w:tbl>
    <w:p w:rsidR="00472B3A" w:rsidRDefault="00472B3A" w:rsidP="00472B3A">
      <w:pPr>
        <w:spacing w:line="360" w:lineRule="auto"/>
        <w:jc w:val="both"/>
        <w:rPr>
          <w:rFonts w:ascii="Garamond" w:hAnsi="Garamond" w:cs="Times New Roman"/>
          <w:sz w:val="24"/>
          <w:szCs w:val="24"/>
        </w:rPr>
      </w:pPr>
    </w:p>
    <w:p w:rsidR="00F04316" w:rsidRDefault="00472B3A" w:rsidP="00F04316">
      <w:pPr>
        <w:spacing w:after="0" w:line="360" w:lineRule="auto"/>
        <w:jc w:val="both"/>
        <w:rPr>
          <w:rFonts w:ascii="Garamond" w:hAnsi="Garamond" w:cs="Times New Roman"/>
          <w:sz w:val="24"/>
          <w:szCs w:val="24"/>
        </w:rPr>
      </w:pPr>
      <w:r>
        <w:rPr>
          <w:rFonts w:ascii="Garamond" w:hAnsi="Garamond" w:cs="Times New Roman"/>
          <w:sz w:val="24"/>
          <w:szCs w:val="24"/>
        </w:rPr>
        <w:t>Instead of anthropophagy</w:t>
      </w:r>
      <w:r w:rsidRPr="005D086E">
        <w:rPr>
          <w:rFonts w:ascii="Garamond" w:hAnsi="Garamond" w:cs="Times New Roman"/>
          <w:sz w:val="24"/>
          <w:szCs w:val="24"/>
        </w:rPr>
        <w:t>, tears,</w:t>
      </w:r>
      <w:r>
        <w:rPr>
          <w:rFonts w:ascii="Garamond" w:hAnsi="Garamond" w:cs="Times New Roman"/>
          <w:sz w:val="24"/>
          <w:szCs w:val="24"/>
        </w:rPr>
        <w:t xml:space="preserve"> </w:t>
      </w:r>
      <w:r w:rsidRPr="005D086E">
        <w:rPr>
          <w:rFonts w:ascii="Garamond" w:hAnsi="Garamond" w:cs="Times New Roman"/>
          <w:sz w:val="24"/>
          <w:szCs w:val="24"/>
        </w:rPr>
        <w:t xml:space="preserve">urine and sweat are used in </w:t>
      </w:r>
      <w:r w:rsidRPr="005D086E">
        <w:rPr>
          <w:rFonts w:ascii="Garamond" w:hAnsi="Garamond" w:cs="Times New Roman"/>
          <w:i/>
          <w:sz w:val="24"/>
          <w:szCs w:val="24"/>
        </w:rPr>
        <w:t>Chaga</w:t>
      </w:r>
      <w:r w:rsidRPr="005D086E">
        <w:rPr>
          <w:rFonts w:ascii="Garamond" w:hAnsi="Garamond" w:cs="Times New Roman"/>
          <w:sz w:val="24"/>
          <w:szCs w:val="24"/>
        </w:rPr>
        <w:t xml:space="preserve"> as somatic registers</w:t>
      </w:r>
      <w:r>
        <w:rPr>
          <w:rFonts w:ascii="Garamond" w:hAnsi="Garamond" w:cs="Times New Roman"/>
          <w:sz w:val="24"/>
          <w:szCs w:val="24"/>
        </w:rPr>
        <w:t>.</w:t>
      </w:r>
      <w:r w:rsidRPr="005D086E">
        <w:rPr>
          <w:rFonts w:ascii="Garamond" w:hAnsi="Garamond" w:cs="Times New Roman"/>
          <w:sz w:val="24"/>
          <w:szCs w:val="24"/>
        </w:rPr>
        <w:t xml:space="preserve"> </w:t>
      </w:r>
      <w:r>
        <w:rPr>
          <w:rFonts w:ascii="Garamond" w:hAnsi="Garamond" w:cs="Times New Roman"/>
          <w:sz w:val="24"/>
          <w:szCs w:val="24"/>
        </w:rPr>
        <w:t>E</w:t>
      </w:r>
      <w:r w:rsidRPr="005D086E">
        <w:rPr>
          <w:rFonts w:ascii="Garamond" w:hAnsi="Garamond" w:cs="Times New Roman"/>
          <w:sz w:val="24"/>
          <w:szCs w:val="24"/>
        </w:rPr>
        <w:t>ach bodily fluid works to induce a specific emotional or visceral reaction to the topos. Tears bring child consumers</w:t>
      </w:r>
      <w:r>
        <w:rPr>
          <w:rFonts w:ascii="Garamond" w:hAnsi="Garamond" w:cs="Times New Roman"/>
          <w:sz w:val="24"/>
          <w:szCs w:val="24"/>
        </w:rPr>
        <w:t xml:space="preserve"> </w:t>
      </w:r>
      <w:r w:rsidRPr="005D086E">
        <w:rPr>
          <w:rFonts w:ascii="Garamond" w:hAnsi="Garamond" w:cs="Times New Roman"/>
          <w:sz w:val="24"/>
          <w:szCs w:val="24"/>
        </w:rPr>
        <w:t>(and their parents) closer to Chaga as they are a commonly understood sign for authentic states of bodily interiority (Boltanski, 1999) and they can illuminate the most intimate of stakes in socia</w:t>
      </w:r>
      <w:r>
        <w:rPr>
          <w:rFonts w:ascii="Garamond" w:hAnsi="Garamond" w:cs="Times New Roman"/>
          <w:sz w:val="24"/>
          <w:szCs w:val="24"/>
        </w:rPr>
        <w:t xml:space="preserve">l relationships. </w:t>
      </w:r>
      <w:r w:rsidR="003E1963">
        <w:rPr>
          <w:rFonts w:ascii="Garamond" w:hAnsi="Garamond" w:cs="Times New Roman"/>
          <w:sz w:val="24"/>
          <w:szCs w:val="24"/>
        </w:rPr>
        <w:t>Hartman</w:t>
      </w:r>
      <w:r>
        <w:rPr>
          <w:rFonts w:ascii="Garamond" w:hAnsi="Garamond" w:cs="Times New Roman"/>
          <w:sz w:val="24"/>
          <w:szCs w:val="24"/>
        </w:rPr>
        <w:t xml:space="preserve"> utiliz</w:t>
      </w:r>
      <w:r w:rsidRPr="005D086E">
        <w:rPr>
          <w:rFonts w:ascii="Garamond" w:hAnsi="Garamond" w:cs="Times New Roman"/>
          <w:sz w:val="24"/>
          <w:szCs w:val="24"/>
        </w:rPr>
        <w:t>es tears as an accentuating device to convey universal emotions of familial loss and individual hopelessness and fear:</w:t>
      </w:r>
    </w:p>
    <w:p w:rsidR="00472B3A" w:rsidRPr="005D086E" w:rsidRDefault="00472B3A" w:rsidP="00F04316">
      <w:pPr>
        <w:spacing w:after="0" w:line="360" w:lineRule="auto"/>
        <w:jc w:val="both"/>
        <w:rPr>
          <w:rFonts w:ascii="Garamond" w:hAnsi="Garamond" w:cs="Times New Roman"/>
          <w:sz w:val="24"/>
          <w:szCs w:val="24"/>
        </w:rPr>
      </w:pPr>
    </w:p>
    <w:p w:rsidR="00472B3A" w:rsidRPr="005D086E" w:rsidRDefault="00472B3A" w:rsidP="00F04316">
      <w:pPr>
        <w:autoSpaceDE w:val="0"/>
        <w:autoSpaceDN w:val="0"/>
        <w:adjustRightInd w:val="0"/>
        <w:spacing w:line="360" w:lineRule="auto"/>
        <w:ind w:left="284" w:right="284"/>
        <w:jc w:val="both"/>
        <w:rPr>
          <w:rFonts w:ascii="Garamond" w:hAnsi="Garamond" w:cs="Times New Roman"/>
        </w:rPr>
      </w:pPr>
      <w:r w:rsidRPr="005D086E">
        <w:rPr>
          <w:rFonts w:ascii="Garamond" w:hAnsi="Garamond" w:cs="Times New Roman"/>
        </w:rPr>
        <w:t>And with tears in their eyes, they said, 'yes’. Tears of sorrow, because they would miss their son. …</w:t>
      </w:r>
    </w:p>
    <w:p w:rsidR="00472B3A" w:rsidRPr="005D086E" w:rsidRDefault="00472B3A" w:rsidP="00F04316">
      <w:pPr>
        <w:autoSpaceDE w:val="0"/>
        <w:autoSpaceDN w:val="0"/>
        <w:adjustRightInd w:val="0"/>
        <w:spacing w:line="360" w:lineRule="auto"/>
        <w:ind w:left="284" w:right="284"/>
        <w:jc w:val="both"/>
        <w:rPr>
          <w:rFonts w:ascii="Garamond" w:hAnsi="Garamond" w:cs="Times New Roman"/>
        </w:rPr>
      </w:pPr>
      <w:r w:rsidRPr="005D086E">
        <w:rPr>
          <w:rFonts w:ascii="Garamond" w:hAnsi="Garamond" w:cs="Times New Roman"/>
        </w:rPr>
        <w:t>Some of the bigger boys threw themselves at the door, hoping to break it down. But Chaga just dropped to the floor, rubbing the tears from his eyes with the back of his hand...</w:t>
      </w:r>
    </w:p>
    <w:p w:rsidR="00472B3A" w:rsidRDefault="00472B3A" w:rsidP="00F04316">
      <w:pPr>
        <w:autoSpaceDE w:val="0"/>
        <w:autoSpaceDN w:val="0"/>
        <w:adjustRightInd w:val="0"/>
        <w:spacing w:line="360" w:lineRule="auto"/>
        <w:ind w:left="284" w:right="284"/>
        <w:jc w:val="both"/>
        <w:rPr>
          <w:rFonts w:ascii="Garamond" w:hAnsi="Garamond" w:cs="Times New Roman"/>
        </w:rPr>
      </w:pPr>
      <w:r w:rsidRPr="005D086E">
        <w:rPr>
          <w:rFonts w:ascii="Garamond" w:hAnsi="Garamond" w:cs="Times New Roman"/>
        </w:rPr>
        <w:t>His tears a prism in the bright African sun, gulping down lungful</w:t>
      </w:r>
      <w:r>
        <w:rPr>
          <w:rFonts w:ascii="Garamond" w:hAnsi="Garamond" w:cs="Times New Roman"/>
        </w:rPr>
        <w:t>s of hot African air, Chaga ran.</w:t>
      </w:r>
      <w:r w:rsidRPr="005D086E">
        <w:rPr>
          <w:rFonts w:ascii="Garamond" w:hAnsi="Garamond" w:cs="Times New Roman"/>
        </w:rPr>
        <w:t xml:space="preserve"> (</w:t>
      </w:r>
      <w:r w:rsidR="003E1963">
        <w:rPr>
          <w:rFonts w:ascii="Garamond" w:hAnsi="Garamond" w:cs="Times New Roman"/>
        </w:rPr>
        <w:t>Hartman</w:t>
      </w:r>
      <w:r w:rsidRPr="005D086E">
        <w:rPr>
          <w:rFonts w:ascii="Garamond" w:hAnsi="Garamond" w:cs="Times New Roman"/>
        </w:rPr>
        <w:t>, 2006).</w:t>
      </w:r>
    </w:p>
    <w:p w:rsidR="00472B3A" w:rsidRPr="005D086E" w:rsidRDefault="00472B3A" w:rsidP="00F04316">
      <w:pPr>
        <w:autoSpaceDE w:val="0"/>
        <w:autoSpaceDN w:val="0"/>
        <w:adjustRightInd w:val="0"/>
        <w:spacing w:after="0" w:line="360" w:lineRule="auto"/>
        <w:ind w:left="284" w:right="284"/>
        <w:jc w:val="both"/>
        <w:rPr>
          <w:rFonts w:ascii="Garamond" w:hAnsi="Garamond" w:cs="Times New Roman"/>
        </w:rPr>
      </w:pPr>
    </w:p>
    <w:p w:rsidR="00F04316" w:rsidRDefault="00472B3A" w:rsidP="00F04316">
      <w:pPr>
        <w:spacing w:after="0" w:line="360" w:lineRule="auto"/>
        <w:jc w:val="both"/>
        <w:rPr>
          <w:rFonts w:ascii="Garamond" w:hAnsi="Garamond" w:cs="Times New Roman"/>
          <w:sz w:val="24"/>
          <w:szCs w:val="24"/>
        </w:rPr>
      </w:pPr>
      <w:r w:rsidRPr="005D086E">
        <w:rPr>
          <w:rFonts w:ascii="Garamond" w:hAnsi="Garamond" w:cs="Times New Roman"/>
          <w:sz w:val="24"/>
          <w:szCs w:val="24"/>
        </w:rPr>
        <w:t>In distinction to the alterity of the child producers displayed in the anthropop</w:t>
      </w:r>
      <w:r>
        <w:rPr>
          <w:rFonts w:ascii="Garamond" w:hAnsi="Garamond" w:cs="Times New Roman"/>
          <w:sz w:val="24"/>
          <w:szCs w:val="24"/>
        </w:rPr>
        <w:t>hagic topos, Chaga is familiariz</w:t>
      </w:r>
      <w:r w:rsidRPr="005D086E">
        <w:rPr>
          <w:rFonts w:ascii="Garamond" w:hAnsi="Garamond" w:cs="Times New Roman"/>
          <w:sz w:val="24"/>
          <w:szCs w:val="24"/>
        </w:rPr>
        <w:t>ed, and the reader is encouraged to interpret events through the protagonist who “dreams of chocolate bicycles”. A Western ethics of chocolate as transformative and sensual is used to frame the (false) promise inte</w:t>
      </w:r>
      <w:r w:rsidR="00F04316">
        <w:rPr>
          <w:rFonts w:ascii="Garamond" w:hAnsi="Garamond" w:cs="Times New Roman"/>
          <w:sz w:val="24"/>
          <w:szCs w:val="24"/>
        </w:rPr>
        <w:t>gral to the act of trafficking.</w:t>
      </w:r>
    </w:p>
    <w:p w:rsidR="00F04316" w:rsidRDefault="00F04316" w:rsidP="00F04316">
      <w:pPr>
        <w:spacing w:after="0" w:line="360" w:lineRule="auto"/>
        <w:jc w:val="both"/>
        <w:rPr>
          <w:rFonts w:ascii="Garamond" w:hAnsi="Garamond" w:cs="Times New Roman"/>
          <w:sz w:val="24"/>
          <w:szCs w:val="24"/>
        </w:rPr>
      </w:pPr>
    </w:p>
    <w:p w:rsidR="00F04316" w:rsidRDefault="003E1963" w:rsidP="00F04316">
      <w:pPr>
        <w:spacing w:after="0" w:line="360" w:lineRule="auto"/>
        <w:jc w:val="both"/>
        <w:rPr>
          <w:rFonts w:ascii="Garamond" w:hAnsi="Garamond" w:cs="Times New Roman"/>
          <w:sz w:val="24"/>
          <w:szCs w:val="24"/>
        </w:rPr>
      </w:pPr>
      <w:r>
        <w:rPr>
          <w:rFonts w:ascii="Garamond" w:hAnsi="Garamond" w:cs="Times New Roman"/>
          <w:sz w:val="24"/>
          <w:szCs w:val="24"/>
        </w:rPr>
        <w:t>Hartman</w:t>
      </w:r>
      <w:r w:rsidR="00472B3A" w:rsidRPr="005D086E">
        <w:rPr>
          <w:rFonts w:ascii="Garamond" w:hAnsi="Garamond" w:cs="Times New Roman"/>
          <w:sz w:val="24"/>
          <w:szCs w:val="24"/>
        </w:rPr>
        <w:t xml:space="preserve"> uses sweat to naturalize the hardships of cocoa slavery and of the landscape itself</w:t>
      </w:r>
      <w:r w:rsidR="00472B3A">
        <w:rPr>
          <w:rFonts w:ascii="Garamond" w:hAnsi="Garamond" w:cs="Times New Roman"/>
          <w:sz w:val="24"/>
          <w:szCs w:val="24"/>
        </w:rPr>
        <w:t>,</w:t>
      </w:r>
      <w:r w:rsidR="00472B3A" w:rsidRPr="005D086E">
        <w:rPr>
          <w:rFonts w:ascii="Garamond" w:hAnsi="Garamond" w:cs="Times New Roman"/>
          <w:sz w:val="24"/>
          <w:szCs w:val="24"/>
        </w:rPr>
        <w:t xml:space="preserve"> which is ‘dry’, ‘hot’ and ‘dusty’, a producer landscape which has explicit power to do violence </w:t>
      </w:r>
      <w:r w:rsidR="00472B3A">
        <w:rPr>
          <w:rFonts w:ascii="Garamond" w:hAnsi="Garamond" w:cs="Times New Roman"/>
          <w:sz w:val="24"/>
          <w:szCs w:val="24"/>
        </w:rPr>
        <w:t>to child bodies. At</w:t>
      </w:r>
      <w:r w:rsidR="00472B3A" w:rsidRPr="005D086E">
        <w:rPr>
          <w:rFonts w:ascii="Garamond" w:hAnsi="Garamond" w:cs="Times New Roman"/>
          <w:sz w:val="24"/>
          <w:szCs w:val="24"/>
        </w:rPr>
        <w:t xml:space="preserve"> the narrative</w:t>
      </w:r>
      <w:r w:rsidR="00472B3A">
        <w:rPr>
          <w:rFonts w:ascii="Garamond" w:hAnsi="Garamond" w:cs="Times New Roman"/>
          <w:sz w:val="24"/>
          <w:szCs w:val="24"/>
        </w:rPr>
        <w:t>’s nadir</w:t>
      </w:r>
      <w:r w:rsidR="00472B3A" w:rsidRPr="005D086E">
        <w:rPr>
          <w:rFonts w:ascii="Garamond" w:hAnsi="Garamond" w:cs="Times New Roman"/>
          <w:sz w:val="24"/>
          <w:szCs w:val="24"/>
        </w:rPr>
        <w:t>, Chaga’s friend Boukhari dies of heat exhaustion. A lack of shade, drought and famine are implied;</w:t>
      </w:r>
      <w:r w:rsidR="00472B3A">
        <w:rPr>
          <w:rFonts w:ascii="Garamond" w:hAnsi="Garamond" w:cs="Times New Roman"/>
          <w:sz w:val="24"/>
          <w:szCs w:val="24"/>
        </w:rPr>
        <w:t xml:space="preserve"> these are</w:t>
      </w:r>
      <w:r w:rsidR="00472B3A" w:rsidRPr="005D086E">
        <w:rPr>
          <w:rFonts w:ascii="Garamond" w:hAnsi="Garamond" w:cs="Times New Roman"/>
          <w:sz w:val="24"/>
          <w:szCs w:val="24"/>
        </w:rPr>
        <w:t xml:space="preserve"> climatic and social conditions which are unusual on coc</w:t>
      </w:r>
      <w:r w:rsidR="00472B3A">
        <w:rPr>
          <w:rFonts w:ascii="Garamond" w:hAnsi="Garamond" w:cs="Times New Roman"/>
          <w:sz w:val="24"/>
          <w:szCs w:val="24"/>
        </w:rPr>
        <w:t>oa farms filled with trees that</w:t>
      </w:r>
      <w:r w:rsidR="00472B3A" w:rsidRPr="005D086E">
        <w:rPr>
          <w:rFonts w:ascii="Garamond" w:hAnsi="Garamond" w:cs="Times New Roman"/>
          <w:sz w:val="24"/>
          <w:szCs w:val="24"/>
        </w:rPr>
        <w:t xml:space="preserve"> require regular precipita</w:t>
      </w:r>
      <w:r w:rsidR="00472B3A">
        <w:rPr>
          <w:rFonts w:ascii="Garamond" w:hAnsi="Garamond" w:cs="Times New Roman"/>
          <w:sz w:val="24"/>
          <w:szCs w:val="24"/>
        </w:rPr>
        <w:t xml:space="preserve">tion for the crop to succeed. </w:t>
      </w:r>
      <w:r w:rsidR="00472B3A" w:rsidRPr="005D086E">
        <w:rPr>
          <w:rFonts w:ascii="Garamond" w:hAnsi="Garamond" w:cs="Times New Roman"/>
          <w:sz w:val="24"/>
          <w:szCs w:val="24"/>
        </w:rPr>
        <w:t xml:space="preserve">Sweat and urine are deployed by </w:t>
      </w:r>
      <w:r>
        <w:rPr>
          <w:rFonts w:ascii="Garamond" w:hAnsi="Garamond" w:cs="Times New Roman"/>
          <w:sz w:val="24"/>
          <w:szCs w:val="24"/>
        </w:rPr>
        <w:t>Hartman</w:t>
      </w:r>
      <w:r w:rsidR="00472B3A" w:rsidRPr="005D086E">
        <w:rPr>
          <w:rFonts w:ascii="Garamond" w:hAnsi="Garamond" w:cs="Times New Roman"/>
          <w:sz w:val="24"/>
          <w:szCs w:val="24"/>
        </w:rPr>
        <w:t xml:space="preserve"> to illustrate threats to bodily purity through contamination: </w:t>
      </w:r>
    </w:p>
    <w:p w:rsidR="00472B3A" w:rsidRPr="005D086E" w:rsidRDefault="00472B3A" w:rsidP="00F04316">
      <w:pPr>
        <w:spacing w:after="0" w:line="360" w:lineRule="auto"/>
        <w:jc w:val="both"/>
        <w:rPr>
          <w:rFonts w:ascii="Garamond" w:hAnsi="Garamond" w:cs="Times New Roman"/>
          <w:sz w:val="24"/>
          <w:szCs w:val="24"/>
        </w:rPr>
      </w:pPr>
    </w:p>
    <w:p w:rsidR="00472B3A" w:rsidRPr="005D086E" w:rsidRDefault="00472B3A" w:rsidP="00F04316">
      <w:pPr>
        <w:autoSpaceDE w:val="0"/>
        <w:autoSpaceDN w:val="0"/>
        <w:adjustRightInd w:val="0"/>
        <w:spacing w:after="0" w:line="360" w:lineRule="auto"/>
        <w:ind w:left="284" w:right="284"/>
        <w:rPr>
          <w:rFonts w:ascii="Garamond" w:hAnsi="Garamond" w:cs="Times New Roman"/>
        </w:rPr>
      </w:pPr>
      <w:r w:rsidRPr="005D086E">
        <w:rPr>
          <w:rFonts w:ascii="Garamond" w:hAnsi="Garamond" w:cs="Times New Roman"/>
        </w:rPr>
        <w:t>One by one, the boys went into the shack. And oh, the smell! The air was thick with sweat. The floor was damp with urine.</w:t>
      </w:r>
      <w:r>
        <w:rPr>
          <w:rFonts w:ascii="Garamond" w:hAnsi="Garamond" w:cs="Times New Roman"/>
        </w:rPr>
        <w:t xml:space="preserve"> And Chaga could hardly breathe.</w:t>
      </w:r>
      <w:r w:rsidRPr="005D086E">
        <w:rPr>
          <w:rFonts w:ascii="Garamond" w:hAnsi="Garamond" w:cs="Times New Roman"/>
        </w:rPr>
        <w:t xml:space="preserve"> (</w:t>
      </w:r>
      <w:r w:rsidR="003E1963">
        <w:rPr>
          <w:rFonts w:ascii="Garamond" w:hAnsi="Garamond" w:cs="Times New Roman"/>
        </w:rPr>
        <w:t>Hartman</w:t>
      </w:r>
      <w:r w:rsidRPr="005D086E">
        <w:rPr>
          <w:rFonts w:ascii="Garamond" w:hAnsi="Garamond" w:cs="Times New Roman"/>
        </w:rPr>
        <w:t>, 2006)</w:t>
      </w:r>
    </w:p>
    <w:p w:rsidR="00472B3A" w:rsidRPr="005D086E" w:rsidRDefault="00472B3A" w:rsidP="00F04316">
      <w:pPr>
        <w:autoSpaceDE w:val="0"/>
        <w:autoSpaceDN w:val="0"/>
        <w:adjustRightInd w:val="0"/>
        <w:spacing w:after="0" w:line="360" w:lineRule="auto"/>
        <w:rPr>
          <w:rFonts w:ascii="Garamond" w:hAnsi="Garamond" w:cs="Times New Roman"/>
        </w:rPr>
      </w:pPr>
    </w:p>
    <w:p w:rsidR="00472B3A" w:rsidRPr="005D086E" w:rsidRDefault="00472B3A" w:rsidP="00F04316">
      <w:pPr>
        <w:autoSpaceDE w:val="0"/>
        <w:autoSpaceDN w:val="0"/>
        <w:adjustRightInd w:val="0"/>
        <w:spacing w:after="0" w:line="360" w:lineRule="auto"/>
        <w:jc w:val="both"/>
        <w:rPr>
          <w:rFonts w:ascii="Garamond" w:hAnsi="Garamond" w:cs="Times New Roman"/>
          <w:sz w:val="24"/>
          <w:szCs w:val="24"/>
        </w:rPr>
      </w:pPr>
      <w:r w:rsidRPr="005D086E">
        <w:rPr>
          <w:rFonts w:ascii="Garamond" w:hAnsi="Garamond" w:cs="Times New Roman"/>
          <w:sz w:val="24"/>
          <w:szCs w:val="24"/>
        </w:rPr>
        <w:t>Chaga does not defer the relationship between consumer and</w:t>
      </w:r>
      <w:r>
        <w:rPr>
          <w:rFonts w:ascii="Garamond" w:hAnsi="Garamond" w:cs="Times New Roman"/>
          <w:sz w:val="24"/>
          <w:szCs w:val="24"/>
        </w:rPr>
        <w:t xml:space="preserve"> producer to a politics of pity. I</w:t>
      </w:r>
      <w:r w:rsidRPr="005D086E">
        <w:rPr>
          <w:rFonts w:ascii="Garamond" w:hAnsi="Garamond" w:cs="Times New Roman"/>
          <w:sz w:val="24"/>
          <w:szCs w:val="24"/>
        </w:rPr>
        <w:t>nstead it works to threaten the universal idea of childhood, as embodied by Chaga, with fears of bodily contamination, hostile producer landscapes and through the lingering threat of a vio</w:t>
      </w:r>
      <w:r>
        <w:rPr>
          <w:rFonts w:ascii="Garamond" w:hAnsi="Garamond" w:cs="Times New Roman"/>
          <w:sz w:val="24"/>
          <w:szCs w:val="24"/>
        </w:rPr>
        <w:t xml:space="preserve">lent </w:t>
      </w:r>
      <w:r w:rsidR="00F04316">
        <w:rPr>
          <w:rFonts w:ascii="Garamond" w:hAnsi="Garamond" w:cs="Times New Roman"/>
          <w:sz w:val="24"/>
          <w:szCs w:val="24"/>
        </w:rPr>
        <w:t>black masculinity (see Figure 46</w:t>
      </w:r>
      <w:r w:rsidRPr="005D086E">
        <w:rPr>
          <w:rFonts w:ascii="Garamond" w:hAnsi="Garamond" w:cs="Times New Roman"/>
          <w:sz w:val="24"/>
          <w:szCs w:val="24"/>
        </w:rPr>
        <w:t xml:space="preserve">) that sometimes explodes to the surface: </w:t>
      </w:r>
    </w:p>
    <w:p w:rsidR="00472B3A" w:rsidRPr="005D086E" w:rsidRDefault="00472B3A" w:rsidP="00F04316">
      <w:pPr>
        <w:autoSpaceDE w:val="0"/>
        <w:autoSpaceDN w:val="0"/>
        <w:adjustRightInd w:val="0"/>
        <w:spacing w:after="0" w:line="360" w:lineRule="auto"/>
        <w:rPr>
          <w:rFonts w:ascii="Garamond" w:hAnsi="Garamond" w:cs="Times New Roman"/>
          <w:sz w:val="24"/>
          <w:szCs w:val="24"/>
        </w:rPr>
      </w:pPr>
    </w:p>
    <w:p w:rsidR="00472B3A" w:rsidRPr="005D086E" w:rsidRDefault="00472B3A" w:rsidP="00F04316">
      <w:pPr>
        <w:autoSpaceDE w:val="0"/>
        <w:autoSpaceDN w:val="0"/>
        <w:adjustRightInd w:val="0"/>
        <w:spacing w:after="0" w:line="360" w:lineRule="auto"/>
        <w:ind w:left="284" w:right="284"/>
        <w:rPr>
          <w:rFonts w:ascii="Garamond" w:hAnsi="Garamond" w:cs="Times New Roman"/>
          <w:sz w:val="23"/>
          <w:szCs w:val="23"/>
        </w:rPr>
      </w:pPr>
      <w:r w:rsidRPr="005D086E">
        <w:rPr>
          <w:rFonts w:ascii="Garamond" w:hAnsi="Garamond" w:cs="Times New Roman"/>
          <w:sz w:val="23"/>
          <w:szCs w:val="23"/>
        </w:rPr>
        <w:t xml:space="preserve">Chaga watched in horror as the farmer beat those boys with sticks, then loaded the sacks </w:t>
      </w:r>
      <w:r>
        <w:rPr>
          <w:rFonts w:ascii="Garamond" w:hAnsi="Garamond" w:cs="Times New Roman"/>
          <w:sz w:val="23"/>
          <w:szCs w:val="23"/>
        </w:rPr>
        <w:t>again onto their bleeding backs.</w:t>
      </w:r>
      <w:r w:rsidRPr="005D086E">
        <w:rPr>
          <w:rFonts w:ascii="Garamond" w:hAnsi="Garamond" w:cs="Times New Roman"/>
          <w:sz w:val="23"/>
          <w:szCs w:val="23"/>
        </w:rPr>
        <w:t xml:space="preserve"> (</w:t>
      </w:r>
      <w:r w:rsidR="003E1963">
        <w:rPr>
          <w:rFonts w:ascii="Garamond" w:hAnsi="Garamond" w:cs="Times New Roman"/>
          <w:sz w:val="23"/>
          <w:szCs w:val="23"/>
        </w:rPr>
        <w:t>Hartman</w:t>
      </w:r>
      <w:r w:rsidRPr="005D086E">
        <w:rPr>
          <w:rFonts w:ascii="Garamond" w:hAnsi="Garamond" w:cs="Times New Roman"/>
          <w:sz w:val="23"/>
          <w:szCs w:val="23"/>
        </w:rPr>
        <w:t>, 2006)</w:t>
      </w:r>
    </w:p>
    <w:p w:rsidR="00472B3A" w:rsidRPr="005D086E" w:rsidRDefault="00472B3A" w:rsidP="00F04316">
      <w:pPr>
        <w:autoSpaceDE w:val="0"/>
        <w:autoSpaceDN w:val="0"/>
        <w:adjustRightInd w:val="0"/>
        <w:spacing w:after="0" w:line="360" w:lineRule="auto"/>
        <w:jc w:val="both"/>
        <w:rPr>
          <w:rFonts w:ascii="Garamond" w:hAnsi="Garamond" w:cs="Times New Roman"/>
          <w:sz w:val="23"/>
          <w:szCs w:val="23"/>
        </w:rPr>
      </w:pPr>
    </w:p>
    <w:p w:rsidR="00472B3A" w:rsidRPr="00034AA2" w:rsidRDefault="00472B3A" w:rsidP="00F04316">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The story communicates to Western children and their parents the importance of buying fair trade or certified chocolate by representing the threat of being enslaved by black cocoa farmers, and the fear of being beaten by black men wielding sticks and machetes in a generic African landscape that is hot, arid and diseased. For a contemporary anti-trafficking story used across schools, churches and youth groups that is available for download by anyone with a computer and internet connection, the narrative displays a surprising absence of racial reflexivity. Perhaps for this reason the story is used sparingly by STT activists; during interviews respondents from both ACT and the Tunbridge Wells Fairtrade Town Group steering committee suggested that they avoided deploying </w:t>
      </w:r>
      <w:r w:rsidRPr="00312001">
        <w:rPr>
          <w:rFonts w:ascii="Garamond" w:hAnsi="Garamond" w:cs="Times New Roman"/>
          <w:i/>
          <w:sz w:val="24"/>
          <w:szCs w:val="24"/>
        </w:rPr>
        <w:t>Chocolate Chaga</w:t>
      </w:r>
      <w:r>
        <w:rPr>
          <w:rFonts w:ascii="Garamond" w:hAnsi="Garamond" w:cs="Times New Roman"/>
          <w:sz w:val="24"/>
          <w:szCs w:val="24"/>
        </w:rPr>
        <w:t xml:space="preserve"> in their work with children.  </w:t>
      </w:r>
    </w:p>
    <w:p w:rsidR="00504CFD" w:rsidRDefault="00504CFD" w:rsidP="00F04316">
      <w:pPr>
        <w:spacing w:after="0" w:line="360" w:lineRule="auto"/>
        <w:jc w:val="both"/>
        <w:rPr>
          <w:rFonts w:ascii="Garamond" w:hAnsi="Garamond" w:cs="Times New Roman"/>
          <w:i/>
          <w:sz w:val="24"/>
          <w:szCs w:val="24"/>
        </w:rPr>
      </w:pPr>
    </w:p>
    <w:p w:rsidR="00504CFD" w:rsidRDefault="00504CFD" w:rsidP="00F04316">
      <w:pPr>
        <w:spacing w:after="0" w:line="360" w:lineRule="auto"/>
        <w:jc w:val="both"/>
        <w:rPr>
          <w:rFonts w:ascii="Garamond" w:hAnsi="Garamond" w:cs="Times New Roman"/>
          <w:i/>
          <w:sz w:val="24"/>
          <w:szCs w:val="24"/>
        </w:rPr>
      </w:pPr>
    </w:p>
    <w:p w:rsidR="00504CFD" w:rsidRDefault="00504CFD" w:rsidP="00F04316">
      <w:pPr>
        <w:spacing w:after="0" w:line="360" w:lineRule="auto"/>
        <w:jc w:val="both"/>
        <w:rPr>
          <w:rFonts w:ascii="Garamond" w:hAnsi="Garamond" w:cs="Times New Roman"/>
          <w:i/>
          <w:sz w:val="24"/>
          <w:szCs w:val="24"/>
        </w:rPr>
      </w:pPr>
    </w:p>
    <w:p w:rsidR="00504CFD" w:rsidRDefault="00504CFD" w:rsidP="00F04316">
      <w:pPr>
        <w:spacing w:after="0" w:line="360" w:lineRule="auto"/>
        <w:jc w:val="both"/>
        <w:rPr>
          <w:rFonts w:ascii="Garamond" w:hAnsi="Garamond" w:cs="Times New Roman"/>
          <w:i/>
          <w:sz w:val="24"/>
          <w:szCs w:val="24"/>
        </w:rPr>
      </w:pPr>
    </w:p>
    <w:p w:rsidR="00472B3A" w:rsidRDefault="00472B3A" w:rsidP="00F04316">
      <w:pPr>
        <w:spacing w:after="0" w:line="360" w:lineRule="auto"/>
        <w:jc w:val="both"/>
        <w:rPr>
          <w:rFonts w:ascii="Garamond" w:hAnsi="Garamond" w:cs="Times New Roman"/>
          <w:i/>
          <w:sz w:val="24"/>
          <w:szCs w:val="24"/>
        </w:rPr>
      </w:pPr>
    </w:p>
    <w:p w:rsidR="00F04316" w:rsidRDefault="00472B3A" w:rsidP="00F04316">
      <w:pPr>
        <w:spacing w:after="0" w:line="360" w:lineRule="auto"/>
        <w:jc w:val="both"/>
        <w:rPr>
          <w:rFonts w:ascii="Garamond" w:hAnsi="Garamond" w:cs="Times New Roman"/>
          <w:b/>
          <w:i/>
          <w:szCs w:val="24"/>
        </w:rPr>
      </w:pPr>
      <w:r w:rsidRPr="003916ED">
        <w:rPr>
          <w:rFonts w:ascii="Garamond" w:hAnsi="Garamond" w:cs="Times New Roman"/>
          <w:b/>
          <w:i/>
          <w:szCs w:val="24"/>
        </w:rPr>
        <w:t>Deploying the trafficking meme in the child-producer topos</w:t>
      </w:r>
    </w:p>
    <w:p w:rsidR="00472B3A" w:rsidRPr="003916ED" w:rsidRDefault="00472B3A" w:rsidP="00F04316">
      <w:pPr>
        <w:spacing w:after="0" w:line="360" w:lineRule="auto"/>
        <w:jc w:val="both"/>
        <w:rPr>
          <w:rFonts w:ascii="Garamond" w:hAnsi="Garamond" w:cs="Times New Roman"/>
          <w:b/>
          <w:i/>
          <w:szCs w:val="24"/>
        </w:rPr>
      </w:pPr>
    </w:p>
    <w:p w:rsidR="00F04316" w:rsidRDefault="00472B3A" w:rsidP="00F04316">
      <w:pPr>
        <w:spacing w:after="0" w:line="360" w:lineRule="auto"/>
        <w:jc w:val="both"/>
        <w:rPr>
          <w:rFonts w:ascii="Garamond" w:hAnsi="Garamond" w:cs="Times New Roman"/>
          <w:sz w:val="24"/>
          <w:szCs w:val="24"/>
        </w:rPr>
      </w:pPr>
      <w:r w:rsidRPr="00A2536E">
        <w:rPr>
          <w:rFonts w:ascii="Garamond" w:hAnsi="Garamond" w:cs="Times New Roman"/>
          <w:i/>
          <w:sz w:val="24"/>
          <w:szCs w:val="24"/>
        </w:rPr>
        <w:t>Chocolate Chaga</w:t>
      </w:r>
      <w:r>
        <w:rPr>
          <w:rFonts w:ascii="Garamond" w:hAnsi="Garamond" w:cs="Times New Roman"/>
          <w:sz w:val="24"/>
          <w:szCs w:val="24"/>
        </w:rPr>
        <w:t xml:space="preserve"> simply communicates the most important part of the trafficking process to children and parents. This is the initial act of deception, an act which in its various incarnations I describe as the trafficking meme. This is where much of the moral weight for anti-trafficking is derived; trafficking is to be taken, moved, put to labour </w:t>
      </w:r>
      <w:r w:rsidRPr="00A2536E">
        <w:rPr>
          <w:rFonts w:ascii="Garamond" w:hAnsi="Garamond" w:cs="Times New Roman"/>
          <w:i/>
          <w:sz w:val="24"/>
          <w:szCs w:val="24"/>
        </w:rPr>
        <w:t>against the will</w:t>
      </w:r>
      <w:r>
        <w:rPr>
          <w:rFonts w:ascii="Garamond" w:hAnsi="Garamond" w:cs="Times New Roman"/>
          <w:sz w:val="24"/>
          <w:szCs w:val="24"/>
        </w:rPr>
        <w:t xml:space="preserve"> of the victim. In </w:t>
      </w:r>
      <w:r w:rsidRPr="00680DA5">
        <w:rPr>
          <w:rFonts w:ascii="Garamond" w:hAnsi="Garamond" w:cs="Times New Roman"/>
          <w:i/>
          <w:sz w:val="24"/>
          <w:szCs w:val="24"/>
        </w:rPr>
        <w:t>Chocolate Chaga</w:t>
      </w:r>
      <w:r>
        <w:rPr>
          <w:rFonts w:ascii="Garamond" w:hAnsi="Garamond" w:cs="Times New Roman"/>
          <w:sz w:val="24"/>
          <w:szCs w:val="24"/>
        </w:rPr>
        <w:t xml:space="preserve"> this moment of swindling comes across in recognisably Dickensian terms:</w:t>
      </w:r>
      <w:r>
        <w:rPr>
          <w:rStyle w:val="FootnoteReference"/>
          <w:rFonts w:ascii="Garamond" w:hAnsi="Garamond"/>
          <w:sz w:val="24"/>
          <w:szCs w:val="24"/>
        </w:rPr>
        <w:footnoteReference w:id="120"/>
      </w:r>
      <w:r>
        <w:rPr>
          <w:rFonts w:ascii="Garamond" w:hAnsi="Garamond" w:cs="Times New Roman"/>
          <w:sz w:val="24"/>
          <w:szCs w:val="24"/>
        </w:rPr>
        <w:t xml:space="preserve"> </w:t>
      </w:r>
    </w:p>
    <w:p w:rsidR="00472B3A" w:rsidRDefault="00472B3A" w:rsidP="00F04316">
      <w:pPr>
        <w:spacing w:after="0" w:line="360" w:lineRule="auto"/>
        <w:jc w:val="both"/>
        <w:rPr>
          <w:rFonts w:ascii="Garamond" w:hAnsi="Garamond" w:cs="Times New Roman"/>
          <w:sz w:val="24"/>
          <w:szCs w:val="24"/>
        </w:rPr>
      </w:pPr>
      <w:r>
        <w:rPr>
          <w:rFonts w:ascii="Garamond" w:hAnsi="Garamond" w:cs="Times New Roman"/>
          <w:sz w:val="24"/>
          <w:szCs w:val="24"/>
        </w:rPr>
        <w:t xml:space="preserve"> </w:t>
      </w:r>
    </w:p>
    <w:p w:rsidR="00472B3A" w:rsidRDefault="00472B3A" w:rsidP="00F04316">
      <w:pPr>
        <w:autoSpaceDE w:val="0"/>
        <w:autoSpaceDN w:val="0"/>
        <w:adjustRightInd w:val="0"/>
        <w:spacing w:line="360" w:lineRule="auto"/>
        <w:ind w:left="284" w:right="284"/>
        <w:jc w:val="both"/>
        <w:rPr>
          <w:rFonts w:ascii="Garamond" w:hAnsi="Garamond" w:cs="TrebuchetMS"/>
        </w:rPr>
      </w:pPr>
      <w:r w:rsidRPr="00A2536E">
        <w:rPr>
          <w:rFonts w:ascii="Garamond" w:hAnsi="Garamond" w:cs="TrebuchetMS"/>
        </w:rPr>
        <w:t>A man pedalled by on a brand new bicycle. Chaga wished he was that man and not a poor boy with six poor brothers and sisters. And a poor mum and a poor dad. And two poor dusty feet.</w:t>
      </w:r>
    </w:p>
    <w:p w:rsidR="00472B3A" w:rsidRPr="00A2536E" w:rsidRDefault="00472B3A" w:rsidP="00F04316">
      <w:pPr>
        <w:autoSpaceDE w:val="0"/>
        <w:autoSpaceDN w:val="0"/>
        <w:adjustRightInd w:val="0"/>
        <w:spacing w:line="360" w:lineRule="auto"/>
        <w:ind w:left="284" w:right="284"/>
        <w:jc w:val="both"/>
        <w:rPr>
          <w:rFonts w:ascii="Garamond" w:hAnsi="Garamond" w:cs="TrebuchetMS"/>
        </w:rPr>
      </w:pPr>
      <w:r w:rsidRPr="00A2536E">
        <w:rPr>
          <w:rFonts w:ascii="Garamond" w:hAnsi="Garamond" w:cs="TrebuchetMS"/>
        </w:rPr>
        <w:t>Suddenly, the man stopped. He climbed off his bicycle and he looked back at Chaga.</w:t>
      </w:r>
      <w:r>
        <w:rPr>
          <w:rFonts w:ascii="Garamond" w:hAnsi="Garamond" w:cs="TrebuchetMS"/>
        </w:rPr>
        <w:t xml:space="preserve"> ‘</w:t>
      </w:r>
      <w:r w:rsidRPr="00A2536E">
        <w:rPr>
          <w:rFonts w:ascii="Garamond" w:hAnsi="Garamond" w:cs="TrebuchetMS"/>
        </w:rPr>
        <w:t xml:space="preserve">You, boy!’ he called. </w:t>
      </w:r>
      <w:r>
        <w:rPr>
          <w:rFonts w:ascii="Garamond" w:hAnsi="Garamond" w:cs="TrebuchetMS"/>
        </w:rPr>
        <w:t>‘</w:t>
      </w:r>
      <w:r w:rsidRPr="00A2536E">
        <w:rPr>
          <w:rFonts w:ascii="Garamond" w:hAnsi="Garamond" w:cs="TrebuchetMS"/>
        </w:rPr>
        <w:t xml:space="preserve">What do you think of my bicycle?’ </w:t>
      </w:r>
      <w:r>
        <w:rPr>
          <w:rFonts w:ascii="Garamond" w:hAnsi="Garamond" w:cs="TrebuchetMS"/>
        </w:rPr>
        <w:t>‘</w:t>
      </w:r>
      <w:r w:rsidRPr="00A2536E">
        <w:rPr>
          <w:rFonts w:ascii="Garamond" w:hAnsi="Garamond" w:cs="TrebuchetMS"/>
        </w:rPr>
        <w:t xml:space="preserve">How strange,’ thought Chaga. </w:t>
      </w:r>
      <w:r>
        <w:rPr>
          <w:rFonts w:ascii="Garamond" w:hAnsi="Garamond" w:cs="TrebuchetMS"/>
        </w:rPr>
        <w:t>‘</w:t>
      </w:r>
      <w:r w:rsidRPr="00A2536E">
        <w:rPr>
          <w:rFonts w:ascii="Garamond" w:hAnsi="Garamond" w:cs="TrebuchetMS"/>
        </w:rPr>
        <w:t xml:space="preserve">Is this man a magician? Can he read my mind?’ And he was so surprised that he blurted out, </w:t>
      </w:r>
      <w:r>
        <w:rPr>
          <w:rFonts w:ascii="Garamond" w:hAnsi="Garamond" w:cs="TrebuchetMS"/>
        </w:rPr>
        <w:t>‘</w:t>
      </w:r>
      <w:r w:rsidRPr="00A2536E">
        <w:rPr>
          <w:rFonts w:ascii="Garamond" w:hAnsi="Garamond" w:cs="TrebuchetMS"/>
        </w:rPr>
        <w:t>I like it. I like it very much!’</w:t>
      </w:r>
      <w:r>
        <w:rPr>
          <w:rFonts w:ascii="Garamond" w:hAnsi="Garamond" w:cs="TrebuchetMS"/>
        </w:rPr>
        <w:t>.</w:t>
      </w:r>
    </w:p>
    <w:p w:rsidR="00472B3A" w:rsidRDefault="00472B3A" w:rsidP="00F04316">
      <w:pPr>
        <w:autoSpaceDE w:val="0"/>
        <w:autoSpaceDN w:val="0"/>
        <w:adjustRightInd w:val="0"/>
        <w:spacing w:line="360" w:lineRule="auto"/>
        <w:ind w:left="284" w:right="284"/>
        <w:jc w:val="both"/>
        <w:rPr>
          <w:rFonts w:ascii="Garamond" w:hAnsi="Garamond" w:cs="TrebuchetMS"/>
        </w:rPr>
      </w:pPr>
      <w:r>
        <w:rPr>
          <w:rFonts w:ascii="Garamond" w:hAnsi="Garamond" w:cs="TrebuchetMS"/>
        </w:rPr>
        <w:t>‘</w:t>
      </w:r>
      <w:r w:rsidRPr="00A2536E">
        <w:rPr>
          <w:rFonts w:ascii="Garamond" w:hAnsi="Garamond" w:cs="TrebuchetMS"/>
        </w:rPr>
        <w:t>Would you like a bicycle of your own?’ the man asked.</w:t>
      </w:r>
    </w:p>
    <w:p w:rsidR="00472B3A" w:rsidRDefault="00472B3A" w:rsidP="00F04316">
      <w:pPr>
        <w:autoSpaceDE w:val="0"/>
        <w:autoSpaceDN w:val="0"/>
        <w:adjustRightInd w:val="0"/>
        <w:spacing w:line="360" w:lineRule="auto"/>
        <w:ind w:left="284" w:right="284"/>
        <w:jc w:val="both"/>
        <w:rPr>
          <w:rFonts w:ascii="Garamond" w:hAnsi="Garamond" w:cs="TrebuchetMS"/>
        </w:rPr>
      </w:pPr>
      <w:r w:rsidRPr="00A2536E">
        <w:rPr>
          <w:rFonts w:ascii="Garamond" w:hAnsi="Garamond" w:cs="TrebuchetMS"/>
        </w:rPr>
        <w:t xml:space="preserve">And Chaga nodded his head. </w:t>
      </w:r>
      <w:r>
        <w:rPr>
          <w:rFonts w:ascii="Garamond" w:hAnsi="Garamond" w:cs="TrebuchetMS"/>
        </w:rPr>
        <w:t>‘</w:t>
      </w:r>
      <w:r w:rsidRPr="00A2536E">
        <w:rPr>
          <w:rFonts w:ascii="Garamond" w:hAnsi="Garamond" w:cs="TrebuchetMS"/>
        </w:rPr>
        <w:t xml:space="preserve">Yes sir,’ he said. </w:t>
      </w:r>
      <w:r>
        <w:rPr>
          <w:rFonts w:ascii="Garamond" w:hAnsi="Garamond" w:cs="TrebuchetMS"/>
        </w:rPr>
        <w:t>‘</w:t>
      </w:r>
      <w:r w:rsidRPr="00A2536E">
        <w:rPr>
          <w:rFonts w:ascii="Garamond" w:hAnsi="Garamond" w:cs="TrebuchetMS"/>
        </w:rPr>
        <w:t>Yes, I would!’ But that was a dream, surely. A dream that would never come true for a poor ten year old from a tiny village in Mali.</w:t>
      </w:r>
    </w:p>
    <w:p w:rsidR="00472B3A" w:rsidRPr="00A2536E" w:rsidRDefault="00472B3A" w:rsidP="00D921C8">
      <w:pPr>
        <w:autoSpaceDE w:val="0"/>
        <w:autoSpaceDN w:val="0"/>
        <w:adjustRightInd w:val="0"/>
        <w:spacing w:after="0" w:line="360" w:lineRule="auto"/>
        <w:ind w:left="284" w:right="284"/>
        <w:jc w:val="both"/>
        <w:rPr>
          <w:rFonts w:ascii="Garamond" w:hAnsi="Garamond" w:cs="TrebuchetMS"/>
        </w:rPr>
      </w:pPr>
      <w:r>
        <w:rPr>
          <w:rFonts w:ascii="Garamond" w:hAnsi="Garamond" w:cs="TrebuchetMS"/>
        </w:rPr>
        <w:t>‘</w:t>
      </w:r>
      <w:r w:rsidRPr="00A2536E">
        <w:rPr>
          <w:rFonts w:ascii="Garamond" w:hAnsi="Garamond" w:cs="TrebuchetMS"/>
        </w:rPr>
        <w:t xml:space="preserve">Take me to your parents,’ said the man. And his smile was as bright as the sun. </w:t>
      </w:r>
      <w:r>
        <w:rPr>
          <w:rFonts w:ascii="Garamond" w:hAnsi="Garamond" w:cs="TrebuchetMS"/>
        </w:rPr>
        <w:t>‘</w:t>
      </w:r>
      <w:r w:rsidRPr="00A2536E">
        <w:rPr>
          <w:rFonts w:ascii="Garamond" w:hAnsi="Garamond" w:cs="TrebuchetMS"/>
        </w:rPr>
        <w:t>I come from a place far away where boys like you earn more than enough to take care of their families and buy themselves bicycles, too!’</w:t>
      </w:r>
      <w:r>
        <w:rPr>
          <w:rFonts w:ascii="Garamond" w:hAnsi="Garamond" w:cs="TrebuchetMS"/>
        </w:rPr>
        <w:t>....</w:t>
      </w:r>
      <w:r w:rsidR="00F04316">
        <w:rPr>
          <w:rFonts w:ascii="Garamond" w:hAnsi="Garamond" w:cs="TrebuchetMS"/>
        </w:rPr>
        <w:t xml:space="preserve"> </w:t>
      </w:r>
      <w:r>
        <w:rPr>
          <w:rFonts w:ascii="Garamond" w:hAnsi="Garamond" w:cs="TrebuchetMS"/>
        </w:rPr>
        <w:t>(</w:t>
      </w:r>
      <w:r w:rsidR="003E1963">
        <w:rPr>
          <w:rFonts w:ascii="Garamond" w:hAnsi="Garamond" w:cs="TrebuchetMS"/>
        </w:rPr>
        <w:t>Hartman</w:t>
      </w:r>
      <w:r>
        <w:rPr>
          <w:rFonts w:ascii="Garamond" w:hAnsi="Garamond" w:cs="TrebuchetMS"/>
        </w:rPr>
        <w:t>, 2006: 3)</w:t>
      </w:r>
    </w:p>
    <w:p w:rsidR="00472B3A" w:rsidRDefault="00472B3A" w:rsidP="00D921C8">
      <w:pPr>
        <w:spacing w:after="0" w:line="360" w:lineRule="auto"/>
        <w:jc w:val="both"/>
        <w:rPr>
          <w:rFonts w:ascii="Garamond" w:hAnsi="Garamond" w:cs="Times New Roman"/>
          <w:sz w:val="24"/>
          <w:szCs w:val="24"/>
        </w:rPr>
      </w:pPr>
    </w:p>
    <w:p w:rsidR="00472B3A" w:rsidRDefault="00472B3A" w:rsidP="00D921C8">
      <w:pPr>
        <w:spacing w:after="0" w:line="360" w:lineRule="auto"/>
        <w:jc w:val="both"/>
        <w:rPr>
          <w:rFonts w:ascii="Garamond" w:hAnsi="Garamond"/>
          <w:sz w:val="24"/>
          <w:szCs w:val="24"/>
        </w:rPr>
      </w:pPr>
      <w:r>
        <w:rPr>
          <w:rFonts w:ascii="Garamond" w:hAnsi="Garamond" w:cs="Times New Roman"/>
          <w:sz w:val="24"/>
          <w:szCs w:val="24"/>
        </w:rPr>
        <w:t xml:space="preserve">The man with the bicycle persuades Chaga’s parents that he will live a happier and more profitable life working in a ‘chocolate factory’ in the </w:t>
      </w:r>
      <w:r w:rsidRPr="001757AC">
        <w:rPr>
          <w:rFonts w:ascii="Garamond" w:hAnsi="Garamond" w:cs="HelveticaNeueLTStd-Lt"/>
          <w:sz w:val="24"/>
          <w:szCs w:val="24"/>
        </w:rPr>
        <w:t>Côte</w:t>
      </w:r>
      <w:r w:rsidRPr="001757AC">
        <w:rPr>
          <w:rFonts w:ascii="Garamond" w:hAnsi="Garamond" w:cs="Times New Roman"/>
          <w:sz w:val="24"/>
          <w:szCs w:val="24"/>
        </w:rPr>
        <w:t xml:space="preserve"> </w:t>
      </w:r>
      <w:r>
        <w:rPr>
          <w:rFonts w:ascii="Garamond" w:hAnsi="Garamond" w:cs="Times New Roman"/>
          <w:sz w:val="24"/>
          <w:szCs w:val="24"/>
        </w:rPr>
        <w:t xml:space="preserve">D'Ivoire. Chaga’s family are blameless in this narrative, whereas in cocoa trafficking </w:t>
      </w:r>
      <w:r w:rsidRPr="00680DA5">
        <w:rPr>
          <w:rFonts w:ascii="Garamond" w:hAnsi="Garamond" w:cs="Arial"/>
          <w:sz w:val="24"/>
          <w:szCs w:val="24"/>
          <w:shd w:val="clear" w:color="auto" w:fill="FFFFFF"/>
        </w:rPr>
        <w:t>exposé</w:t>
      </w:r>
      <w:r>
        <w:rPr>
          <w:rFonts w:ascii="Garamond" w:hAnsi="Garamond" w:cs="Arial"/>
          <w:sz w:val="24"/>
          <w:szCs w:val="24"/>
          <w:shd w:val="clear" w:color="auto" w:fill="FFFFFF"/>
        </w:rPr>
        <w:t>s</w:t>
      </w:r>
      <w:r>
        <w:rPr>
          <w:rFonts w:ascii="Garamond" w:hAnsi="Garamond" w:cs="Times New Roman"/>
          <w:sz w:val="24"/>
          <w:szCs w:val="24"/>
        </w:rPr>
        <w:t xml:space="preserve"> for adult audiences it is often family members who conduct the initial process of trickery (as noted above, in the BBC documentary, </w:t>
      </w:r>
      <w:r w:rsidRPr="005D086E">
        <w:rPr>
          <w:rFonts w:ascii="Garamond" w:hAnsi="Garamond"/>
          <w:i/>
          <w:sz w:val="24"/>
          <w:szCs w:val="24"/>
        </w:rPr>
        <w:t>Chocolate</w:t>
      </w:r>
      <w:r w:rsidR="00682343">
        <w:rPr>
          <w:rFonts w:ascii="Garamond" w:hAnsi="Garamond"/>
          <w:i/>
          <w:sz w:val="24"/>
          <w:szCs w:val="24"/>
        </w:rPr>
        <w:t xml:space="preserve"> – </w:t>
      </w:r>
      <w:r w:rsidRPr="005D086E">
        <w:rPr>
          <w:rFonts w:ascii="Garamond" w:hAnsi="Garamond"/>
          <w:i/>
          <w:sz w:val="24"/>
          <w:szCs w:val="24"/>
        </w:rPr>
        <w:t>The Bitter Truth</w:t>
      </w:r>
      <w:r>
        <w:rPr>
          <w:rFonts w:ascii="Garamond" w:hAnsi="Garamond"/>
          <w:sz w:val="24"/>
          <w:szCs w:val="24"/>
        </w:rPr>
        <w:t>, the trafficking of Fatao is arranged by a ‘bad’ uncle</w:t>
      </w:r>
      <w:r w:rsidRPr="005D086E">
        <w:rPr>
          <w:rFonts w:ascii="Garamond" w:hAnsi="Garamond"/>
          <w:sz w:val="24"/>
          <w:szCs w:val="24"/>
        </w:rPr>
        <w:t>)</w:t>
      </w:r>
      <w:r>
        <w:rPr>
          <w:rFonts w:ascii="Garamond" w:hAnsi="Garamond"/>
          <w:sz w:val="24"/>
          <w:szCs w:val="24"/>
        </w:rPr>
        <w:t xml:space="preserve">. The contemporary act of swindling communicated in both </w:t>
      </w:r>
      <w:r w:rsidRPr="00A06651">
        <w:rPr>
          <w:rFonts w:ascii="Garamond" w:hAnsi="Garamond"/>
          <w:i/>
          <w:sz w:val="24"/>
          <w:szCs w:val="24"/>
        </w:rPr>
        <w:t>Chocolate Chaga</w:t>
      </w:r>
      <w:r>
        <w:rPr>
          <w:rFonts w:ascii="Garamond" w:hAnsi="Garamond"/>
          <w:sz w:val="24"/>
          <w:szCs w:val="24"/>
        </w:rPr>
        <w:t xml:space="preserve"> (2006) and </w:t>
      </w:r>
      <w:r w:rsidR="00F04316">
        <w:rPr>
          <w:rFonts w:ascii="Garamond" w:hAnsi="Garamond"/>
          <w:i/>
          <w:sz w:val="24"/>
          <w:szCs w:val="24"/>
        </w:rPr>
        <w:t xml:space="preserve">Chocolate – </w:t>
      </w:r>
      <w:r>
        <w:rPr>
          <w:rFonts w:ascii="Garamond" w:hAnsi="Garamond"/>
          <w:i/>
          <w:sz w:val="24"/>
          <w:szCs w:val="24"/>
        </w:rPr>
        <w:t xml:space="preserve">The Bitter Truth </w:t>
      </w:r>
      <w:r>
        <w:rPr>
          <w:rFonts w:ascii="Garamond" w:hAnsi="Garamond"/>
          <w:sz w:val="24"/>
          <w:szCs w:val="24"/>
        </w:rPr>
        <w:t xml:space="preserve">(2010) has its antecedents in eighteenth and nineteenth century antislavery descriptions of trepanning. </w:t>
      </w:r>
      <w:r w:rsidRPr="00DF0E7B">
        <w:rPr>
          <w:rFonts w:ascii="Garamond" w:hAnsi="Garamond"/>
          <w:sz w:val="24"/>
          <w:szCs w:val="24"/>
        </w:rPr>
        <w:t xml:space="preserve">Trepanning derives </w:t>
      </w:r>
      <w:r w:rsidRPr="00DF0E7B">
        <w:rPr>
          <w:rFonts w:ascii="Garamond" w:hAnsi="Garamond"/>
          <w:sz w:val="24"/>
          <w:szCs w:val="24"/>
        </w:rPr>
        <w:lastRenderedPageBreak/>
        <w:t>from trepan</w:t>
      </w:r>
      <w:r>
        <w:rPr>
          <w:rFonts w:ascii="Garamond" w:hAnsi="Garamond"/>
          <w:sz w:val="24"/>
          <w:szCs w:val="24"/>
        </w:rPr>
        <w:t>,</w:t>
      </w:r>
      <w:r w:rsidRPr="00DF0E7B">
        <w:rPr>
          <w:rFonts w:ascii="Garamond" w:hAnsi="Garamond"/>
          <w:sz w:val="24"/>
          <w:szCs w:val="24"/>
        </w:rPr>
        <w:t xml:space="preserve"> an archaic verb</w:t>
      </w:r>
      <w:r>
        <w:rPr>
          <w:rFonts w:ascii="Garamond" w:hAnsi="Garamond"/>
          <w:sz w:val="24"/>
          <w:szCs w:val="24"/>
        </w:rPr>
        <w:t xml:space="preserve"> meaning</w:t>
      </w:r>
      <w:r w:rsidRPr="00DF0E7B">
        <w:rPr>
          <w:rFonts w:ascii="Garamond" w:hAnsi="Garamond"/>
          <w:sz w:val="24"/>
          <w:szCs w:val="24"/>
        </w:rPr>
        <w:t> to entice, ensnare, swindle or trap. Trepan can also be used as a noun to describe</w:t>
      </w:r>
      <w:r>
        <w:rPr>
          <w:rFonts w:ascii="Garamond" w:hAnsi="Garamond"/>
          <w:sz w:val="24"/>
          <w:szCs w:val="24"/>
        </w:rPr>
        <w:t xml:space="preserve"> a trickster or a swindler (Collins English Dictionary, </w:t>
      </w:r>
      <w:r w:rsidRPr="00DF0E7B">
        <w:rPr>
          <w:rFonts w:ascii="Garamond" w:hAnsi="Garamond"/>
          <w:sz w:val="24"/>
          <w:szCs w:val="24"/>
        </w:rPr>
        <w:t xml:space="preserve">2003). Trepanning means to metaphorically get inside somebody’s head. </w:t>
      </w:r>
      <w:r w:rsidRPr="00DF0E7B">
        <w:rPr>
          <w:rStyle w:val="Emphasis"/>
          <w:rFonts w:ascii="Garamond" w:hAnsi="Garamond"/>
          <w:sz w:val="24"/>
          <w:szCs w:val="24"/>
          <w:bdr w:val="none" w:sz="0" w:space="0" w:color="auto" w:frame="1"/>
        </w:rPr>
        <w:t>The Memoirs of Granville Sharp</w:t>
      </w:r>
      <w:r w:rsidRPr="00DF0E7B">
        <w:rPr>
          <w:rStyle w:val="apple-converted-space"/>
          <w:rFonts w:ascii="Garamond" w:hAnsi="Garamond"/>
          <w:sz w:val="24"/>
          <w:szCs w:val="24"/>
        </w:rPr>
        <w:t> </w:t>
      </w:r>
      <w:r w:rsidRPr="00DF0E7B">
        <w:rPr>
          <w:rFonts w:ascii="Garamond" w:hAnsi="Garamond"/>
          <w:sz w:val="24"/>
          <w:szCs w:val="24"/>
        </w:rPr>
        <w:t>(1820: 7) refer to Africans being trepanned by their masters into boarding a slave ship for Barbados at the London dockyards:</w:t>
      </w:r>
    </w:p>
    <w:p w:rsidR="00472B3A" w:rsidRPr="00DF0E7B" w:rsidRDefault="00472B3A" w:rsidP="00472B3A">
      <w:pPr>
        <w:spacing w:line="360" w:lineRule="auto"/>
        <w:jc w:val="both"/>
        <w:rPr>
          <w:rFonts w:ascii="Garamond" w:hAnsi="Garamond"/>
          <w:sz w:val="24"/>
          <w:szCs w:val="24"/>
        </w:rPr>
      </w:pPr>
    </w:p>
    <w:p w:rsidR="00472B3A" w:rsidRDefault="00472B3A" w:rsidP="00472B3A">
      <w:pPr>
        <w:spacing w:line="360" w:lineRule="auto"/>
        <w:jc w:val="center"/>
        <w:rPr>
          <w:rFonts w:ascii="Garamond" w:hAnsi="Garamond" w:cs="Times New Roman"/>
          <w:sz w:val="24"/>
          <w:szCs w:val="24"/>
        </w:rPr>
      </w:pPr>
      <w:r>
        <w:rPr>
          <w:rFonts w:ascii="Garamond" w:hAnsi="Garamond" w:cs="Times New Roman"/>
          <w:noProof/>
          <w:sz w:val="24"/>
          <w:szCs w:val="24"/>
          <w:lang w:eastAsia="en-GB"/>
        </w:rPr>
        <w:drawing>
          <wp:inline distT="0" distB="0" distL="0" distR="0">
            <wp:extent cx="3556000" cy="1274939"/>
            <wp:effectExtent l="76200" t="25400" r="101600" b="71261"/>
            <wp:docPr id="40" name="Picture 89" descr="C:\Users\hugh crosfield\Desktop\Trepan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hugh crosfield\Desktop\Trepanning.jpg"/>
                    <pic:cNvPicPr>
                      <a:picLocks noChangeAspect="1" noChangeArrowheads="1"/>
                    </pic:cNvPicPr>
                  </pic:nvPicPr>
                  <pic:blipFill>
                    <a:blip r:embed="rId80" cstate="print"/>
                    <a:srcRect/>
                    <a:stretch>
                      <a:fillRect/>
                    </a:stretch>
                  </pic:blipFill>
                  <pic:spPr bwMode="auto">
                    <a:xfrm>
                      <a:off x="0" y="0"/>
                      <a:ext cx="3558354" cy="127578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4CFD" w:rsidRDefault="00F04316" w:rsidP="00D921C8">
      <w:pPr>
        <w:pStyle w:val="Caption"/>
        <w:ind w:left="1276" w:right="1354"/>
        <w:rPr>
          <w:rFonts w:ascii="Perpetua" w:hAnsi="Perpetua"/>
          <w:b w:val="0"/>
          <w:color w:val="auto"/>
          <w:sz w:val="20"/>
          <w:shd w:val="clear" w:color="auto" w:fill="FFFFFF"/>
        </w:rPr>
      </w:pPr>
      <w:bookmarkStart w:id="555" w:name="_Toc263509044"/>
      <w:bookmarkStart w:id="556" w:name="_Toc263510831"/>
      <w:bookmarkStart w:id="557" w:name="_Toc244508247"/>
      <w:bookmarkStart w:id="558" w:name="_Toc244577309"/>
      <w:bookmarkStart w:id="559" w:name="_Toc263495778"/>
      <w:r w:rsidRPr="00504CFD">
        <w:rPr>
          <w:rFonts w:ascii="Perpetua" w:hAnsi="Perpetua"/>
          <w:b w:val="0"/>
          <w:color w:val="auto"/>
          <w:sz w:val="20"/>
        </w:rPr>
        <w:t xml:space="preserve">Figure </w:t>
      </w:r>
      <w:r w:rsidR="00DF2DF8" w:rsidRPr="00504CFD">
        <w:rPr>
          <w:rFonts w:ascii="Perpetua" w:hAnsi="Perpetua"/>
          <w:b w:val="0"/>
          <w:color w:val="auto"/>
          <w:sz w:val="20"/>
        </w:rPr>
        <w:fldChar w:fldCharType="begin"/>
      </w:r>
      <w:r w:rsidRPr="00504CFD">
        <w:rPr>
          <w:rFonts w:ascii="Perpetua" w:hAnsi="Perpetua"/>
          <w:b w:val="0"/>
          <w:color w:val="auto"/>
          <w:sz w:val="20"/>
        </w:rPr>
        <w:instrText xml:space="preserve"> SEQ Figure \* ARABIC </w:instrText>
      </w:r>
      <w:r w:rsidR="00DF2DF8" w:rsidRPr="00504CFD">
        <w:rPr>
          <w:rFonts w:ascii="Perpetua" w:hAnsi="Perpetua"/>
          <w:b w:val="0"/>
          <w:color w:val="auto"/>
          <w:sz w:val="20"/>
        </w:rPr>
        <w:fldChar w:fldCharType="separate"/>
      </w:r>
      <w:r w:rsidR="002B3E92">
        <w:rPr>
          <w:rFonts w:ascii="Perpetua" w:hAnsi="Perpetua"/>
          <w:b w:val="0"/>
          <w:noProof/>
          <w:color w:val="auto"/>
          <w:sz w:val="20"/>
        </w:rPr>
        <w:t>47</w:t>
      </w:r>
      <w:r w:rsidR="00DF2DF8" w:rsidRPr="00504CFD">
        <w:rPr>
          <w:rFonts w:ascii="Perpetua" w:hAnsi="Perpetua"/>
          <w:b w:val="0"/>
          <w:color w:val="auto"/>
          <w:sz w:val="20"/>
        </w:rPr>
        <w:fldChar w:fldCharType="end"/>
      </w:r>
      <w:r w:rsidR="005E787F" w:rsidRPr="00504CFD">
        <w:rPr>
          <w:rFonts w:ascii="Perpetua" w:hAnsi="Perpetua"/>
          <w:b w:val="0"/>
          <w:color w:val="auto"/>
          <w:sz w:val="20"/>
        </w:rPr>
        <w:t>:</w:t>
      </w:r>
      <w:r w:rsidR="005E787F">
        <w:rPr>
          <w:rFonts w:ascii="Perpetua" w:hAnsi="Perpetua"/>
          <w:b w:val="0"/>
          <w:color w:val="auto"/>
          <w:sz w:val="20"/>
        </w:rPr>
        <w:t xml:space="preserve"> </w:t>
      </w:r>
      <w:r w:rsidR="00504CFD">
        <w:rPr>
          <w:rFonts w:ascii="Perpetua" w:hAnsi="Perpetua" w:cs="Times New Roman"/>
          <w:b w:val="0"/>
          <w:color w:val="auto"/>
          <w:sz w:val="20"/>
        </w:rPr>
        <w:t>Image of e</w:t>
      </w:r>
      <w:r w:rsidR="00472B3A" w:rsidRPr="00D921C8">
        <w:rPr>
          <w:rFonts w:ascii="Perpetua" w:hAnsi="Perpetua" w:cs="Times New Roman"/>
          <w:b w:val="0"/>
          <w:color w:val="auto"/>
          <w:sz w:val="20"/>
        </w:rPr>
        <w:t xml:space="preserve">xtract from </w:t>
      </w:r>
      <w:r w:rsidR="00472B3A" w:rsidRPr="00D921C8">
        <w:rPr>
          <w:rStyle w:val="Emphasis"/>
          <w:rFonts w:ascii="Perpetua" w:hAnsi="Perpetua"/>
          <w:b w:val="0"/>
          <w:color w:val="auto"/>
          <w:sz w:val="20"/>
          <w:bdr w:val="none" w:sz="0" w:space="0" w:color="auto" w:frame="1"/>
          <w:shd w:val="clear" w:color="auto" w:fill="FFFFFF"/>
        </w:rPr>
        <w:t>The Memoirs of Granville Sharp</w:t>
      </w:r>
      <w:r w:rsidR="00472B3A" w:rsidRPr="00D921C8">
        <w:rPr>
          <w:rStyle w:val="apple-converted-space"/>
          <w:rFonts w:ascii="Perpetua" w:hAnsi="Perpetua"/>
          <w:b w:val="0"/>
          <w:color w:val="auto"/>
          <w:sz w:val="20"/>
          <w:shd w:val="clear" w:color="auto" w:fill="FFFFFF"/>
        </w:rPr>
        <w:t> </w:t>
      </w:r>
      <w:r w:rsidR="00504CFD">
        <w:rPr>
          <w:rFonts w:ascii="Perpetua" w:hAnsi="Perpetua"/>
          <w:b w:val="0"/>
          <w:color w:val="auto"/>
          <w:sz w:val="20"/>
          <w:shd w:val="clear" w:color="auto" w:fill="FFFFFF"/>
        </w:rPr>
        <w:t>(1820: 7).</w:t>
      </w:r>
      <w:bookmarkEnd w:id="555"/>
      <w:bookmarkEnd w:id="556"/>
    </w:p>
    <w:p w:rsidR="00472B3A" w:rsidRPr="003E091C" w:rsidRDefault="00504CFD" w:rsidP="003E091C">
      <w:pPr>
        <w:ind w:left="1276" w:right="1637"/>
        <w:rPr>
          <w:rFonts w:ascii="Perpetua" w:hAnsi="Perpetua"/>
          <w:sz w:val="20"/>
        </w:rPr>
      </w:pPr>
      <w:r w:rsidRPr="003E091C">
        <w:rPr>
          <w:rFonts w:ascii="Perpetua" w:hAnsi="Perpetua"/>
          <w:sz w:val="20"/>
        </w:rPr>
        <w:t xml:space="preserve">Here, </w:t>
      </w:r>
      <w:r w:rsidR="00472B3A" w:rsidRPr="003E091C">
        <w:rPr>
          <w:rFonts w:ascii="Perpetua" w:hAnsi="Perpetua"/>
          <w:sz w:val="20"/>
        </w:rPr>
        <w:t>the abolitionist campaigner records an act of trepanning into chattel slavery conducted on a ship at Gravesend</w:t>
      </w:r>
      <w:r w:rsidR="005E787F" w:rsidRPr="003E091C">
        <w:rPr>
          <w:rFonts w:ascii="Perpetua" w:hAnsi="Perpetua"/>
          <w:sz w:val="20"/>
        </w:rPr>
        <w:t>.</w:t>
      </w:r>
      <w:bookmarkEnd w:id="557"/>
      <w:bookmarkEnd w:id="558"/>
      <w:bookmarkEnd w:id="559"/>
      <w:r w:rsidR="005E787F" w:rsidRPr="003E091C">
        <w:rPr>
          <w:rFonts w:ascii="Perpetua" w:hAnsi="Perpetua"/>
          <w:sz w:val="20"/>
        </w:rPr>
        <w:t xml:space="preserve"> </w:t>
      </w:r>
      <w:r w:rsidRPr="003E091C">
        <w:rPr>
          <w:rFonts w:ascii="Perpetua" w:hAnsi="Perpetua"/>
          <w:sz w:val="20"/>
        </w:rPr>
        <w:t>Image sourced from:</w:t>
      </w:r>
      <w:r w:rsidR="005E787F" w:rsidRPr="003E091C">
        <w:rPr>
          <w:rFonts w:ascii="Perpetua" w:hAnsi="Perpetua"/>
          <w:sz w:val="20"/>
        </w:rPr>
        <w:t xml:space="preserve"> </w:t>
      </w:r>
      <w:r w:rsidR="00472B3A" w:rsidRPr="003E091C">
        <w:rPr>
          <w:rFonts w:ascii="Perpetua" w:hAnsi="Perpetua"/>
          <w:sz w:val="20"/>
        </w:rPr>
        <w:t xml:space="preserve">http://archive.org/details/memoirsof granvil00hoar. </w:t>
      </w:r>
      <w:r w:rsidR="005E787F" w:rsidRPr="003E091C">
        <w:rPr>
          <w:rFonts w:ascii="Perpetua" w:hAnsi="Perpetua"/>
          <w:sz w:val="20"/>
        </w:rPr>
        <w:t>(</w:t>
      </w:r>
      <w:r w:rsidR="00472B3A" w:rsidRPr="003E091C">
        <w:rPr>
          <w:rFonts w:ascii="Perpetua" w:hAnsi="Perpetua"/>
          <w:sz w:val="20"/>
        </w:rPr>
        <w:t>Accessed</w:t>
      </w:r>
      <w:r w:rsidR="005E787F" w:rsidRPr="003E091C">
        <w:rPr>
          <w:rFonts w:ascii="Perpetua" w:hAnsi="Perpetua"/>
          <w:sz w:val="20"/>
        </w:rPr>
        <w:t>: 21 June 2012).</w:t>
      </w:r>
    </w:p>
    <w:p w:rsidR="00472B3A" w:rsidRDefault="00472B3A" w:rsidP="00472B3A">
      <w:pPr>
        <w:spacing w:line="360" w:lineRule="auto"/>
        <w:jc w:val="both"/>
        <w:rPr>
          <w:rFonts w:ascii="Garamond" w:hAnsi="Garamond"/>
          <w:sz w:val="24"/>
          <w:szCs w:val="24"/>
          <w:shd w:val="clear" w:color="auto" w:fill="FFFFFF"/>
        </w:rPr>
      </w:pPr>
    </w:p>
    <w:p w:rsidR="00472B3A" w:rsidRPr="00DF0E7B" w:rsidRDefault="00472B3A" w:rsidP="004E7C68">
      <w:pPr>
        <w:spacing w:after="0" w:line="360" w:lineRule="auto"/>
        <w:jc w:val="both"/>
        <w:rPr>
          <w:rFonts w:ascii="Garamond" w:hAnsi="Garamond"/>
          <w:sz w:val="24"/>
          <w:szCs w:val="24"/>
          <w:shd w:val="clear" w:color="auto" w:fill="FFFFFF"/>
        </w:rPr>
      </w:pPr>
      <w:r>
        <w:rPr>
          <w:rFonts w:ascii="Garamond" w:hAnsi="Garamond"/>
          <w:sz w:val="24"/>
          <w:szCs w:val="24"/>
          <w:shd w:val="clear" w:color="auto" w:fill="FFFFFF"/>
        </w:rPr>
        <w:t>I</w:t>
      </w:r>
      <w:r w:rsidRPr="00DC36F0">
        <w:rPr>
          <w:rFonts w:ascii="Garamond" w:hAnsi="Garamond"/>
          <w:sz w:val="24"/>
          <w:szCs w:val="24"/>
          <w:shd w:val="clear" w:color="auto" w:fill="FFFFFF"/>
        </w:rPr>
        <w:t>n</w:t>
      </w:r>
      <w:r w:rsidRPr="00DC36F0">
        <w:rPr>
          <w:rStyle w:val="apple-converted-space"/>
          <w:rFonts w:ascii="Garamond" w:hAnsi="Garamond"/>
          <w:sz w:val="24"/>
          <w:szCs w:val="24"/>
          <w:shd w:val="clear" w:color="auto" w:fill="FFFFFF"/>
        </w:rPr>
        <w:t> </w:t>
      </w:r>
      <w:r w:rsidRPr="00DC36F0">
        <w:rPr>
          <w:rStyle w:val="Emphasis"/>
          <w:rFonts w:ascii="Garamond" w:hAnsi="Garamond"/>
          <w:sz w:val="24"/>
          <w:szCs w:val="24"/>
          <w:bdr w:val="none" w:sz="0" w:space="0" w:color="auto" w:frame="1"/>
          <w:shd w:val="clear" w:color="auto" w:fill="FFFFFF"/>
        </w:rPr>
        <w:t>Slave Ships</w:t>
      </w:r>
      <w:r>
        <w:rPr>
          <w:rStyle w:val="Emphasis"/>
          <w:rFonts w:ascii="Garamond" w:hAnsi="Garamond"/>
          <w:sz w:val="24"/>
          <w:szCs w:val="24"/>
          <w:bdr w:val="none" w:sz="0" w:space="0" w:color="auto" w:frame="1"/>
          <w:shd w:val="clear" w:color="auto" w:fill="FFFFFF"/>
        </w:rPr>
        <w:t xml:space="preserve"> Sailors</w:t>
      </w:r>
      <w:r w:rsidRPr="00DC36F0">
        <w:rPr>
          <w:rStyle w:val="Emphasis"/>
          <w:rFonts w:ascii="Garamond" w:hAnsi="Garamond"/>
          <w:sz w:val="24"/>
          <w:szCs w:val="24"/>
          <w:bdr w:val="none" w:sz="0" w:space="0" w:color="auto" w:frame="1"/>
          <w:shd w:val="clear" w:color="auto" w:fill="FFFFFF"/>
        </w:rPr>
        <w:t xml:space="preserve"> and </w:t>
      </w:r>
      <w:r>
        <w:rPr>
          <w:rStyle w:val="Emphasis"/>
          <w:rFonts w:ascii="Garamond" w:hAnsi="Garamond"/>
          <w:sz w:val="24"/>
          <w:szCs w:val="24"/>
          <w:bdr w:val="none" w:sz="0" w:space="0" w:color="auto" w:frame="1"/>
          <w:shd w:val="clear" w:color="auto" w:fill="FFFFFF"/>
        </w:rPr>
        <w:t xml:space="preserve">Their </w:t>
      </w:r>
      <w:r w:rsidRPr="00DC36F0">
        <w:rPr>
          <w:rStyle w:val="Emphasis"/>
          <w:rFonts w:ascii="Garamond" w:hAnsi="Garamond"/>
          <w:sz w:val="24"/>
          <w:szCs w:val="24"/>
          <w:bdr w:val="none" w:sz="0" w:space="0" w:color="auto" w:frame="1"/>
          <w:shd w:val="clear" w:color="auto" w:fill="FFFFFF"/>
        </w:rPr>
        <w:t xml:space="preserve">Captive </w:t>
      </w:r>
      <w:r w:rsidRPr="0044434E">
        <w:rPr>
          <w:rStyle w:val="Emphasis"/>
          <w:rFonts w:ascii="Garamond" w:hAnsi="Garamond"/>
          <w:sz w:val="24"/>
          <w:szCs w:val="24"/>
          <w:bdr w:val="none" w:sz="0" w:space="0" w:color="auto" w:frame="1"/>
          <w:shd w:val="clear" w:color="auto" w:fill="FFFFFF"/>
        </w:rPr>
        <w:t>Cargoes</w:t>
      </w:r>
      <w:r w:rsidRPr="0044434E">
        <w:rPr>
          <w:rFonts w:ascii="Garamond" w:hAnsi="Garamond"/>
          <w:sz w:val="24"/>
          <w:szCs w:val="24"/>
          <w:shd w:val="clear" w:color="auto" w:fill="FFFFFF"/>
        </w:rPr>
        <w:t>,</w:t>
      </w:r>
      <w:r w:rsidRPr="0044434E">
        <w:rPr>
          <w:rFonts w:ascii="Garamond" w:hAnsi="Garamond"/>
          <w:i/>
          <w:sz w:val="24"/>
          <w:szCs w:val="24"/>
          <w:shd w:val="clear" w:color="auto" w:fill="FFFFFF"/>
        </w:rPr>
        <w:t xml:space="preserve"> 1730-1807</w:t>
      </w:r>
      <w:r>
        <w:rPr>
          <w:rFonts w:ascii="Garamond" w:hAnsi="Garamond"/>
          <w:sz w:val="24"/>
          <w:szCs w:val="24"/>
          <w:shd w:val="clear" w:color="auto" w:fill="FFFFFF"/>
        </w:rPr>
        <w:t>, Emma Christopher (2006) shows that</w:t>
      </w:r>
      <w:r w:rsidRPr="00DC36F0">
        <w:rPr>
          <w:rFonts w:ascii="Garamond" w:hAnsi="Garamond"/>
          <w:sz w:val="24"/>
          <w:szCs w:val="24"/>
          <w:shd w:val="clear" w:color="auto" w:fill="FFFFFF"/>
        </w:rPr>
        <w:t xml:space="preserve"> trepan and trepanning </w:t>
      </w:r>
      <w:r>
        <w:rPr>
          <w:rFonts w:ascii="Garamond" w:hAnsi="Garamond"/>
          <w:sz w:val="24"/>
          <w:szCs w:val="24"/>
          <w:shd w:val="clear" w:color="auto" w:fill="FFFFFF"/>
        </w:rPr>
        <w:t>also described the process</w:t>
      </w:r>
      <w:r w:rsidRPr="00DC36F0">
        <w:rPr>
          <w:rFonts w:ascii="Garamond" w:hAnsi="Garamond"/>
          <w:sz w:val="24"/>
          <w:szCs w:val="24"/>
          <w:shd w:val="clear" w:color="auto" w:fill="FFFFFF"/>
        </w:rPr>
        <w:t xml:space="preserve"> </w:t>
      </w:r>
      <w:r>
        <w:rPr>
          <w:rFonts w:ascii="Garamond" w:hAnsi="Garamond"/>
          <w:sz w:val="24"/>
          <w:szCs w:val="24"/>
          <w:shd w:val="clear" w:color="auto" w:fill="FFFFFF"/>
        </w:rPr>
        <w:t>of tricking, pressing or crimping working class white sailors</w:t>
      </w:r>
      <w:r w:rsidRPr="00DC36F0">
        <w:rPr>
          <w:rFonts w:ascii="Garamond" w:hAnsi="Garamond"/>
          <w:sz w:val="24"/>
          <w:szCs w:val="24"/>
          <w:shd w:val="clear" w:color="auto" w:fill="FFFFFF"/>
        </w:rPr>
        <w:t xml:space="preserve"> aboard slave ships by the</w:t>
      </w:r>
      <w:r>
        <w:rPr>
          <w:rFonts w:ascii="Garamond" w:hAnsi="Garamond"/>
          <w:sz w:val="24"/>
          <w:szCs w:val="24"/>
          <w:shd w:val="clear" w:color="auto" w:fill="FFFFFF"/>
        </w:rPr>
        <w:t xml:space="preserve"> Royal Navy</w:t>
      </w:r>
      <w:r w:rsidRPr="00DC36F0">
        <w:rPr>
          <w:rFonts w:ascii="Garamond" w:hAnsi="Garamond"/>
          <w:sz w:val="24"/>
          <w:szCs w:val="24"/>
          <w:shd w:val="clear" w:color="auto" w:fill="FFFFFF"/>
        </w:rPr>
        <w:t xml:space="preserve">. </w:t>
      </w:r>
      <w:r w:rsidRPr="00DF0E7B">
        <w:rPr>
          <w:rFonts w:ascii="Garamond" w:hAnsi="Garamond"/>
          <w:sz w:val="24"/>
          <w:szCs w:val="24"/>
          <w:shd w:val="clear" w:color="auto" w:fill="FFFFFF"/>
        </w:rPr>
        <w:t>What both trepanning and trafficking refer to is an act of deception followed by an enfor</w:t>
      </w:r>
      <w:r>
        <w:rPr>
          <w:rFonts w:ascii="Garamond" w:hAnsi="Garamond"/>
          <w:sz w:val="24"/>
          <w:szCs w:val="24"/>
          <w:shd w:val="clear" w:color="auto" w:fill="FFFFFF"/>
        </w:rPr>
        <w:t>ced movement into slavery. B</w:t>
      </w:r>
      <w:r w:rsidRPr="00DF0E7B">
        <w:rPr>
          <w:rFonts w:ascii="Garamond" w:hAnsi="Garamond"/>
          <w:sz w:val="24"/>
          <w:szCs w:val="24"/>
          <w:shd w:val="clear" w:color="auto" w:fill="FFFFFF"/>
        </w:rPr>
        <w:t xml:space="preserve">oth </w:t>
      </w:r>
      <w:r>
        <w:rPr>
          <w:rFonts w:ascii="Garamond" w:hAnsi="Garamond"/>
          <w:sz w:val="24"/>
          <w:szCs w:val="24"/>
          <w:shd w:val="clear" w:color="auto" w:fill="FFFFFF"/>
        </w:rPr>
        <w:t xml:space="preserve">terms </w:t>
      </w:r>
      <w:r w:rsidRPr="00DF0E7B">
        <w:rPr>
          <w:rFonts w:ascii="Garamond" w:hAnsi="Garamond"/>
          <w:sz w:val="24"/>
          <w:szCs w:val="24"/>
          <w:shd w:val="clear" w:color="auto" w:fill="FFFFFF"/>
        </w:rPr>
        <w:t>imply forced mobility (be it across</w:t>
      </w:r>
      <w:r>
        <w:rPr>
          <w:rFonts w:ascii="Garamond" w:hAnsi="Garamond"/>
          <w:sz w:val="24"/>
          <w:szCs w:val="24"/>
          <w:shd w:val="clear" w:color="auto" w:fill="FFFFFF"/>
        </w:rPr>
        <w:t xml:space="preserve"> a continent or a street). Anti</w:t>
      </w:r>
      <w:r w:rsidRPr="00DF0E7B">
        <w:rPr>
          <w:rFonts w:ascii="Garamond" w:hAnsi="Garamond"/>
          <w:sz w:val="24"/>
          <w:szCs w:val="24"/>
          <w:shd w:val="clear" w:color="auto" w:fill="FFFFFF"/>
        </w:rPr>
        <w:t>slavery publications from the eighteenth and twenty first century respectively, suggest that trepanners and traffickers plant an idea inside a victim’s head, trick them, and then move them somewhere else. There is, however, a key temporal difference between the terms. A person could only be trepanned for the duration of the time it took to be tricked or duped into slavery. But people remain trafficked for as long as they are held captive or are forced to work.</w:t>
      </w:r>
      <w:r w:rsidRPr="00DF0E7B">
        <w:rPr>
          <w:rStyle w:val="apple-converted-space"/>
          <w:rFonts w:ascii="Garamond" w:hAnsi="Garamond"/>
          <w:sz w:val="24"/>
          <w:szCs w:val="24"/>
          <w:shd w:val="clear" w:color="auto" w:fill="FFFFFF"/>
        </w:rPr>
        <w:t> </w:t>
      </w:r>
      <w:r>
        <w:rPr>
          <w:rStyle w:val="Strong"/>
          <w:rFonts w:ascii="Garamond" w:hAnsi="Garamond"/>
          <w:b w:val="0"/>
          <w:iCs/>
          <w:sz w:val="24"/>
          <w:szCs w:val="24"/>
          <w:bdr w:val="none" w:sz="0" w:space="0" w:color="auto" w:frame="1"/>
        </w:rPr>
        <w:t>The</w:t>
      </w:r>
      <w:r w:rsidRPr="00DF0E7B">
        <w:rPr>
          <w:rStyle w:val="Strong"/>
          <w:rFonts w:ascii="Garamond" w:hAnsi="Garamond"/>
          <w:b w:val="0"/>
          <w:iCs/>
          <w:sz w:val="24"/>
          <w:szCs w:val="24"/>
          <w:bdr w:val="none" w:sz="0" w:space="0" w:color="auto" w:frame="1"/>
        </w:rPr>
        <w:t xml:space="preserve"> deceptive moment of trepanning has been stretched and magnified to become a more permanent condition of manipulation and control</w:t>
      </w:r>
      <w:r w:rsidRPr="00DF0E7B">
        <w:rPr>
          <w:rFonts w:ascii="Garamond" w:hAnsi="Garamond"/>
          <w:b/>
          <w:sz w:val="24"/>
          <w:szCs w:val="24"/>
          <w:shd w:val="clear" w:color="auto" w:fill="FFFFFF"/>
        </w:rPr>
        <w:t>.</w:t>
      </w:r>
      <w:r w:rsidRPr="00DF0E7B">
        <w:rPr>
          <w:rFonts w:ascii="Garamond" w:hAnsi="Garamond"/>
          <w:sz w:val="24"/>
          <w:szCs w:val="24"/>
          <w:shd w:val="clear" w:color="auto" w:fill="FFFFFF"/>
        </w:rPr>
        <w:t> </w:t>
      </w:r>
      <w:r>
        <w:rPr>
          <w:rFonts w:ascii="Garamond" w:hAnsi="Garamond"/>
          <w:sz w:val="24"/>
          <w:szCs w:val="24"/>
          <w:shd w:val="clear" w:color="auto" w:fill="FFFFFF"/>
        </w:rPr>
        <w:t xml:space="preserve">Through </w:t>
      </w:r>
      <w:r w:rsidRPr="00DF0E7B">
        <w:rPr>
          <w:rFonts w:ascii="Garamond" w:hAnsi="Garamond"/>
          <w:i/>
          <w:sz w:val="24"/>
          <w:szCs w:val="24"/>
          <w:shd w:val="clear" w:color="auto" w:fill="FFFFFF"/>
        </w:rPr>
        <w:t>Chocolate Chaga</w:t>
      </w:r>
      <w:r>
        <w:rPr>
          <w:rFonts w:ascii="Garamond" w:hAnsi="Garamond"/>
          <w:i/>
          <w:sz w:val="24"/>
          <w:szCs w:val="24"/>
          <w:shd w:val="clear" w:color="auto" w:fill="FFFFFF"/>
        </w:rPr>
        <w:t xml:space="preserve">, </w:t>
      </w:r>
      <w:r>
        <w:rPr>
          <w:rFonts w:ascii="Garamond" w:hAnsi="Garamond"/>
          <w:sz w:val="24"/>
          <w:szCs w:val="24"/>
          <w:shd w:val="clear" w:color="auto" w:fill="FFFFFF"/>
        </w:rPr>
        <w:t xml:space="preserve">the STT handbook and the film documentaries mentioned in this chapter, </w:t>
      </w:r>
      <w:r w:rsidRPr="00D02566">
        <w:rPr>
          <w:rFonts w:ascii="Garamond" w:hAnsi="Garamond"/>
          <w:sz w:val="24"/>
          <w:szCs w:val="24"/>
          <w:shd w:val="clear" w:color="auto" w:fill="FFFFFF"/>
        </w:rPr>
        <w:t xml:space="preserve">STT </w:t>
      </w:r>
      <w:r>
        <w:rPr>
          <w:rFonts w:ascii="Garamond" w:hAnsi="Garamond"/>
          <w:sz w:val="24"/>
          <w:szCs w:val="24"/>
          <w:shd w:val="clear" w:color="auto" w:fill="FFFFFF"/>
        </w:rPr>
        <w:t>and their anti-trafficking partners use the communicative mediums of testimony, fiction, and film</w:t>
      </w:r>
      <w:r w:rsidRPr="00714452">
        <w:rPr>
          <w:rFonts w:ascii="Garamond" w:hAnsi="Garamond"/>
          <w:sz w:val="24"/>
          <w:szCs w:val="24"/>
          <w:shd w:val="clear" w:color="auto" w:fill="FFFFFF"/>
        </w:rPr>
        <w:t xml:space="preserve"> </w:t>
      </w:r>
      <w:r w:rsidRPr="00714452">
        <w:rPr>
          <w:rFonts w:ascii="Garamond" w:hAnsi="Garamond" w:cs="Arial"/>
          <w:sz w:val="24"/>
          <w:szCs w:val="24"/>
          <w:shd w:val="clear" w:color="auto" w:fill="FFFFFF"/>
        </w:rPr>
        <w:t>exposé</w:t>
      </w:r>
      <w:r w:rsidRPr="00714452">
        <w:rPr>
          <w:rFonts w:ascii="Garamond" w:hAnsi="Garamond"/>
          <w:sz w:val="24"/>
          <w:szCs w:val="24"/>
          <w:shd w:val="clear" w:color="auto" w:fill="FFFFFF"/>
        </w:rPr>
        <w:t xml:space="preserve"> </w:t>
      </w:r>
      <w:r>
        <w:rPr>
          <w:rFonts w:ascii="Garamond" w:hAnsi="Garamond"/>
          <w:sz w:val="24"/>
          <w:szCs w:val="24"/>
          <w:shd w:val="clear" w:color="auto" w:fill="FFFFFF"/>
        </w:rPr>
        <w:t xml:space="preserve">to </w:t>
      </w:r>
      <w:r w:rsidRPr="00714452">
        <w:rPr>
          <w:rFonts w:ascii="Garamond" w:hAnsi="Garamond"/>
          <w:sz w:val="24"/>
          <w:szCs w:val="24"/>
          <w:shd w:val="clear" w:color="auto" w:fill="FFFFFF"/>
        </w:rPr>
        <w:t xml:space="preserve">reinforce </w:t>
      </w:r>
      <w:r>
        <w:rPr>
          <w:rFonts w:ascii="Garamond" w:hAnsi="Garamond"/>
          <w:sz w:val="24"/>
          <w:szCs w:val="24"/>
          <w:shd w:val="clear" w:color="auto" w:fill="FFFFFF"/>
        </w:rPr>
        <w:t xml:space="preserve">the trafficking meme. The idea is that the relationship between child producers and cocoa production and farming is comprised of a permanent condition, or trap, hewn from poverty, false promises and </w:t>
      </w:r>
      <w:r>
        <w:rPr>
          <w:rFonts w:ascii="Garamond" w:hAnsi="Garamond"/>
          <w:sz w:val="24"/>
          <w:szCs w:val="24"/>
          <w:shd w:val="clear" w:color="auto" w:fill="FFFFFF"/>
        </w:rPr>
        <w:lastRenderedPageBreak/>
        <w:t xml:space="preserve">the violence of black landscapes and adult male bodies. Childhood solidarity is constructed in Western imaginations through the threat (of violence and abandonment) to Chaga posed by adults. In this way the child-producer chocolate topos communicates powerful and pre-cognitive feelings of abandonment. Rather than the corporeal feelings of disgust and pity that characterize the anthropophagic child-producer topos directed at adult audiences, abandonment is the infantilized base emotion of the child-producer topos directed at children. It is utilized to focus </w:t>
      </w:r>
      <w:r>
        <w:rPr>
          <w:rFonts w:ascii="Garamond" w:hAnsi="Garamond" w:cs="Times New Roman"/>
          <w:sz w:val="24"/>
          <w:szCs w:val="24"/>
        </w:rPr>
        <w:t xml:space="preserve">a young person's ‘innate sense of injustice’ (interview Mandy, 2011) on chocolate and fair trade. </w:t>
      </w:r>
    </w:p>
    <w:p w:rsidR="00472B3A" w:rsidRDefault="00472B3A" w:rsidP="004E7C68">
      <w:pPr>
        <w:spacing w:after="0" w:line="360" w:lineRule="auto"/>
        <w:rPr>
          <w:rFonts w:ascii="Garamond" w:hAnsi="Garamond"/>
          <w:b/>
          <w:sz w:val="24"/>
          <w:szCs w:val="24"/>
        </w:rPr>
      </w:pPr>
    </w:p>
    <w:p w:rsidR="004E7C68" w:rsidRDefault="00472B3A" w:rsidP="00682343">
      <w:pPr>
        <w:pStyle w:val="Heading2"/>
      </w:pPr>
      <w:bookmarkStart w:id="560" w:name="_Toc244508064"/>
      <w:bookmarkStart w:id="561" w:name="_Toc244535758"/>
      <w:bookmarkStart w:id="562" w:name="_Toc244578390"/>
      <w:bookmarkStart w:id="563" w:name="_Toc244578774"/>
      <w:bookmarkStart w:id="564" w:name="_Toc263452025"/>
      <w:bookmarkStart w:id="565" w:name="_Toc263510943"/>
      <w:r>
        <w:t>Deploying</w:t>
      </w:r>
      <w:r w:rsidRPr="00B35BC9">
        <w:t xml:space="preserve"> the child-consumer</w:t>
      </w:r>
      <w:r>
        <w:t xml:space="preserve"> </w:t>
      </w:r>
      <w:r w:rsidR="004E7C68">
        <w:t>chocolate topos</w:t>
      </w:r>
      <w:bookmarkEnd w:id="560"/>
      <w:bookmarkEnd w:id="561"/>
      <w:bookmarkEnd w:id="562"/>
      <w:bookmarkEnd w:id="563"/>
      <w:bookmarkEnd w:id="564"/>
      <w:bookmarkEnd w:id="565"/>
    </w:p>
    <w:p w:rsidR="00472B3A" w:rsidRDefault="00472B3A" w:rsidP="004E7C68">
      <w:pPr>
        <w:spacing w:after="0" w:line="360" w:lineRule="auto"/>
        <w:rPr>
          <w:rFonts w:ascii="Garamond" w:hAnsi="Garamond"/>
          <w:b/>
          <w:sz w:val="24"/>
          <w:szCs w:val="24"/>
        </w:rPr>
      </w:pPr>
    </w:p>
    <w:p w:rsidR="00472B3A" w:rsidRPr="0025431C" w:rsidRDefault="00472B3A" w:rsidP="004E7C68">
      <w:pPr>
        <w:autoSpaceDE w:val="0"/>
        <w:autoSpaceDN w:val="0"/>
        <w:adjustRightInd w:val="0"/>
        <w:spacing w:after="0" w:line="360" w:lineRule="auto"/>
        <w:ind w:left="284" w:right="284"/>
        <w:jc w:val="both"/>
        <w:rPr>
          <w:rFonts w:ascii="Garamond" w:hAnsi="Garamond" w:cs="AdvGulliv-R"/>
          <w:color w:val="000000"/>
        </w:rPr>
      </w:pPr>
      <w:r w:rsidRPr="0025431C">
        <w:rPr>
          <w:rFonts w:ascii="Garamond" w:hAnsi="Garamond" w:cs="AdvGulliv-R"/>
          <w:color w:val="000000"/>
        </w:rPr>
        <w:t xml:space="preserve">This growing </w:t>
      </w:r>
      <w:r w:rsidRPr="0025431C">
        <w:rPr>
          <w:rFonts w:ascii="Garamond" w:hAnsi="Garamond" w:cs="AdvGulliv-I"/>
          <w:color w:val="000000"/>
        </w:rPr>
        <w:t xml:space="preserve">celebritization </w:t>
      </w:r>
      <w:r w:rsidRPr="0025431C">
        <w:rPr>
          <w:rFonts w:ascii="Garamond" w:hAnsi="Garamond" w:cs="AdvGulliv-R"/>
          <w:color w:val="000000"/>
        </w:rPr>
        <w:t>of environment and development</w:t>
      </w:r>
      <w:r>
        <w:rPr>
          <w:rFonts w:ascii="Garamond" w:hAnsi="Garamond" w:cs="AdvGulliv-R"/>
          <w:color w:val="000000"/>
        </w:rPr>
        <w:t xml:space="preserve"> </w:t>
      </w:r>
      <w:r w:rsidRPr="0025431C">
        <w:rPr>
          <w:rFonts w:ascii="Garamond" w:hAnsi="Garamond" w:cs="AdvGulliv-R"/>
          <w:color w:val="000000"/>
        </w:rPr>
        <w:t>has reached a fever pitch in the UK’s fair trade movement. Here,</w:t>
      </w:r>
      <w:r>
        <w:rPr>
          <w:rFonts w:ascii="Garamond" w:hAnsi="Garamond" w:cs="AdvGulliv-R"/>
          <w:color w:val="000000"/>
        </w:rPr>
        <w:t xml:space="preserve"> </w:t>
      </w:r>
      <w:r w:rsidRPr="0025431C">
        <w:rPr>
          <w:rFonts w:ascii="Garamond" w:hAnsi="Garamond" w:cs="AdvGulliv-R"/>
          <w:color w:val="000000"/>
        </w:rPr>
        <w:t xml:space="preserve">the newest fair trade campaigns are less about trouble-making than they are about </w:t>
      </w:r>
      <w:r w:rsidRPr="0025431C">
        <w:rPr>
          <w:rFonts w:ascii="Garamond" w:hAnsi="Garamond" w:cs="AdvGulliv-I"/>
          <w:color w:val="000000"/>
        </w:rPr>
        <w:t xml:space="preserve">market-making </w:t>
      </w:r>
      <w:r w:rsidRPr="0025431C">
        <w:rPr>
          <w:rFonts w:ascii="Garamond" w:hAnsi="Garamond" w:cs="AdvGulliv-R"/>
          <w:color w:val="000000"/>
        </w:rPr>
        <w:t>through the judicious use of</w:t>
      </w:r>
      <w:r>
        <w:rPr>
          <w:rFonts w:ascii="Garamond" w:hAnsi="Garamond" w:cs="AdvGulliv-R"/>
          <w:color w:val="000000"/>
        </w:rPr>
        <w:t xml:space="preserve"> </w:t>
      </w:r>
      <w:r w:rsidRPr="0025431C">
        <w:rPr>
          <w:rFonts w:ascii="Garamond" w:hAnsi="Garamond" w:cs="AdvGulliv-R"/>
          <w:color w:val="000000"/>
        </w:rPr>
        <w:t xml:space="preserve">celebrity and marketing wherewithal. This is a specific example of the general trends discussed in this paper: the shift in the ‘imagineering’ </w:t>
      </w:r>
      <w:r w:rsidRPr="0025431C">
        <w:rPr>
          <w:rFonts w:ascii="Garamond" w:hAnsi="Garamond" w:cs="AdvGulliv-R"/>
        </w:rPr>
        <w:t>(Routledge, 1997)</w:t>
      </w:r>
      <w:r w:rsidRPr="0025431C">
        <w:rPr>
          <w:rFonts w:ascii="Garamond" w:hAnsi="Garamond" w:cs="AdvGulliv-R"/>
          <w:color w:val="000000"/>
        </w:rPr>
        <w:t xml:space="preserve"> of fair trade—from poor farmers, to touristic landscapes of ‘quality’, to movie, television and music celebrity endorsers—signals a parallel shift in the subsequent cultural politics of fair trade.</w:t>
      </w:r>
      <w:r w:rsidRPr="0025431C">
        <w:rPr>
          <w:rFonts w:ascii="Garamond" w:hAnsi="Garamond" w:cs="Times New Roman"/>
        </w:rPr>
        <w:t xml:space="preserve"> (Mike </w:t>
      </w:r>
      <w:r w:rsidR="004E7C68">
        <w:rPr>
          <w:rFonts w:ascii="Garamond" w:hAnsi="Garamond" w:cs="Times New Roman"/>
        </w:rPr>
        <w:t>Goodman, 2010:</w:t>
      </w:r>
      <w:r>
        <w:rPr>
          <w:rFonts w:ascii="Garamond" w:hAnsi="Garamond" w:cs="Times New Roman"/>
        </w:rPr>
        <w:t xml:space="preserve"> 105</w:t>
      </w:r>
      <w:r w:rsidRPr="0025431C">
        <w:rPr>
          <w:rFonts w:ascii="Garamond" w:hAnsi="Garamond" w:cs="Times New Roman"/>
        </w:rPr>
        <w:t>)</w:t>
      </w:r>
    </w:p>
    <w:p w:rsidR="00472B3A" w:rsidRDefault="00472B3A" w:rsidP="004E7C68">
      <w:pPr>
        <w:spacing w:after="0" w:line="360" w:lineRule="auto"/>
        <w:jc w:val="both"/>
        <w:rPr>
          <w:rFonts w:ascii="Garamond" w:hAnsi="Garamond" w:cs="Times New Roman"/>
          <w:sz w:val="24"/>
          <w:szCs w:val="24"/>
        </w:rPr>
      </w:pPr>
    </w:p>
    <w:p w:rsidR="004E7C68" w:rsidRDefault="00472B3A" w:rsidP="004E7C68">
      <w:pPr>
        <w:spacing w:after="0" w:line="360" w:lineRule="auto"/>
        <w:jc w:val="both"/>
        <w:rPr>
          <w:rFonts w:ascii="Garamond" w:hAnsi="Garamond" w:cs="Times New Roman"/>
          <w:sz w:val="24"/>
          <w:szCs w:val="24"/>
        </w:rPr>
      </w:pPr>
      <w:r w:rsidRPr="005D086E">
        <w:rPr>
          <w:rFonts w:ascii="Garamond" w:hAnsi="Garamond" w:cs="Times New Roman"/>
          <w:sz w:val="24"/>
          <w:szCs w:val="24"/>
        </w:rPr>
        <w:t>The consumer-childhood chocolate topos is deployed by STT as their primary motivational and participatory tool for wide</w:t>
      </w:r>
      <w:r>
        <w:rPr>
          <w:rFonts w:ascii="Garamond" w:hAnsi="Garamond" w:cs="Times New Roman"/>
          <w:sz w:val="24"/>
          <w:szCs w:val="24"/>
        </w:rPr>
        <w:t>r</w:t>
      </w:r>
      <w:r w:rsidRPr="005D086E">
        <w:rPr>
          <w:rFonts w:ascii="Garamond" w:hAnsi="Garamond" w:cs="Times New Roman"/>
          <w:sz w:val="24"/>
          <w:szCs w:val="24"/>
        </w:rPr>
        <w:t xml:space="preserve"> publics. It is</w:t>
      </w:r>
      <w:r>
        <w:rPr>
          <w:rFonts w:ascii="Garamond" w:hAnsi="Garamond" w:cs="Times New Roman"/>
          <w:sz w:val="24"/>
          <w:szCs w:val="24"/>
        </w:rPr>
        <w:t xml:space="preserve"> articulated through STT’s user-</w:t>
      </w:r>
      <w:r w:rsidRPr="005D086E">
        <w:rPr>
          <w:rFonts w:ascii="Garamond" w:hAnsi="Garamond" w:cs="Times New Roman"/>
          <w:sz w:val="24"/>
          <w:szCs w:val="24"/>
        </w:rPr>
        <w:t>friendly website and in the many projects STT run in tandem with schools</w:t>
      </w:r>
      <w:r>
        <w:rPr>
          <w:rFonts w:ascii="Garamond" w:hAnsi="Garamond" w:cs="Times New Roman"/>
          <w:sz w:val="24"/>
          <w:szCs w:val="24"/>
        </w:rPr>
        <w:t>, church groups</w:t>
      </w:r>
      <w:r w:rsidRPr="005D086E">
        <w:rPr>
          <w:rFonts w:ascii="Garamond" w:hAnsi="Garamond" w:cs="Times New Roman"/>
          <w:sz w:val="24"/>
          <w:szCs w:val="24"/>
        </w:rPr>
        <w:t xml:space="preserve"> and </w:t>
      </w:r>
      <w:r>
        <w:rPr>
          <w:rFonts w:ascii="Garamond" w:hAnsi="Garamond" w:cs="Times New Roman"/>
          <w:sz w:val="24"/>
          <w:szCs w:val="24"/>
        </w:rPr>
        <w:t>nationwide</w:t>
      </w:r>
      <w:r w:rsidRPr="005D086E">
        <w:rPr>
          <w:rFonts w:ascii="Garamond" w:hAnsi="Garamond" w:cs="Times New Roman"/>
          <w:sz w:val="24"/>
          <w:szCs w:val="24"/>
        </w:rPr>
        <w:t xml:space="preserve"> ACT groups</w:t>
      </w:r>
      <w:r>
        <w:rPr>
          <w:rFonts w:ascii="Garamond" w:hAnsi="Garamond" w:cs="Times New Roman"/>
          <w:sz w:val="24"/>
          <w:szCs w:val="24"/>
        </w:rPr>
        <w:t>. The topos is also situated in specific places and communities through Fairtrade Town campaigns</w:t>
      </w:r>
      <w:r w:rsidRPr="005D086E">
        <w:rPr>
          <w:rFonts w:ascii="Garamond" w:hAnsi="Garamond" w:cs="Times New Roman"/>
          <w:sz w:val="24"/>
          <w:szCs w:val="24"/>
        </w:rPr>
        <w:t xml:space="preserve">. STT </w:t>
      </w:r>
      <w:r>
        <w:rPr>
          <w:rFonts w:ascii="Garamond" w:hAnsi="Garamond" w:cs="Times New Roman"/>
          <w:sz w:val="24"/>
          <w:szCs w:val="24"/>
        </w:rPr>
        <w:t>create</w:t>
      </w:r>
      <w:r w:rsidRPr="005D086E">
        <w:rPr>
          <w:rFonts w:ascii="Garamond" w:hAnsi="Garamond" w:cs="Times New Roman"/>
          <w:sz w:val="24"/>
          <w:szCs w:val="24"/>
        </w:rPr>
        <w:t xml:space="preserve"> new possibilities for child consumers to </w:t>
      </w:r>
      <w:r>
        <w:rPr>
          <w:rFonts w:ascii="Garamond" w:hAnsi="Garamond" w:cs="Times New Roman"/>
          <w:sz w:val="24"/>
          <w:szCs w:val="24"/>
        </w:rPr>
        <w:t xml:space="preserve">enter </w:t>
      </w:r>
      <w:r w:rsidRPr="005D086E">
        <w:rPr>
          <w:rFonts w:ascii="Garamond" w:hAnsi="Garamond" w:cs="Times New Roman"/>
          <w:sz w:val="24"/>
          <w:szCs w:val="24"/>
        </w:rPr>
        <w:t>corporeal relationship</w:t>
      </w:r>
      <w:r>
        <w:rPr>
          <w:rFonts w:ascii="Garamond" w:hAnsi="Garamond" w:cs="Times New Roman"/>
          <w:sz w:val="24"/>
          <w:szCs w:val="24"/>
        </w:rPr>
        <w:t>s</w:t>
      </w:r>
      <w:r w:rsidRPr="005D086E">
        <w:rPr>
          <w:rFonts w:ascii="Garamond" w:hAnsi="Garamond" w:cs="Times New Roman"/>
          <w:sz w:val="24"/>
          <w:szCs w:val="24"/>
        </w:rPr>
        <w:t xml:space="preserve"> with </w:t>
      </w:r>
      <w:r>
        <w:rPr>
          <w:rFonts w:ascii="Garamond" w:hAnsi="Garamond" w:cs="Times New Roman"/>
          <w:sz w:val="24"/>
          <w:szCs w:val="24"/>
        </w:rPr>
        <w:t>chocolate</w:t>
      </w:r>
      <w:r w:rsidRPr="005D086E">
        <w:rPr>
          <w:rFonts w:ascii="Garamond" w:hAnsi="Garamond" w:cs="Times New Roman"/>
          <w:sz w:val="24"/>
          <w:szCs w:val="24"/>
        </w:rPr>
        <w:t xml:space="preserve">, other </w:t>
      </w:r>
      <w:r>
        <w:rPr>
          <w:rFonts w:ascii="Garamond" w:hAnsi="Garamond" w:cs="Times New Roman"/>
          <w:sz w:val="24"/>
          <w:szCs w:val="24"/>
        </w:rPr>
        <w:t xml:space="preserve">consumer/activists/citizens, </w:t>
      </w:r>
      <w:r w:rsidRPr="005D086E">
        <w:rPr>
          <w:rFonts w:ascii="Garamond" w:hAnsi="Garamond" w:cs="Times New Roman"/>
          <w:sz w:val="24"/>
          <w:szCs w:val="24"/>
        </w:rPr>
        <w:t>the producer, the trafficked victim</w:t>
      </w:r>
      <w:r>
        <w:rPr>
          <w:rFonts w:ascii="Garamond" w:hAnsi="Garamond" w:cs="Times New Roman"/>
          <w:sz w:val="24"/>
          <w:szCs w:val="24"/>
        </w:rPr>
        <w:t xml:space="preserve"> and the egregious trafficking farmer</w:t>
      </w:r>
      <w:r w:rsidRPr="005D086E">
        <w:rPr>
          <w:rFonts w:ascii="Garamond" w:hAnsi="Garamond" w:cs="Times New Roman"/>
          <w:sz w:val="24"/>
          <w:szCs w:val="24"/>
        </w:rPr>
        <w:t>. These body-commodity relationships are only open to the citizen-activist-consumer</w:t>
      </w:r>
      <w:r>
        <w:rPr>
          <w:rFonts w:ascii="Garamond" w:hAnsi="Garamond" w:cs="Times New Roman"/>
          <w:sz w:val="24"/>
          <w:szCs w:val="24"/>
        </w:rPr>
        <w:t>.</w:t>
      </w:r>
      <w:r w:rsidRPr="005D086E">
        <w:rPr>
          <w:rFonts w:ascii="Garamond" w:hAnsi="Garamond" w:cs="Times New Roman"/>
          <w:sz w:val="24"/>
          <w:szCs w:val="24"/>
        </w:rPr>
        <w:t xml:space="preserve"> </w:t>
      </w:r>
      <w:r>
        <w:rPr>
          <w:rFonts w:ascii="Garamond" w:hAnsi="Garamond" w:cs="Times New Roman"/>
          <w:sz w:val="24"/>
          <w:szCs w:val="24"/>
        </w:rPr>
        <w:t>Trafficked children from cocoa farms and trafficking perpetrators</w:t>
      </w:r>
      <w:r w:rsidRPr="005D086E">
        <w:rPr>
          <w:rFonts w:ascii="Garamond" w:hAnsi="Garamond" w:cs="Times New Roman"/>
          <w:sz w:val="24"/>
          <w:szCs w:val="24"/>
        </w:rPr>
        <w:t xml:space="preserve"> are stylistically represented</w:t>
      </w:r>
      <w:r>
        <w:rPr>
          <w:rFonts w:ascii="Garamond" w:hAnsi="Garamond" w:cs="Times New Roman"/>
          <w:sz w:val="24"/>
          <w:szCs w:val="24"/>
        </w:rPr>
        <w:t xml:space="preserve"> in publications like Chaga, on facemasks, </w:t>
      </w:r>
      <w:r w:rsidRPr="005D086E">
        <w:rPr>
          <w:rFonts w:ascii="Garamond" w:hAnsi="Garamond" w:cs="Times New Roman"/>
          <w:sz w:val="24"/>
          <w:szCs w:val="24"/>
        </w:rPr>
        <w:t>Easter eggs</w:t>
      </w:r>
      <w:r>
        <w:rPr>
          <w:rFonts w:ascii="Garamond" w:hAnsi="Garamond" w:cs="Times New Roman"/>
          <w:sz w:val="24"/>
          <w:szCs w:val="24"/>
        </w:rPr>
        <w:t xml:space="preserve"> and across posters; they are not their audiences</w:t>
      </w:r>
      <w:r w:rsidRPr="005D086E">
        <w:rPr>
          <w:rFonts w:ascii="Garamond" w:hAnsi="Garamond" w:cs="Times New Roman"/>
          <w:sz w:val="24"/>
          <w:szCs w:val="24"/>
        </w:rPr>
        <w:t xml:space="preserve">. </w:t>
      </w:r>
      <w:r>
        <w:rPr>
          <w:rFonts w:ascii="Garamond" w:hAnsi="Garamond" w:cs="Times New Roman"/>
          <w:sz w:val="24"/>
          <w:szCs w:val="24"/>
        </w:rPr>
        <w:t xml:space="preserve">In recent years child producers have featured less prominently in STT’s campaigns as many activists associated with the organization have publicly shied away from using “bleeding-heart communications” (interview Fountain, 2011) and “negative forms of publicity” (interview </w:t>
      </w:r>
      <w:r w:rsidR="0096303B">
        <w:rPr>
          <w:rFonts w:ascii="Garamond" w:hAnsi="Garamond" w:cs="Times New Roman"/>
          <w:sz w:val="24"/>
          <w:szCs w:val="24"/>
        </w:rPr>
        <w:t>Anna</w:t>
      </w:r>
      <w:r>
        <w:rPr>
          <w:rFonts w:ascii="Garamond" w:hAnsi="Garamond" w:cs="Times New Roman"/>
          <w:sz w:val="24"/>
          <w:szCs w:val="24"/>
        </w:rPr>
        <w:t xml:space="preserve"> 2011). Instead, celebrity endorsements and convivial activities are presented as ways to motivate and construct anti-trafficking activisms, a move that fits with the recent celebritization of fair trade, </w:t>
      </w:r>
      <w:r>
        <w:rPr>
          <w:rFonts w:ascii="Garamond" w:hAnsi="Garamond" w:cs="Times New Roman"/>
          <w:sz w:val="24"/>
          <w:szCs w:val="24"/>
        </w:rPr>
        <w:lastRenderedPageBreak/>
        <w:t>where “it is through the global media mega-star that the subaltern speaks” (Mike Goodman, 2010: 104). Across the STT website, the cult of celebrity is combined with frameworks and materials for specific campaigns, practices and activities for young people to engage with chocolate fair trade advocacy.</w:t>
      </w:r>
    </w:p>
    <w:p w:rsidR="004E7C68" w:rsidRDefault="004E7C68" w:rsidP="004E7C68">
      <w:pPr>
        <w:spacing w:after="0" w:line="360" w:lineRule="auto"/>
        <w:jc w:val="both"/>
        <w:rPr>
          <w:rFonts w:ascii="Garamond" w:hAnsi="Garamond" w:cs="Times New Roman"/>
          <w:sz w:val="24"/>
          <w:szCs w:val="24"/>
        </w:rPr>
      </w:pP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627"/>
        <w:gridCol w:w="3128"/>
      </w:tblGrid>
      <w:tr w:rsidR="004E7C68">
        <w:tc>
          <w:tcPr>
            <w:tcW w:w="5627" w:type="dxa"/>
          </w:tcPr>
          <w:p w:rsidR="004E7C68" w:rsidRPr="004E7C68" w:rsidRDefault="004E7C68" w:rsidP="003E091C">
            <w:pPr>
              <w:spacing w:after="0" w:line="360" w:lineRule="auto"/>
              <w:ind w:left="-284"/>
              <w:jc w:val="both"/>
              <w:rPr>
                <w:rFonts w:ascii="Garamond" w:hAnsi="Garamond" w:cs="Times New Roman"/>
                <w:sz w:val="24"/>
                <w:szCs w:val="24"/>
              </w:rPr>
            </w:pPr>
            <w:r w:rsidRPr="004E7C68">
              <w:rPr>
                <w:rFonts w:ascii="Garamond" w:hAnsi="Garamond" w:cs="Times New Roman"/>
                <w:noProof/>
                <w:sz w:val="24"/>
                <w:szCs w:val="24"/>
                <w:lang w:eastAsia="en-GB"/>
              </w:rPr>
              <w:drawing>
                <wp:inline distT="0" distB="0" distL="0" distR="0">
                  <wp:extent cx="3589867" cy="2827867"/>
                  <wp:effectExtent l="25400" t="0" r="0" b="0"/>
                  <wp:docPr id="24" name="Picture 34" descr="Host a Fondue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ost a Fondue Party"/>
                          <pic:cNvPicPr>
                            <a:picLocks noChangeAspect="1" noChangeArrowheads="1"/>
                          </pic:cNvPicPr>
                        </pic:nvPicPr>
                        <pic:blipFill>
                          <a:blip r:embed="rId81" cstate="print"/>
                          <a:srcRect/>
                          <a:stretch>
                            <a:fillRect/>
                          </a:stretch>
                        </pic:blipFill>
                        <pic:spPr bwMode="auto">
                          <a:xfrm>
                            <a:off x="0" y="0"/>
                            <a:ext cx="3592992" cy="2830329"/>
                          </a:xfrm>
                          <a:prstGeom prst="rect">
                            <a:avLst/>
                          </a:prstGeom>
                          <a:noFill/>
                          <a:ln w="9525">
                            <a:noFill/>
                            <a:miter lim="800000"/>
                            <a:headEnd/>
                            <a:tailEnd/>
                          </a:ln>
                        </pic:spPr>
                      </pic:pic>
                    </a:graphicData>
                  </a:graphic>
                </wp:inline>
              </w:drawing>
            </w:r>
          </w:p>
        </w:tc>
        <w:tc>
          <w:tcPr>
            <w:tcW w:w="3128" w:type="dxa"/>
          </w:tcPr>
          <w:p w:rsidR="003E091C" w:rsidRDefault="004E7C68" w:rsidP="004E7C68">
            <w:pPr>
              <w:pStyle w:val="Caption"/>
              <w:rPr>
                <w:rFonts w:ascii="Perpetua" w:hAnsi="Perpetua"/>
                <w:b w:val="0"/>
                <w:color w:val="auto"/>
                <w:sz w:val="20"/>
              </w:rPr>
            </w:pPr>
            <w:bookmarkStart w:id="566" w:name="_Toc263509045"/>
            <w:bookmarkStart w:id="567" w:name="_Toc263510832"/>
            <w:bookmarkStart w:id="568" w:name="_Toc244508248"/>
            <w:bookmarkStart w:id="569" w:name="_Toc244577310"/>
            <w:bookmarkStart w:id="570" w:name="_Toc263495779"/>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48</w:t>
            </w:r>
            <w:r w:rsidR="00DF2DF8" w:rsidRPr="003E091C">
              <w:rPr>
                <w:rFonts w:ascii="Perpetua" w:hAnsi="Perpetua"/>
                <w:b w:val="0"/>
                <w:color w:val="auto"/>
                <w:sz w:val="20"/>
              </w:rPr>
              <w:fldChar w:fldCharType="end"/>
            </w:r>
            <w:r w:rsidRPr="003E091C">
              <w:rPr>
                <w:rFonts w:ascii="Perpetua" w:hAnsi="Perpetua"/>
                <w:b w:val="0"/>
                <w:color w:val="auto"/>
                <w:sz w:val="20"/>
              </w:rPr>
              <w:t>:</w:t>
            </w:r>
            <w:r w:rsidRPr="004E7C68">
              <w:rPr>
                <w:rFonts w:ascii="Perpetua" w:hAnsi="Perpetua"/>
                <w:b w:val="0"/>
                <w:color w:val="auto"/>
                <w:sz w:val="20"/>
              </w:rPr>
              <w:t xml:space="preserve"> </w:t>
            </w:r>
            <w:r w:rsidR="003E091C">
              <w:rPr>
                <w:rFonts w:ascii="Perpetua" w:hAnsi="Perpetua"/>
                <w:b w:val="0"/>
                <w:color w:val="auto"/>
                <w:sz w:val="20"/>
              </w:rPr>
              <w:t>Image of STT campaign material ‘Crush the cocoa trade traffickers. Hold a giant fondue party.’</w:t>
            </w:r>
            <w:bookmarkEnd w:id="566"/>
            <w:bookmarkEnd w:id="567"/>
          </w:p>
          <w:p w:rsidR="004E7C68" w:rsidRPr="003E091C" w:rsidRDefault="004E7C68" w:rsidP="003E091C">
            <w:r w:rsidRPr="003E091C">
              <w:rPr>
                <w:rFonts w:ascii="Perpetua" w:hAnsi="Perpetua"/>
                <w:sz w:val="20"/>
              </w:rPr>
              <w:t>From a child-producer to a child-consumer topos: combining conviviality with food violence. The accompanying text reads: “every day thousands of trafficked children are forced to work the Côte d’Ivoire’s cocoa plantations. They receive nothing more than abuse for their long hours of hard labour. This must stop. Hold a chocolate fondue party to protest against manufacturers who use cocoa farmed by trafficked children. Join in and help us put a stop to this brutal trade”. Available at: stopthetraffik.org/ fondueparty. (Accessed 21 September 2013).</w:t>
            </w:r>
            <w:bookmarkEnd w:id="568"/>
            <w:bookmarkEnd w:id="569"/>
            <w:bookmarkEnd w:id="570"/>
            <w:r w:rsidRPr="003E091C">
              <w:rPr>
                <w:rFonts w:ascii="Perpetua" w:hAnsi="Perpetua"/>
                <w:sz w:val="20"/>
              </w:rPr>
              <w:t xml:space="preserve"> </w:t>
            </w:r>
          </w:p>
          <w:p w:rsidR="004E7C68" w:rsidRDefault="004E7C68" w:rsidP="004E7C68">
            <w:pPr>
              <w:spacing w:after="0" w:line="360" w:lineRule="auto"/>
              <w:jc w:val="both"/>
              <w:rPr>
                <w:rFonts w:ascii="Garamond" w:hAnsi="Garamond" w:cs="Times New Roman"/>
                <w:sz w:val="24"/>
                <w:szCs w:val="24"/>
              </w:rPr>
            </w:pPr>
          </w:p>
        </w:tc>
      </w:tr>
    </w:tbl>
    <w:p w:rsidR="004E7C68" w:rsidRDefault="00472B3A" w:rsidP="004E7C68">
      <w:pPr>
        <w:spacing w:after="0" w:line="360" w:lineRule="auto"/>
        <w:jc w:val="both"/>
        <w:rPr>
          <w:rFonts w:ascii="Garamond" w:hAnsi="Garamond" w:cs="HelveticaNeueLTStd-Lt"/>
          <w:sz w:val="24"/>
          <w:szCs w:val="24"/>
        </w:rPr>
      </w:pPr>
      <w:r>
        <w:rPr>
          <w:rFonts w:ascii="Garamond" w:hAnsi="Garamond" w:cs="Times New Roman"/>
          <w:sz w:val="24"/>
          <w:szCs w:val="24"/>
        </w:rPr>
        <w:t xml:space="preserve">Representations of producers have not disappeared entirely; instead of presenting disturbing images of trafficked child victims, when cocoa production is brought to attention the child-consumer topos shifts to the figure of the adult male trafficker as </w:t>
      </w:r>
      <w:r w:rsidR="0048108D">
        <w:rPr>
          <w:rFonts w:ascii="Garamond" w:hAnsi="Garamond" w:cs="Times New Roman"/>
          <w:sz w:val="24"/>
          <w:szCs w:val="24"/>
        </w:rPr>
        <w:t>an enemy to be rid of. Figure 48</w:t>
      </w:r>
      <w:r>
        <w:rPr>
          <w:rFonts w:ascii="Garamond" w:hAnsi="Garamond" w:cs="Times New Roman"/>
          <w:sz w:val="24"/>
          <w:szCs w:val="24"/>
        </w:rPr>
        <w:t xml:space="preserve"> proposes that cocoa traffickers can be metaphorically crushed under the collective weight of a ‘giant fondue’ party.</w:t>
      </w:r>
      <w:r w:rsidRPr="006831A0">
        <w:rPr>
          <w:rFonts w:ascii="Garamond" w:hAnsi="Garamond" w:cs="Times New Roman"/>
          <w:sz w:val="24"/>
          <w:szCs w:val="24"/>
        </w:rPr>
        <w:t xml:space="preserve"> </w:t>
      </w:r>
      <w:r w:rsidRPr="006831A0">
        <w:rPr>
          <w:rFonts w:ascii="Garamond" w:hAnsi="Garamond"/>
          <w:sz w:val="24"/>
          <w:szCs w:val="24"/>
        </w:rPr>
        <w:t>Note how the machete, brown arm and gold wristwatch are used as shorthand to signify the corrupt human trafficker. The machete is decontextualized from its use as a</w:t>
      </w:r>
      <w:r>
        <w:rPr>
          <w:rFonts w:ascii="Garamond" w:hAnsi="Garamond"/>
          <w:sz w:val="24"/>
          <w:szCs w:val="24"/>
        </w:rPr>
        <w:t xml:space="preserve"> proletarian</w:t>
      </w:r>
      <w:r w:rsidRPr="006831A0">
        <w:rPr>
          <w:rFonts w:ascii="Garamond" w:hAnsi="Garamond"/>
          <w:sz w:val="24"/>
          <w:szCs w:val="24"/>
        </w:rPr>
        <w:t xml:space="preserve"> farming tool (essential for harvesting and prising open cocoa pods), and instead used to emote violence.</w:t>
      </w:r>
      <w:r w:rsidRPr="006831A0">
        <w:rPr>
          <w:rFonts w:ascii="Garamond" w:hAnsi="Garamond" w:cs="HelveticaNeueLTStd-Lt"/>
          <w:sz w:val="24"/>
          <w:szCs w:val="24"/>
        </w:rPr>
        <w:t xml:space="preserve"> </w:t>
      </w:r>
      <w:r>
        <w:rPr>
          <w:rFonts w:ascii="Garamond" w:hAnsi="Garamond" w:cs="HelveticaNeueLTStd-Lt"/>
          <w:sz w:val="24"/>
          <w:szCs w:val="24"/>
        </w:rPr>
        <w:t>But w</w:t>
      </w:r>
      <w:r w:rsidRPr="006831A0">
        <w:rPr>
          <w:rFonts w:ascii="Garamond" w:hAnsi="Garamond" w:cs="HelveticaNeueLTStd-Lt"/>
          <w:sz w:val="24"/>
          <w:szCs w:val="24"/>
        </w:rPr>
        <w:t>here the image positions the black, adult male cocoa farmer as the enemy, the text instead points to</w:t>
      </w:r>
      <w:r>
        <w:rPr>
          <w:rFonts w:ascii="Garamond" w:hAnsi="Garamond" w:cs="HelveticaNeueLTStd-Lt"/>
          <w:sz w:val="24"/>
          <w:szCs w:val="24"/>
        </w:rPr>
        <w:t>ward</w:t>
      </w:r>
      <w:r w:rsidRPr="006831A0">
        <w:rPr>
          <w:rFonts w:ascii="Garamond" w:hAnsi="Garamond" w:cs="HelveticaNeueLTStd-Lt"/>
          <w:sz w:val="24"/>
          <w:szCs w:val="24"/>
        </w:rPr>
        <w:t xml:space="preserve"> the responsibility of chocolate manufacturers. Why isn</w:t>
      </w:r>
      <w:r>
        <w:rPr>
          <w:rFonts w:ascii="Garamond" w:hAnsi="Garamond" w:cs="HelveticaNeueLTStd-Lt"/>
          <w:sz w:val="24"/>
          <w:szCs w:val="24"/>
        </w:rPr>
        <w:t>’</w:t>
      </w:r>
      <w:r w:rsidRPr="006831A0">
        <w:rPr>
          <w:rFonts w:ascii="Garamond" w:hAnsi="Garamond" w:cs="HelveticaNeueLTStd-Lt"/>
          <w:sz w:val="24"/>
          <w:szCs w:val="24"/>
        </w:rPr>
        <w:t>t the body under the strawberry white and suited?</w:t>
      </w:r>
      <w:r>
        <w:rPr>
          <w:rFonts w:ascii="Garamond" w:hAnsi="Garamond" w:cs="HelveticaNeueLTStd-Lt"/>
          <w:sz w:val="24"/>
          <w:szCs w:val="24"/>
        </w:rPr>
        <w:t xml:space="preserve"> The image illuminates a central contradiction raised through the merger of anti-trafficking with fair trade. When the ‘evil’ body of the human trafficker is incorporated into either of STT’s child-chocolate topoi, attention is shifted away from fair trade’s policy of encouraging stakeholder responsibility and towards the aesthetics of articulating the moral debasement of human traffickers. </w:t>
      </w:r>
    </w:p>
    <w:p w:rsidR="00472B3A" w:rsidRDefault="00472B3A" w:rsidP="004E7C68">
      <w:pPr>
        <w:spacing w:after="0" w:line="360" w:lineRule="auto"/>
        <w:jc w:val="both"/>
        <w:rPr>
          <w:rFonts w:ascii="Garamond" w:hAnsi="Garamond" w:cs="Times New Roman"/>
          <w:sz w:val="24"/>
          <w:szCs w:val="24"/>
        </w:rPr>
      </w:pPr>
    </w:p>
    <w:p w:rsidR="004E7C68" w:rsidRDefault="00472B3A" w:rsidP="004E7C68">
      <w:pPr>
        <w:spacing w:after="0" w:line="360" w:lineRule="auto"/>
        <w:jc w:val="both"/>
        <w:rPr>
          <w:rFonts w:ascii="Garamond" w:hAnsi="Garamond" w:cs="Times New Roman"/>
          <w:sz w:val="24"/>
          <w:szCs w:val="24"/>
        </w:rPr>
      </w:pPr>
      <w:r>
        <w:rPr>
          <w:rFonts w:ascii="Garamond" w:hAnsi="Garamond" w:cs="Times New Roman"/>
          <w:sz w:val="24"/>
          <w:szCs w:val="24"/>
        </w:rPr>
        <w:lastRenderedPageBreak/>
        <w:t xml:space="preserve">As I discussed in relation to </w:t>
      </w:r>
      <w:r>
        <w:rPr>
          <w:rFonts w:ascii="Garamond" w:hAnsi="Garamond" w:cs="Times New Roman"/>
          <w:i/>
          <w:sz w:val="24"/>
          <w:szCs w:val="24"/>
        </w:rPr>
        <w:t xml:space="preserve">Chocolate Chaga, </w:t>
      </w:r>
      <w:r>
        <w:rPr>
          <w:rFonts w:ascii="Garamond" w:hAnsi="Garamond" w:cs="Times New Roman"/>
          <w:sz w:val="24"/>
          <w:szCs w:val="24"/>
        </w:rPr>
        <w:t>demonstrating a clear (and racialized) moral position in relation to cocoa traffickers is vital to making the activities of the child-chocolate topoi relevant. Constructing solidarity among young people for the protection of the embodied Western ideal of childhood requires emoting threats to its wellbeing. Once this has been achieved, presenting</w:t>
      </w:r>
      <w:r w:rsidRPr="005D086E">
        <w:rPr>
          <w:rFonts w:ascii="Garamond" w:hAnsi="Garamond" w:cs="Times New Roman"/>
          <w:sz w:val="24"/>
          <w:szCs w:val="24"/>
        </w:rPr>
        <w:t xml:space="preserve"> information </w:t>
      </w:r>
      <w:r>
        <w:rPr>
          <w:rFonts w:ascii="Garamond" w:hAnsi="Garamond" w:cs="Times New Roman"/>
          <w:sz w:val="24"/>
          <w:szCs w:val="24"/>
        </w:rPr>
        <w:t xml:space="preserve">about cocoa production is largely avoided (although STT Amsterdam distribute educational materials in relation to </w:t>
      </w:r>
      <w:r>
        <w:rPr>
          <w:rFonts w:ascii="Garamond" w:hAnsi="Garamond" w:cs="Times New Roman"/>
          <w:i/>
          <w:sz w:val="24"/>
          <w:szCs w:val="24"/>
        </w:rPr>
        <w:t>Amazing Grace</w:t>
      </w:r>
      <w:r>
        <w:rPr>
          <w:rFonts w:ascii="Garamond" w:hAnsi="Garamond" w:cs="Times New Roman"/>
          <w:sz w:val="24"/>
          <w:szCs w:val="24"/>
        </w:rPr>
        <w:t xml:space="preserve">); </w:t>
      </w:r>
      <w:r w:rsidRPr="005D086E">
        <w:rPr>
          <w:rFonts w:ascii="Garamond" w:hAnsi="Garamond" w:cs="Times New Roman"/>
          <w:sz w:val="24"/>
          <w:szCs w:val="24"/>
        </w:rPr>
        <w:t>the goal is to</w:t>
      </w:r>
      <w:r>
        <w:rPr>
          <w:rFonts w:ascii="Garamond" w:hAnsi="Garamond" w:cs="Times New Roman"/>
          <w:sz w:val="24"/>
          <w:szCs w:val="24"/>
        </w:rPr>
        <w:t xml:space="preserve"> use practice to</w:t>
      </w:r>
      <w:r w:rsidRPr="005D086E">
        <w:rPr>
          <w:rFonts w:ascii="Garamond" w:hAnsi="Garamond" w:cs="Times New Roman"/>
          <w:sz w:val="24"/>
          <w:szCs w:val="24"/>
        </w:rPr>
        <w:t xml:space="preserve"> shift attitudes and behaviour (Ward</w:t>
      </w:r>
      <w:r>
        <w:rPr>
          <w:rFonts w:ascii="Garamond" w:hAnsi="Garamond" w:cs="Times New Roman"/>
          <w:sz w:val="24"/>
          <w:szCs w:val="24"/>
        </w:rPr>
        <w:t>e</w:t>
      </w:r>
      <w:r w:rsidRPr="005D086E">
        <w:rPr>
          <w:rFonts w:ascii="Garamond" w:hAnsi="Garamond" w:cs="Times New Roman"/>
          <w:sz w:val="24"/>
          <w:szCs w:val="24"/>
        </w:rPr>
        <w:t>, 2005) and to change consumption routines an</w:t>
      </w:r>
      <w:r>
        <w:rPr>
          <w:rFonts w:ascii="Garamond" w:hAnsi="Garamond" w:cs="Times New Roman"/>
          <w:sz w:val="24"/>
          <w:szCs w:val="24"/>
        </w:rPr>
        <w:t>d habits in ways that may be un</w:t>
      </w:r>
      <w:r w:rsidRPr="005D086E">
        <w:rPr>
          <w:rFonts w:ascii="Garamond" w:hAnsi="Garamond" w:cs="Times New Roman"/>
          <w:sz w:val="24"/>
          <w:szCs w:val="24"/>
        </w:rPr>
        <w:t>reflexive (Barn</w:t>
      </w:r>
      <w:r>
        <w:rPr>
          <w:rFonts w:ascii="Garamond" w:hAnsi="Garamond" w:cs="Times New Roman"/>
          <w:sz w:val="24"/>
          <w:szCs w:val="24"/>
        </w:rPr>
        <w:t>ett et al., 2010; Carolan, 2011</w:t>
      </w:r>
      <w:r w:rsidRPr="005D086E">
        <w:rPr>
          <w:rFonts w:ascii="Garamond" w:hAnsi="Garamond" w:cs="Times New Roman"/>
          <w:sz w:val="24"/>
          <w:szCs w:val="24"/>
        </w:rPr>
        <w:t>). To this end</w:t>
      </w:r>
      <w:r>
        <w:rPr>
          <w:rFonts w:ascii="Garamond" w:hAnsi="Garamond" w:cs="Times New Roman"/>
          <w:sz w:val="24"/>
          <w:szCs w:val="24"/>
        </w:rPr>
        <w:t>,</w:t>
      </w:r>
      <w:r w:rsidRPr="005D086E">
        <w:rPr>
          <w:rFonts w:ascii="Garamond" w:hAnsi="Garamond" w:cs="Times New Roman"/>
          <w:sz w:val="24"/>
          <w:szCs w:val="24"/>
        </w:rPr>
        <w:t xml:space="preserve"> STT produce a range of participatory ac</w:t>
      </w:r>
      <w:r>
        <w:rPr>
          <w:rFonts w:ascii="Garamond" w:hAnsi="Garamond" w:cs="Times New Roman"/>
          <w:sz w:val="24"/>
          <w:szCs w:val="24"/>
        </w:rPr>
        <w:t>tivities for Western children. STT’s</w:t>
      </w:r>
      <w:r w:rsidRPr="005D086E">
        <w:rPr>
          <w:rFonts w:ascii="Garamond" w:hAnsi="Garamond" w:cs="Times New Roman"/>
          <w:sz w:val="24"/>
          <w:szCs w:val="24"/>
        </w:rPr>
        <w:t xml:space="preserve"> heroic historiography of British abolitionism is combined with </w:t>
      </w:r>
      <w:r>
        <w:rPr>
          <w:rFonts w:ascii="Garamond" w:hAnsi="Garamond" w:cs="Times New Roman"/>
          <w:sz w:val="24"/>
          <w:szCs w:val="24"/>
        </w:rPr>
        <w:t>targeted campaigns</w:t>
      </w:r>
      <w:r w:rsidRPr="005D086E">
        <w:rPr>
          <w:rFonts w:ascii="Garamond" w:hAnsi="Garamond" w:cs="Times New Roman"/>
          <w:sz w:val="24"/>
          <w:szCs w:val="24"/>
        </w:rPr>
        <w:t>,</w:t>
      </w:r>
      <w:r>
        <w:rPr>
          <w:rFonts w:ascii="Garamond" w:hAnsi="Garamond" w:cs="Times New Roman"/>
          <w:sz w:val="24"/>
          <w:szCs w:val="24"/>
        </w:rPr>
        <w:t xml:space="preserve"> competitions,</w:t>
      </w:r>
      <w:r w:rsidRPr="005D086E">
        <w:rPr>
          <w:rFonts w:ascii="Garamond" w:hAnsi="Garamond" w:cs="Times New Roman"/>
          <w:sz w:val="24"/>
          <w:szCs w:val="24"/>
        </w:rPr>
        <w:t xml:space="preserve"> singing and performances in school</w:t>
      </w:r>
      <w:r>
        <w:rPr>
          <w:rFonts w:ascii="Garamond" w:hAnsi="Garamond" w:cs="Times New Roman"/>
          <w:sz w:val="24"/>
          <w:szCs w:val="24"/>
        </w:rPr>
        <w:t>s and youth groups. A selection</w:t>
      </w:r>
      <w:r w:rsidRPr="005D086E">
        <w:rPr>
          <w:rFonts w:ascii="Garamond" w:hAnsi="Garamond" w:cs="Times New Roman"/>
          <w:sz w:val="24"/>
          <w:szCs w:val="24"/>
        </w:rPr>
        <w:t xml:space="preserve"> of celebrities f</w:t>
      </w:r>
      <w:r>
        <w:rPr>
          <w:rFonts w:ascii="Garamond" w:hAnsi="Garamond" w:cs="Times New Roman"/>
          <w:sz w:val="24"/>
          <w:szCs w:val="24"/>
        </w:rPr>
        <w:t>rom Boris Johnson to musicians Razorlight, Daniel Bed</w:t>
      </w:r>
      <w:r w:rsidRPr="005D086E">
        <w:rPr>
          <w:rFonts w:ascii="Garamond" w:hAnsi="Garamond" w:cs="Times New Roman"/>
          <w:sz w:val="24"/>
          <w:szCs w:val="24"/>
        </w:rPr>
        <w:t>i</w:t>
      </w:r>
      <w:r>
        <w:rPr>
          <w:rFonts w:ascii="Garamond" w:hAnsi="Garamond" w:cs="Times New Roman"/>
          <w:sz w:val="24"/>
          <w:szCs w:val="24"/>
        </w:rPr>
        <w:t>n</w:t>
      </w:r>
      <w:r w:rsidRPr="005D086E">
        <w:rPr>
          <w:rFonts w:ascii="Garamond" w:hAnsi="Garamond" w:cs="Times New Roman"/>
          <w:sz w:val="24"/>
          <w:szCs w:val="24"/>
        </w:rPr>
        <w:t>gfield</w:t>
      </w:r>
      <w:r>
        <w:rPr>
          <w:rFonts w:ascii="Garamond" w:hAnsi="Garamond" w:cs="Times New Roman"/>
          <w:sz w:val="24"/>
          <w:szCs w:val="24"/>
        </w:rPr>
        <w:t xml:space="preserve"> and Youssou N’Dour</w:t>
      </w:r>
      <w:r w:rsidRPr="005D086E">
        <w:rPr>
          <w:rFonts w:ascii="Garamond" w:hAnsi="Garamond" w:cs="Times New Roman"/>
          <w:sz w:val="24"/>
          <w:szCs w:val="24"/>
        </w:rPr>
        <w:t xml:space="preserve"> are portrayed in images and YouTube videos </w:t>
      </w:r>
      <w:r>
        <w:rPr>
          <w:rFonts w:ascii="Garamond" w:hAnsi="Garamond" w:cs="Times New Roman"/>
          <w:sz w:val="24"/>
          <w:szCs w:val="24"/>
        </w:rPr>
        <w:t>branded with</w:t>
      </w:r>
      <w:r w:rsidRPr="005D086E">
        <w:rPr>
          <w:rFonts w:ascii="Garamond" w:hAnsi="Garamond" w:cs="Times New Roman"/>
          <w:sz w:val="24"/>
          <w:szCs w:val="24"/>
        </w:rPr>
        <w:t xml:space="preserve"> ST</w:t>
      </w:r>
      <w:r>
        <w:rPr>
          <w:rFonts w:ascii="Garamond" w:hAnsi="Garamond" w:cs="Times New Roman"/>
          <w:sz w:val="24"/>
          <w:szCs w:val="24"/>
        </w:rPr>
        <w:t>T’s</w:t>
      </w:r>
      <w:r w:rsidRPr="005D086E">
        <w:rPr>
          <w:rFonts w:ascii="Garamond" w:hAnsi="Garamond" w:cs="Times New Roman"/>
          <w:sz w:val="24"/>
          <w:szCs w:val="24"/>
        </w:rPr>
        <w:t xml:space="preserve"> anti-trafficking</w:t>
      </w:r>
      <w:r>
        <w:rPr>
          <w:rFonts w:ascii="Garamond" w:hAnsi="Garamond" w:cs="Times New Roman"/>
          <w:sz w:val="24"/>
          <w:szCs w:val="24"/>
        </w:rPr>
        <w:t xml:space="preserve"> logo</w:t>
      </w:r>
      <w:r w:rsidRPr="005D086E">
        <w:rPr>
          <w:rFonts w:ascii="Garamond" w:hAnsi="Garamond" w:cs="Times New Roman"/>
          <w:sz w:val="24"/>
          <w:szCs w:val="24"/>
        </w:rPr>
        <w:t xml:space="preserve">, so that cocoa activism is made relevant, accessible and interesting to publics with limited time at their disposal and little prior knowledge on human trafficking (Dearnley, interview 2011). </w:t>
      </w:r>
      <w:r>
        <w:rPr>
          <w:rFonts w:ascii="Garamond" w:hAnsi="Garamond" w:cs="Times New Roman"/>
          <w:sz w:val="24"/>
          <w:szCs w:val="24"/>
        </w:rPr>
        <w:t>To motivate support and to maximize time and efficiency in practices of anti-trafficking,</w:t>
      </w:r>
      <w:r>
        <w:rPr>
          <w:rFonts w:ascii="Garamond" w:hAnsi="Garamond"/>
          <w:shd w:val="clear" w:color="auto" w:fill="FFFFFF"/>
        </w:rPr>
        <w:t xml:space="preserve"> </w:t>
      </w:r>
      <w:r>
        <w:rPr>
          <w:rFonts w:ascii="Garamond" w:hAnsi="Garamond" w:cs="Times New Roman"/>
          <w:sz w:val="24"/>
          <w:szCs w:val="24"/>
        </w:rPr>
        <w:t>STT use somatic markers (</w:t>
      </w:r>
      <w:r>
        <w:rPr>
          <w:rFonts w:ascii="Garamond" w:hAnsi="Garamond"/>
          <w:sz w:val="24"/>
          <w:szCs w:val="24"/>
        </w:rPr>
        <w:t xml:space="preserve">Ó Tauthail 2003; </w:t>
      </w:r>
      <w:r w:rsidR="00682343">
        <w:rPr>
          <w:rFonts w:ascii="Garamond" w:hAnsi="Garamond" w:cs="Times New Roman"/>
          <w:sz w:val="24"/>
          <w:szCs w:val="24"/>
        </w:rPr>
        <w:t xml:space="preserve">Dittmer, 2010 – </w:t>
      </w:r>
      <w:r>
        <w:rPr>
          <w:rFonts w:ascii="Garamond" w:hAnsi="Garamond" w:cs="Times New Roman"/>
          <w:sz w:val="24"/>
          <w:szCs w:val="24"/>
        </w:rPr>
        <w:t>see Chapter Two) to convert the ambiguities of trafficking with emotional short-cuts that quickly rationalize public ‘evils’ and ‘goods: “</w:t>
      </w:r>
      <w:r w:rsidRPr="00476799">
        <w:rPr>
          <w:rFonts w:ascii="Garamond" w:eastAsia="Times New Roman" w:hAnsi="Garamond" w:cs="Times New Roman"/>
          <w:color w:val="000000"/>
          <w:sz w:val="24"/>
          <w:szCs w:val="24"/>
          <w:shd w:val="clear" w:color="auto" w:fill="FFFFFF"/>
          <w:lang w:eastAsia="en-GB"/>
        </w:rPr>
        <w:t>the key for us is that it is not our role to spend time arguing the parameters, but raising awareness of this crime and empowering people to stop it</w:t>
      </w:r>
      <w:r>
        <w:rPr>
          <w:rFonts w:ascii="Garamond" w:eastAsia="Times New Roman" w:hAnsi="Garamond" w:cs="Times New Roman"/>
          <w:color w:val="000000"/>
          <w:sz w:val="24"/>
          <w:szCs w:val="24"/>
          <w:shd w:val="clear" w:color="auto" w:fill="FFFFFF"/>
          <w:lang w:eastAsia="en-GB"/>
        </w:rPr>
        <w:t>”</w:t>
      </w:r>
      <w:r w:rsidRPr="00476799">
        <w:rPr>
          <w:rFonts w:ascii="Garamond" w:eastAsia="Times New Roman" w:hAnsi="Garamond" w:cs="Times New Roman"/>
          <w:color w:val="000000"/>
          <w:sz w:val="24"/>
          <w:szCs w:val="24"/>
          <w:shd w:val="clear" w:color="auto" w:fill="FFFFFF"/>
          <w:lang w:eastAsia="en-GB"/>
        </w:rPr>
        <w:t xml:space="preserve"> (interview Dearnley, 2011).</w:t>
      </w:r>
      <w:r w:rsidRPr="00476799">
        <w:rPr>
          <w:rFonts w:ascii="Garamond" w:hAnsi="Garamond" w:cs="Times New Roman"/>
          <w:sz w:val="24"/>
          <w:szCs w:val="24"/>
        </w:rPr>
        <w:t xml:space="preserve"> </w:t>
      </w:r>
      <w:r>
        <w:rPr>
          <w:rFonts w:ascii="Garamond" w:hAnsi="Garamond" w:cs="Times New Roman"/>
          <w:sz w:val="24"/>
          <w:szCs w:val="24"/>
        </w:rPr>
        <w:t>STT bodywork demarcates ‘evil’ and ‘good’ bodies in relation to cocoa trafficking, and as part of this process it attaches positive embodied characteristics of individual celebrities to ‘traffik free chocolate’ and anti-trafficking activities.  In short, the topos is a form of branding. Rosie Hearn writes,</w:t>
      </w:r>
    </w:p>
    <w:p w:rsidR="00472B3A" w:rsidRDefault="00472B3A" w:rsidP="004E7C68">
      <w:pPr>
        <w:spacing w:after="0" w:line="360" w:lineRule="auto"/>
        <w:jc w:val="both"/>
        <w:rPr>
          <w:rFonts w:ascii="Garamond" w:hAnsi="Garamond" w:cs="Times New Roman"/>
          <w:sz w:val="24"/>
          <w:szCs w:val="24"/>
        </w:rPr>
      </w:pPr>
    </w:p>
    <w:p w:rsidR="00472B3A" w:rsidRPr="00A07D19" w:rsidRDefault="00472B3A" w:rsidP="004E7C68">
      <w:pPr>
        <w:spacing w:after="0" w:line="360" w:lineRule="auto"/>
        <w:ind w:left="284" w:right="284"/>
        <w:jc w:val="both"/>
        <w:rPr>
          <w:rFonts w:ascii="Garamond" w:hAnsi="Garamond" w:cs="Times New Roman"/>
        </w:rPr>
      </w:pPr>
      <w:r w:rsidRPr="00A07D19">
        <w:rPr>
          <w:rFonts w:ascii="Garamond" w:hAnsi="Garamond" w:cs="Times New Roman"/>
        </w:rPr>
        <w:t>A brand no longer refers to a simple commodity but to an entire ‘virtual context’ for consumption; it ‘stands for a speciﬁc way of using the object, a propertied form of life to be realized in consumption’</w:t>
      </w:r>
      <w:r>
        <w:rPr>
          <w:rFonts w:ascii="Garamond" w:hAnsi="Garamond" w:cs="Times New Roman"/>
        </w:rPr>
        <w:t>...</w:t>
      </w:r>
      <w:r w:rsidRPr="00F675C9">
        <w:t xml:space="preserve"> </w:t>
      </w:r>
      <w:r w:rsidRPr="00F675C9">
        <w:rPr>
          <w:rFonts w:ascii="Garamond" w:hAnsi="Garamond" w:cs="Times New Roman"/>
        </w:rPr>
        <w:t>In a world marked by</w:t>
      </w:r>
      <w:r>
        <w:rPr>
          <w:rFonts w:ascii="Garamond" w:hAnsi="Garamond" w:cs="Times New Roman"/>
        </w:rPr>
        <w:t xml:space="preserve"> </w:t>
      </w:r>
      <w:r w:rsidRPr="00F675C9">
        <w:rPr>
          <w:rFonts w:ascii="Garamond" w:hAnsi="Garamond" w:cs="Times New Roman"/>
        </w:rPr>
        <w:t>increasing ﬂexibility and ﬂux, branding works to ﬁx, albeit temporarily and</w:t>
      </w:r>
      <w:r>
        <w:rPr>
          <w:rFonts w:ascii="Garamond" w:hAnsi="Garamond" w:cs="Times New Roman"/>
        </w:rPr>
        <w:t xml:space="preserve"> </w:t>
      </w:r>
      <w:r w:rsidRPr="00F675C9">
        <w:rPr>
          <w:rFonts w:ascii="Garamond" w:hAnsi="Garamond" w:cs="Times New Roman"/>
        </w:rPr>
        <w:t>tentatively,</w:t>
      </w:r>
      <w:r>
        <w:rPr>
          <w:rFonts w:ascii="Garamond" w:hAnsi="Garamond" w:cs="Times New Roman"/>
        </w:rPr>
        <w:t xml:space="preserve"> </w:t>
      </w:r>
      <w:r w:rsidRPr="00F675C9">
        <w:rPr>
          <w:rFonts w:ascii="Garamond" w:hAnsi="Garamond" w:cs="Times New Roman"/>
        </w:rPr>
        <w:t>cultural meanings around consumption,</w:t>
      </w:r>
      <w:r>
        <w:rPr>
          <w:rFonts w:ascii="Garamond" w:hAnsi="Garamond" w:cs="Times New Roman"/>
        </w:rPr>
        <w:t xml:space="preserve"> producing aestheticiz</w:t>
      </w:r>
      <w:r w:rsidRPr="00F675C9">
        <w:rPr>
          <w:rFonts w:ascii="Garamond" w:hAnsi="Garamond" w:cs="Times New Roman"/>
        </w:rPr>
        <w:t>ed</w:t>
      </w:r>
      <w:r>
        <w:rPr>
          <w:rFonts w:ascii="Garamond" w:hAnsi="Garamond" w:cs="Times New Roman"/>
        </w:rPr>
        <w:t xml:space="preserve"> </w:t>
      </w:r>
      <w:r w:rsidRPr="00F675C9">
        <w:rPr>
          <w:rFonts w:ascii="Garamond" w:hAnsi="Garamond" w:cs="Times New Roman"/>
        </w:rPr>
        <w:t>modes of justiﬁcation for life under capita</w:t>
      </w:r>
      <w:r>
        <w:rPr>
          <w:rFonts w:ascii="Garamond" w:hAnsi="Garamond" w:cs="Times New Roman"/>
        </w:rPr>
        <w:t>lism. (Hearn, 2008: 199)</w:t>
      </w:r>
      <w:r w:rsidRPr="001013FC">
        <w:rPr>
          <w:rStyle w:val="FootnoteReference"/>
          <w:rFonts w:ascii="Garamond" w:hAnsi="Garamond"/>
          <w:sz w:val="24"/>
          <w:szCs w:val="24"/>
        </w:rPr>
        <w:t xml:space="preserve"> </w:t>
      </w:r>
      <w:r>
        <w:rPr>
          <w:rStyle w:val="FootnoteReference"/>
          <w:rFonts w:ascii="Garamond" w:hAnsi="Garamond"/>
          <w:sz w:val="24"/>
          <w:szCs w:val="24"/>
        </w:rPr>
        <w:footnoteReference w:id="121"/>
      </w:r>
    </w:p>
    <w:p w:rsidR="004E7C68" w:rsidRDefault="00472B3A" w:rsidP="004E7C68">
      <w:pPr>
        <w:spacing w:after="0" w:line="360" w:lineRule="auto"/>
        <w:jc w:val="both"/>
        <w:rPr>
          <w:rFonts w:ascii="Garamond" w:hAnsi="Garamond" w:cs="Times New Roman"/>
          <w:sz w:val="24"/>
          <w:szCs w:val="24"/>
        </w:rPr>
      </w:pPr>
      <w:r>
        <w:rPr>
          <w:rFonts w:ascii="Garamond" w:hAnsi="Garamond" w:cs="Times New Roman"/>
          <w:sz w:val="24"/>
          <w:szCs w:val="24"/>
        </w:rPr>
        <w:lastRenderedPageBreak/>
        <w:t xml:space="preserve">The child-consumer chocolate topos offers bite-sized anti-trafficking meanings, emotional set-pieces, and frameworks for activism that can be fitted into the profiles of ‘ethical selves’ across material and virtual networks. These reductive emotional packages fix cultural meanings around fair trade, STT itself and anti-trafficking practices. </w:t>
      </w:r>
    </w:p>
    <w:p w:rsidR="00472B3A" w:rsidRDefault="00472B3A" w:rsidP="004E7C68">
      <w:pPr>
        <w:spacing w:after="0" w:line="360" w:lineRule="auto"/>
        <w:jc w:val="both"/>
        <w:rPr>
          <w:rFonts w:ascii="Garamond" w:hAnsi="Garamond" w:cs="Times New Roman"/>
          <w:sz w:val="24"/>
          <w:szCs w:val="24"/>
        </w:rPr>
      </w:pPr>
    </w:p>
    <w:p w:rsidR="004E7C68" w:rsidRDefault="00472B3A" w:rsidP="004E7C68">
      <w:pPr>
        <w:spacing w:after="0" w:line="360" w:lineRule="auto"/>
        <w:jc w:val="both"/>
        <w:rPr>
          <w:rFonts w:ascii="Garamond" w:hAnsi="Garamond" w:cs="Times New Roman"/>
          <w:sz w:val="24"/>
          <w:szCs w:val="24"/>
        </w:rPr>
      </w:pPr>
      <w:r>
        <w:rPr>
          <w:rFonts w:ascii="Garamond" w:hAnsi="Garamond" w:cs="Times New Roman"/>
          <w:sz w:val="24"/>
          <w:szCs w:val="24"/>
        </w:rPr>
        <w:t>Celebrities add ethical value to their branded selves through association with STT, and STT benefit from the cultural shorthand of celebrity, thereby creating new and attractive associations for anti-trafficking and the sense of ‘distant intimacies’</w:t>
      </w:r>
      <w:r>
        <w:rPr>
          <w:rStyle w:val="FootnoteReference"/>
          <w:rFonts w:ascii="Garamond" w:hAnsi="Garamond"/>
          <w:sz w:val="24"/>
          <w:szCs w:val="24"/>
        </w:rPr>
        <w:footnoteReference w:id="122"/>
      </w:r>
      <w:r>
        <w:rPr>
          <w:rFonts w:ascii="Garamond" w:hAnsi="Garamond" w:cs="Times New Roman"/>
          <w:sz w:val="24"/>
          <w:szCs w:val="24"/>
        </w:rPr>
        <w:t xml:space="preserve"> or what Thrift (2010) terms as 'extimacy'</w:t>
      </w:r>
      <w:r>
        <w:rPr>
          <w:rStyle w:val="FootnoteReference"/>
          <w:rFonts w:ascii="Garamond" w:hAnsi="Garamond"/>
          <w:sz w:val="24"/>
          <w:szCs w:val="24"/>
        </w:rPr>
        <w:footnoteReference w:id="123"/>
      </w:r>
      <w:r>
        <w:rPr>
          <w:rFonts w:ascii="Garamond" w:hAnsi="Garamond" w:cs="Times New Roman"/>
          <w:sz w:val="24"/>
          <w:szCs w:val="24"/>
        </w:rPr>
        <w:t xml:space="preserve"> with celebrities for potential anti-trafficking consumers.</w:t>
      </w:r>
      <w:r>
        <w:rPr>
          <w:rStyle w:val="FootnoteReference"/>
          <w:rFonts w:ascii="Garamond" w:hAnsi="Garamond"/>
          <w:sz w:val="24"/>
          <w:szCs w:val="24"/>
        </w:rPr>
        <w:footnoteReference w:id="124"/>
      </w:r>
      <w:r>
        <w:rPr>
          <w:rFonts w:ascii="Garamond" w:hAnsi="Garamond" w:cs="Times New Roman"/>
          <w:sz w:val="24"/>
          <w:szCs w:val="24"/>
        </w:rPr>
        <w:t xml:space="preserve"> Through jet-streaming songs and messages on anti-trafficking in the their work, musicians such as Natasha and Daniel Bedingfield and Youssou N’Dour offer new gateways for STT to recruit support and embed anti-trafficking as part of the spectacle of live performance during gigs and music festivals. The imperative to purchase ‘Traffik Free’ chocolate is strategically mobilized across everyday activities and routines in line with the mainstreaming of fair trade (Barnett et </w:t>
      </w:r>
      <w:r w:rsidR="004E7C68">
        <w:rPr>
          <w:rFonts w:ascii="Garamond" w:hAnsi="Garamond" w:cs="Times New Roman"/>
          <w:sz w:val="24"/>
          <w:szCs w:val="24"/>
        </w:rPr>
        <w:t xml:space="preserve">al., 2011). </w:t>
      </w:r>
    </w:p>
    <w:p w:rsidR="004E7C68" w:rsidRDefault="004E7C68" w:rsidP="004E7C68">
      <w:pPr>
        <w:spacing w:after="0" w:line="360" w:lineRule="auto"/>
        <w:jc w:val="both"/>
        <w:rPr>
          <w:rFonts w:ascii="Garamond" w:hAnsi="Garamond" w:cs="Times New Roman"/>
          <w:sz w:val="24"/>
          <w:szCs w:val="24"/>
        </w:rPr>
      </w:pPr>
    </w:p>
    <w:p w:rsidR="004E7C68" w:rsidRDefault="004E7C68" w:rsidP="004E7C68">
      <w:pPr>
        <w:spacing w:after="0" w:line="360" w:lineRule="auto"/>
        <w:jc w:val="both"/>
        <w:rPr>
          <w:rFonts w:ascii="Garamond" w:hAnsi="Garamond" w:cs="Times New Roman"/>
          <w:sz w:val="24"/>
          <w:szCs w:val="24"/>
        </w:rPr>
      </w:pPr>
      <w:r>
        <w:rPr>
          <w:rFonts w:ascii="Garamond" w:hAnsi="Garamond" w:cs="Times New Roman"/>
          <w:sz w:val="24"/>
          <w:szCs w:val="24"/>
        </w:rPr>
        <w:t>STT’s logo is a</w:t>
      </w:r>
      <w:r w:rsidRPr="00E527A3">
        <w:rPr>
          <w:rFonts w:ascii="Garamond" w:hAnsi="Garamond" w:cs="Times New Roman"/>
          <w:sz w:val="24"/>
          <w:szCs w:val="24"/>
        </w:rPr>
        <w:t xml:space="preserve"> mortise key </w:t>
      </w:r>
      <w:r>
        <w:rPr>
          <w:rFonts w:ascii="Garamond" w:hAnsi="Garamond" w:cs="Times New Roman"/>
          <w:sz w:val="24"/>
          <w:szCs w:val="24"/>
        </w:rPr>
        <w:t>drawn onto a palm,</w:t>
      </w:r>
      <w:r w:rsidRPr="00E527A3">
        <w:rPr>
          <w:rFonts w:ascii="Garamond" w:hAnsi="Garamond" w:cs="Times New Roman"/>
          <w:sz w:val="24"/>
          <w:szCs w:val="24"/>
        </w:rPr>
        <w:t xml:space="preserve"> and </w:t>
      </w:r>
      <w:r>
        <w:rPr>
          <w:rFonts w:ascii="Garamond" w:hAnsi="Garamond" w:cs="Times New Roman"/>
          <w:sz w:val="24"/>
          <w:szCs w:val="24"/>
        </w:rPr>
        <w:t xml:space="preserve">is often accompanied by text </w:t>
      </w:r>
      <w:r w:rsidRPr="00E527A3">
        <w:rPr>
          <w:rFonts w:ascii="Garamond" w:hAnsi="Garamond" w:cs="Times New Roman"/>
          <w:sz w:val="24"/>
          <w:szCs w:val="24"/>
        </w:rPr>
        <w:t xml:space="preserve">borrowed from </w:t>
      </w:r>
      <w:r>
        <w:rPr>
          <w:rFonts w:ascii="Garamond" w:hAnsi="Garamond" w:cs="Times New Roman"/>
          <w:sz w:val="24"/>
          <w:szCs w:val="24"/>
        </w:rPr>
        <w:t>a quote attributed to Wilberforce</w:t>
      </w:r>
      <w:r w:rsidR="00682343">
        <w:rPr>
          <w:rFonts w:ascii="Garamond" w:hAnsi="Garamond" w:cs="Times New Roman"/>
          <w:sz w:val="24"/>
          <w:szCs w:val="24"/>
        </w:rPr>
        <w:t xml:space="preserve"> – </w:t>
      </w:r>
      <w:r w:rsidRPr="00E527A3">
        <w:rPr>
          <w:rFonts w:ascii="Garamond" w:hAnsi="Garamond" w:cs="Times New Roman"/>
          <w:sz w:val="24"/>
          <w:szCs w:val="24"/>
        </w:rPr>
        <w:t>“end slavery, turn th</w:t>
      </w:r>
      <w:r>
        <w:rPr>
          <w:rFonts w:ascii="Garamond" w:hAnsi="Garamond" w:cs="Times New Roman"/>
          <w:sz w:val="24"/>
          <w:szCs w:val="24"/>
        </w:rPr>
        <w:t xml:space="preserve">e key, free the slaves”. The logo itself performs activist bodywork. The mortise key as corporeal inscription conveys liberty and freedom, an inversion of the branded meanings used by slaveholders to mark their proprietorship over human capital. Branding, Lisa Moor explains, </w:t>
      </w:r>
    </w:p>
    <w:p w:rsidR="004E7C68" w:rsidRPr="00AA3F08" w:rsidRDefault="004E7C68" w:rsidP="004E7C68">
      <w:pPr>
        <w:spacing w:after="0" w:line="360" w:lineRule="auto"/>
        <w:jc w:val="both"/>
        <w:rPr>
          <w:rFonts w:ascii="Garamond" w:hAnsi="Garamond" w:cs="Times New Roman"/>
          <w:sz w:val="24"/>
          <w:szCs w:val="24"/>
        </w:rPr>
      </w:pPr>
      <w:r>
        <w:rPr>
          <w:rFonts w:ascii="Garamond" w:hAnsi="Garamond" w:cs="Times New Roman"/>
          <w:sz w:val="24"/>
          <w:szCs w:val="24"/>
        </w:rPr>
        <w:t xml:space="preserve"> </w:t>
      </w:r>
    </w:p>
    <w:p w:rsidR="004E7C68" w:rsidRPr="00F20DA8" w:rsidRDefault="004E7C68" w:rsidP="004E7C68">
      <w:pPr>
        <w:autoSpaceDE w:val="0"/>
        <w:autoSpaceDN w:val="0"/>
        <w:adjustRightInd w:val="0"/>
        <w:spacing w:after="0" w:line="360" w:lineRule="auto"/>
        <w:ind w:left="284" w:right="284"/>
        <w:jc w:val="both"/>
        <w:rPr>
          <w:rFonts w:ascii="Garamond" w:hAnsi="Garamond" w:cs="Georgia"/>
        </w:rPr>
      </w:pPr>
      <w:r w:rsidRPr="00F20DA8">
        <w:rPr>
          <w:rFonts w:ascii="Garamond" w:hAnsi="Garamond" w:cs="Georgia"/>
        </w:rPr>
        <w:t xml:space="preserve">has been a way of marking a person, animal or thing to indicate that they were someone’s property, and at the same time as a way of using the surface of an object or body to make visible a supposedly ‘inner’ quality of that person or thing. In the Americas and the </w:t>
      </w:r>
      <w:r w:rsidRPr="00F20DA8">
        <w:rPr>
          <w:rFonts w:ascii="Garamond" w:hAnsi="Garamond" w:cs="Georgia"/>
        </w:rPr>
        <w:lastRenderedPageBreak/>
        <w:t>Caribbean, branding was routinely used as a means of identifying slaves until the late eighteenth century, and continued after this as a way of marking and punish</w:t>
      </w:r>
      <w:r>
        <w:rPr>
          <w:rFonts w:ascii="Garamond" w:hAnsi="Garamond" w:cs="Georgia"/>
        </w:rPr>
        <w:t>ing runaways and insubordinates. (Moor, 2005: 2)</w:t>
      </w:r>
    </w:p>
    <w:p w:rsidR="004E7C68" w:rsidRPr="00F20DA8" w:rsidRDefault="004E7C68" w:rsidP="004E7C68">
      <w:pPr>
        <w:autoSpaceDE w:val="0"/>
        <w:autoSpaceDN w:val="0"/>
        <w:adjustRightInd w:val="0"/>
        <w:spacing w:after="0" w:line="360" w:lineRule="auto"/>
        <w:ind w:left="284" w:right="284"/>
        <w:jc w:val="both"/>
        <w:rPr>
          <w:rFonts w:ascii="Garamond" w:hAnsi="Garamond" w:cs="Georgia"/>
        </w:rPr>
      </w:pPr>
    </w:p>
    <w:p w:rsidR="004E7C68" w:rsidRDefault="004E7C68" w:rsidP="004E7C68">
      <w:pPr>
        <w:spacing w:after="0" w:line="360" w:lineRule="auto"/>
        <w:jc w:val="both"/>
        <w:rPr>
          <w:rFonts w:ascii="Garamond" w:hAnsi="Garamond" w:cs="Times New Roman"/>
          <w:sz w:val="24"/>
          <w:szCs w:val="24"/>
        </w:rPr>
      </w:pPr>
      <w:r>
        <w:rPr>
          <w:rFonts w:ascii="Garamond" w:hAnsi="Garamond" w:cs="Times New Roman"/>
          <w:sz w:val="24"/>
          <w:szCs w:val="24"/>
        </w:rPr>
        <w:t xml:space="preserve">Through photographs and videos that display celebrities with their branded palms facing towards the camera, STT fix a series of aesthetically powerful displays of solidarity between a range of political and cultural luminaries and imagined trafficked children. The branding of celebrity palms with the mortise key is a visually arresting trick that works to persuade the viewer that the branding itself is a guarantee of the interiority of STT’s ethics and values as part of the specific public persona of the designated celebrity. This sense of authenticity is strengthened by the posturing of the upturned palm to symbolize submission, honesty and transparency. In 2007 STT launched an inaugural short video on YouTube </w:t>
      </w:r>
      <w:r w:rsidR="00DC54AF">
        <w:rPr>
          <w:rFonts w:ascii="Garamond" w:hAnsi="Garamond" w:cs="Times New Roman"/>
          <w:sz w:val="24"/>
          <w:szCs w:val="24"/>
        </w:rPr>
        <w:t>presented by Daniel Bedingfield:</w:t>
      </w:r>
    </w:p>
    <w:p w:rsidR="004E7C68" w:rsidRDefault="004E7C68" w:rsidP="004E7C68">
      <w:pPr>
        <w:spacing w:after="0" w:line="360" w:lineRule="auto"/>
        <w:jc w:val="both"/>
        <w:rPr>
          <w:rFonts w:ascii="Garamond" w:hAnsi="Garamond" w:cs="Times New Roman"/>
          <w:sz w:val="24"/>
          <w:szCs w:val="24"/>
        </w:rPr>
      </w:pPr>
    </w:p>
    <w:p w:rsidR="00DC54AF" w:rsidRPr="00CA7EC5" w:rsidRDefault="004E7C68" w:rsidP="004E7C68">
      <w:pPr>
        <w:spacing w:after="0" w:line="360" w:lineRule="auto"/>
        <w:ind w:left="284" w:right="284"/>
        <w:jc w:val="both"/>
        <w:rPr>
          <w:rFonts w:ascii="Garamond" w:hAnsi="Garamond" w:cs="Times New Roman"/>
        </w:rPr>
      </w:pPr>
      <w:r w:rsidRPr="00CA7EC5">
        <w:rPr>
          <w:rFonts w:ascii="Garamond" w:hAnsi="Garamond" w:cs="Times New Roman"/>
        </w:rPr>
        <w:t>Two hundred years ago William Wilberforce was one of those who realized the true horror of the slave trade. It was right under his nose. It was the backbone of the British economy. It was wrong, and it was growing. Driven by his Christian faith, his convictions compelled him to act. And the same spirit that would whisper in his ear, 'end slavery, turn the key, free the slaves' is the same spirit that whispers in our ear today...We have the keys for unlocking their dreams for freedom. We must stop the traffic. (Bedingfield, 2006: 1:13-1:34)</w:t>
      </w:r>
    </w:p>
    <w:p w:rsidR="004E7C68" w:rsidRDefault="004E7C68" w:rsidP="004E7C68">
      <w:pPr>
        <w:spacing w:after="0" w:line="360" w:lineRule="auto"/>
        <w:ind w:left="284" w:right="284"/>
        <w:jc w:val="both"/>
        <w:rPr>
          <w:rFonts w:ascii="Perpetua" w:hAnsi="Perpetua" w:cs="Times New Roman"/>
        </w:rPr>
      </w:pPr>
    </w:p>
    <w:p w:rsidR="00DC54AF" w:rsidRDefault="004E7C68" w:rsidP="004E7C68">
      <w:pPr>
        <w:spacing w:after="0" w:line="360" w:lineRule="auto"/>
        <w:jc w:val="both"/>
        <w:rPr>
          <w:rFonts w:ascii="Garamond" w:hAnsi="Garamond" w:cs="Times New Roman"/>
          <w:sz w:val="24"/>
          <w:szCs w:val="24"/>
        </w:rPr>
      </w:pPr>
      <w:r w:rsidRPr="00CC3E39">
        <w:rPr>
          <w:rFonts w:ascii="Garamond" w:hAnsi="Garamond" w:cs="Times New Roman"/>
          <w:sz w:val="24"/>
          <w:szCs w:val="24"/>
        </w:rPr>
        <w:t>STT's teleological moral philosophy is entwined with Wilberforcian branding and embodied through Bedingfield to give STT's mission statement a compelling</w:t>
      </w:r>
      <w:r>
        <w:rPr>
          <w:rFonts w:ascii="Garamond" w:hAnsi="Garamond" w:cs="Times New Roman"/>
          <w:sz w:val="24"/>
          <w:szCs w:val="24"/>
        </w:rPr>
        <w:t xml:space="preserve"> sense of allure and extimacy. The statement is full of conviction and it brings both trafficking and its solutions proximate.  </w:t>
      </w:r>
      <w:r w:rsidRPr="00CC3E39">
        <w:rPr>
          <w:rFonts w:ascii="Garamond" w:hAnsi="Garamond" w:cs="Times New Roman"/>
          <w:sz w:val="24"/>
          <w:szCs w:val="24"/>
        </w:rPr>
        <w:t xml:space="preserve"> </w:t>
      </w:r>
    </w:p>
    <w:p w:rsidR="00DC54AF" w:rsidRDefault="00DC54AF" w:rsidP="004E7C68">
      <w:pPr>
        <w:spacing w:after="0" w:line="360" w:lineRule="auto"/>
        <w:jc w:val="both"/>
        <w:rPr>
          <w:rFonts w:ascii="Garamond" w:hAnsi="Garamond" w:cs="Times New Roman"/>
          <w:sz w:val="24"/>
          <w:szCs w:val="24"/>
        </w:rPr>
      </w:pPr>
    </w:p>
    <w:p w:rsidR="00DC54AF" w:rsidRDefault="00DC54AF" w:rsidP="00F74C95">
      <w:pPr>
        <w:spacing w:line="360" w:lineRule="auto"/>
        <w:jc w:val="center"/>
        <w:rPr>
          <w:rFonts w:ascii="AdvGulliv-R" w:hAnsi="AdvGulliv-R" w:cs="AdvGulliv-R"/>
          <w:color w:val="000066"/>
          <w:sz w:val="16"/>
          <w:szCs w:val="16"/>
        </w:rPr>
      </w:pPr>
      <w:r>
        <w:rPr>
          <w:noProof/>
          <w:lang w:eastAsia="en-GB"/>
        </w:rPr>
        <w:drawing>
          <wp:inline distT="0" distB="0" distL="0" distR="0">
            <wp:extent cx="5238750" cy="1231868"/>
            <wp:effectExtent l="25400" t="0" r="0" b="0"/>
            <wp:docPr id="27" name="Picture 98" descr="http://www.su.nottingham.ac.uk/pageassets/getinvolved/society/stopthetraffik/biglogoon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su.nottingham.ac.uk/pageassets/getinvolved/society/stopthetraffik/biglogoonblack.jpg"/>
                    <pic:cNvPicPr>
                      <a:picLocks noChangeAspect="1" noChangeArrowheads="1"/>
                    </pic:cNvPicPr>
                  </pic:nvPicPr>
                  <pic:blipFill>
                    <a:blip r:embed="rId82" cstate="print"/>
                    <a:srcRect/>
                    <a:stretch>
                      <a:fillRect/>
                    </a:stretch>
                  </pic:blipFill>
                  <pic:spPr bwMode="auto">
                    <a:xfrm>
                      <a:off x="0" y="0"/>
                      <a:ext cx="5238750" cy="1231868"/>
                    </a:xfrm>
                    <a:prstGeom prst="rect">
                      <a:avLst/>
                    </a:prstGeom>
                    <a:noFill/>
                    <a:ln w="9525">
                      <a:noFill/>
                      <a:miter lim="800000"/>
                      <a:headEnd/>
                      <a:tailEnd/>
                    </a:ln>
                  </pic:spPr>
                </pic:pic>
              </a:graphicData>
            </a:graphic>
          </wp:inline>
        </w:drawing>
      </w:r>
    </w:p>
    <w:p w:rsidR="003E091C" w:rsidRDefault="00DC54AF" w:rsidP="00DC54AF">
      <w:pPr>
        <w:pStyle w:val="Caption"/>
        <w:rPr>
          <w:rFonts w:ascii="Perpetua" w:hAnsi="Perpetua" w:cs="Times New Roman"/>
          <w:b w:val="0"/>
          <w:color w:val="auto"/>
          <w:sz w:val="20"/>
        </w:rPr>
      </w:pPr>
      <w:bookmarkStart w:id="571" w:name="_Toc263509046"/>
      <w:bookmarkStart w:id="572" w:name="_Toc263510833"/>
      <w:bookmarkStart w:id="573" w:name="_Toc244508249"/>
      <w:bookmarkStart w:id="574" w:name="_Toc244577311"/>
      <w:bookmarkStart w:id="575" w:name="_Toc263495780"/>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49</w:t>
      </w:r>
      <w:r w:rsidR="00DF2DF8" w:rsidRPr="003E091C">
        <w:rPr>
          <w:rFonts w:ascii="Perpetua" w:hAnsi="Perpetua"/>
          <w:b w:val="0"/>
          <w:color w:val="auto"/>
          <w:sz w:val="20"/>
        </w:rPr>
        <w:fldChar w:fldCharType="end"/>
      </w:r>
      <w:r w:rsidRPr="003E091C">
        <w:rPr>
          <w:rFonts w:ascii="Perpetua" w:hAnsi="Perpetua" w:cs="Times New Roman"/>
          <w:b w:val="0"/>
          <w:color w:val="auto"/>
          <w:sz w:val="20"/>
        </w:rPr>
        <w:t>:</w:t>
      </w:r>
      <w:r w:rsidRPr="00DC54AF">
        <w:rPr>
          <w:rFonts w:ascii="Perpetua" w:hAnsi="Perpetua" w:cs="Times New Roman"/>
          <w:b w:val="0"/>
          <w:color w:val="auto"/>
          <w:sz w:val="20"/>
        </w:rPr>
        <w:t xml:space="preserve"> Stop The Traffik (Nottingham University group header) with the STT hand mortise key logo.</w:t>
      </w:r>
      <w:bookmarkEnd w:id="571"/>
      <w:bookmarkEnd w:id="572"/>
      <w:r w:rsidRPr="00DC54AF">
        <w:rPr>
          <w:rFonts w:ascii="Perpetua" w:hAnsi="Perpetua" w:cs="Times New Roman"/>
          <w:b w:val="0"/>
          <w:color w:val="auto"/>
          <w:sz w:val="20"/>
        </w:rPr>
        <w:t xml:space="preserve"> </w:t>
      </w:r>
    </w:p>
    <w:p w:rsidR="00DC54AF" w:rsidRPr="003E091C" w:rsidRDefault="003E091C" w:rsidP="003E091C">
      <w:pPr>
        <w:rPr>
          <w:rFonts w:ascii="Perpetua" w:hAnsi="Perpetua"/>
          <w:sz w:val="20"/>
        </w:rPr>
      </w:pPr>
      <w:r>
        <w:rPr>
          <w:rFonts w:ascii="Perpetua" w:hAnsi="Perpetua"/>
          <w:sz w:val="20"/>
        </w:rPr>
        <w:t>Image sourced from Nottingham University website:</w:t>
      </w:r>
      <w:r w:rsidR="00DC54AF" w:rsidRPr="003E091C">
        <w:rPr>
          <w:rFonts w:ascii="Perpetua" w:hAnsi="Perpetua"/>
          <w:sz w:val="20"/>
        </w:rPr>
        <w:t xml:space="preserve"> http://www.su.nottingham.ac.uk/getinvolved/society/stopthetraffik/. (Accessed 12 June 2012)</w:t>
      </w:r>
      <w:bookmarkEnd w:id="573"/>
      <w:bookmarkEnd w:id="574"/>
      <w:bookmarkEnd w:id="575"/>
      <w:r w:rsidR="00DC54AF" w:rsidRPr="003E091C">
        <w:rPr>
          <w:rFonts w:ascii="Perpetua" w:hAnsi="Perpetua"/>
          <w:sz w:val="20"/>
        </w:rPr>
        <w:t xml:space="preserve"> </w:t>
      </w:r>
    </w:p>
    <w:p w:rsidR="004E7C68" w:rsidRPr="00CC3E39" w:rsidRDefault="004E7C68" w:rsidP="004E7C68">
      <w:pPr>
        <w:spacing w:after="0" w:line="360" w:lineRule="auto"/>
        <w:jc w:val="both"/>
        <w:rPr>
          <w:rFonts w:ascii="Garamond" w:hAnsi="Garamond" w:cs="Times New Roman"/>
          <w:sz w:val="24"/>
          <w:szCs w:val="24"/>
        </w:rPr>
      </w:pPr>
    </w:p>
    <w:p w:rsidR="004E7C68" w:rsidRDefault="004E7C68" w:rsidP="004E7C68">
      <w:pPr>
        <w:spacing w:after="0" w:line="360" w:lineRule="auto"/>
        <w:jc w:val="both"/>
        <w:rPr>
          <w:rFonts w:ascii="Garamond" w:hAnsi="Garamond" w:cs="Times New Roman"/>
          <w:sz w:val="24"/>
          <w:szCs w:val="24"/>
        </w:rPr>
      </w:pPr>
    </w:p>
    <w:p w:rsidR="00472B3A" w:rsidRDefault="00472B3A" w:rsidP="004E7C68">
      <w:pPr>
        <w:spacing w:after="0" w:line="360" w:lineRule="auto"/>
        <w:jc w:val="both"/>
        <w:rPr>
          <w:rFonts w:ascii="Garamond" w:hAnsi="Garamond" w:cs="Times New Roman"/>
          <w:sz w:val="24"/>
          <w:szCs w:val="24"/>
        </w:rPr>
      </w:pPr>
    </w:p>
    <w:p w:rsidR="00472B3A" w:rsidRPr="007A7D4D" w:rsidRDefault="00472B3A" w:rsidP="00472B3A">
      <w:pPr>
        <w:spacing w:line="360" w:lineRule="auto"/>
        <w:jc w:val="both"/>
        <w:rPr>
          <w:rFonts w:ascii="Garamond" w:hAnsi="Garamond"/>
          <w:shd w:val="clear" w:color="auto" w:fill="FFFFFF"/>
        </w:rPr>
      </w:pPr>
    </w:p>
    <w:p w:rsidR="00472B3A" w:rsidRDefault="00472B3A" w:rsidP="00DC54AF">
      <w:pPr>
        <w:pBdr>
          <w:top w:val="single" w:sz="4" w:space="1" w:color="auto"/>
          <w:left w:val="single" w:sz="4" w:space="4" w:color="auto"/>
          <w:bottom w:val="single" w:sz="4" w:space="1" w:color="auto"/>
          <w:right w:val="single" w:sz="4" w:space="4" w:color="auto"/>
        </w:pBdr>
        <w:spacing w:line="360" w:lineRule="auto"/>
        <w:jc w:val="center"/>
      </w:pPr>
      <w:r w:rsidRPr="005D086E">
        <w:rPr>
          <w:rFonts w:ascii="Garamond" w:hAnsi="Garamond" w:cs="Times New Roman"/>
          <w:noProof/>
          <w:sz w:val="24"/>
          <w:szCs w:val="24"/>
          <w:lang w:eastAsia="en-GB"/>
        </w:rPr>
        <w:drawing>
          <wp:inline distT="0" distB="0" distL="0" distR="0">
            <wp:extent cx="2400300" cy="1800225"/>
            <wp:effectExtent l="19050" t="0" r="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2400300" cy="1800225"/>
                    </a:xfrm>
                    <a:prstGeom prst="rect">
                      <a:avLst/>
                    </a:prstGeom>
                  </pic:spPr>
                </pic:pic>
              </a:graphicData>
            </a:graphic>
          </wp:inline>
        </w:drawing>
      </w:r>
      <w:r w:rsidRPr="006442E8">
        <w:t xml:space="preserve"> </w:t>
      </w:r>
      <w:r>
        <w:rPr>
          <w:noProof/>
          <w:lang w:eastAsia="en-GB"/>
        </w:rPr>
        <w:drawing>
          <wp:inline distT="0" distB="0" distL="0" distR="0">
            <wp:extent cx="1793848" cy="1793848"/>
            <wp:effectExtent l="19050" t="0" r="0" b="0"/>
            <wp:docPr id="43" name="Picture 39" descr="http://beta.stopthetraffik.org/files/celebrity_endorsements/ce_daniel_beding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beta.stopthetraffik.org/files/celebrity_endorsements/ce_daniel_bedingfield.jpg"/>
                    <pic:cNvPicPr>
                      <a:picLocks noChangeAspect="1" noChangeArrowheads="1"/>
                    </pic:cNvPicPr>
                  </pic:nvPicPr>
                  <pic:blipFill>
                    <a:blip r:embed="rId84" cstate="print"/>
                    <a:srcRect/>
                    <a:stretch>
                      <a:fillRect/>
                    </a:stretch>
                  </pic:blipFill>
                  <pic:spPr bwMode="auto">
                    <a:xfrm>
                      <a:off x="0" y="0"/>
                      <a:ext cx="1797343" cy="1797343"/>
                    </a:xfrm>
                    <a:prstGeom prst="rect">
                      <a:avLst/>
                    </a:prstGeom>
                    <a:noFill/>
                    <a:ln w="9525">
                      <a:noFill/>
                      <a:miter lim="800000"/>
                      <a:headEnd/>
                      <a:tailEnd/>
                    </a:ln>
                  </pic:spPr>
                </pic:pic>
              </a:graphicData>
            </a:graphic>
          </wp:inline>
        </w:drawing>
      </w:r>
    </w:p>
    <w:p w:rsidR="00472B3A" w:rsidRPr="005D086E" w:rsidRDefault="00472B3A" w:rsidP="00DC54AF">
      <w:pPr>
        <w:pBdr>
          <w:top w:val="single" w:sz="4" w:space="1" w:color="auto"/>
          <w:left w:val="single" w:sz="4" w:space="4" w:color="auto"/>
          <w:bottom w:val="single" w:sz="4" w:space="1" w:color="auto"/>
          <w:right w:val="single" w:sz="4" w:space="4" w:color="auto"/>
        </w:pBdr>
        <w:spacing w:line="360" w:lineRule="auto"/>
        <w:jc w:val="center"/>
        <w:rPr>
          <w:rFonts w:ascii="Garamond" w:hAnsi="Garamond" w:cs="Times New Roman"/>
          <w:sz w:val="24"/>
          <w:szCs w:val="24"/>
        </w:rPr>
      </w:pPr>
      <w:r>
        <w:rPr>
          <w:noProof/>
          <w:lang w:eastAsia="en-GB"/>
        </w:rPr>
        <w:drawing>
          <wp:inline distT="0" distB="0" distL="0" distR="0">
            <wp:extent cx="1431290" cy="1431290"/>
            <wp:effectExtent l="19050" t="0" r="0" b="0"/>
            <wp:docPr id="44" name="Picture 42" descr="http://www.stopthetraffik.org/timthumb.php?w=150&amp;height=150&amp;zc=2&amp;src=/files/celebrity_endorsements/ce_boris_joh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topthetraffik.org/timthumb.php?w=150&amp;height=150&amp;zc=2&amp;src=/files/celebrity_endorsements/ce_boris_johnson.jpg"/>
                    <pic:cNvPicPr>
                      <a:picLocks noChangeAspect="1" noChangeArrowheads="1"/>
                    </pic:cNvPicPr>
                  </pic:nvPicPr>
                  <pic:blipFill>
                    <a:blip r:embed="rId85" cstate="print"/>
                    <a:srcRect/>
                    <a:stretch>
                      <a:fillRect/>
                    </a:stretch>
                  </pic:blipFill>
                  <pic:spPr bwMode="auto">
                    <a:xfrm>
                      <a:off x="0" y="0"/>
                      <a:ext cx="1431290" cy="1431290"/>
                    </a:xfrm>
                    <a:prstGeom prst="rect">
                      <a:avLst/>
                    </a:prstGeom>
                    <a:noFill/>
                    <a:ln w="9525">
                      <a:noFill/>
                      <a:miter lim="800000"/>
                      <a:headEnd/>
                      <a:tailEnd/>
                    </a:ln>
                  </pic:spPr>
                </pic:pic>
              </a:graphicData>
            </a:graphic>
          </wp:inline>
        </w:drawing>
      </w:r>
      <w:r w:rsidRPr="006442E8">
        <w:t xml:space="preserve"> </w:t>
      </w:r>
      <w:r>
        <w:rPr>
          <w:noProof/>
          <w:lang w:eastAsia="en-GB"/>
        </w:rPr>
        <w:drawing>
          <wp:inline distT="0" distB="0" distL="0" distR="0">
            <wp:extent cx="1420136" cy="1420136"/>
            <wp:effectExtent l="19050" t="0" r="8614" b="0"/>
            <wp:docPr id="45" name="Picture 45" descr="http://www.stopthetraffik.org/timthumb.php?w=186zc=3&amp;src=/files/celebrity_endorsements/ce_wilber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topthetraffik.org/timthumb.php?w=186zc=3&amp;src=/files/celebrity_endorsements/ce_wilberforces.jpg"/>
                    <pic:cNvPicPr>
                      <a:picLocks noChangeAspect="1" noChangeArrowheads="1"/>
                    </pic:cNvPicPr>
                  </pic:nvPicPr>
                  <pic:blipFill>
                    <a:blip r:embed="rId86" cstate="print"/>
                    <a:srcRect/>
                    <a:stretch>
                      <a:fillRect/>
                    </a:stretch>
                  </pic:blipFill>
                  <pic:spPr bwMode="auto">
                    <a:xfrm>
                      <a:off x="0" y="0"/>
                      <a:ext cx="1422484" cy="1422484"/>
                    </a:xfrm>
                    <a:prstGeom prst="rect">
                      <a:avLst/>
                    </a:prstGeom>
                    <a:noFill/>
                    <a:ln w="9525">
                      <a:noFill/>
                      <a:miter lim="800000"/>
                      <a:headEnd/>
                      <a:tailEnd/>
                    </a:ln>
                  </pic:spPr>
                </pic:pic>
              </a:graphicData>
            </a:graphic>
          </wp:inline>
        </w:drawing>
      </w:r>
      <w:r w:rsidRPr="006442E8">
        <w:t xml:space="preserve"> </w:t>
      </w:r>
      <w:r>
        <w:rPr>
          <w:noProof/>
          <w:lang w:eastAsia="en-GB"/>
        </w:rPr>
        <w:drawing>
          <wp:inline distT="0" distB="0" distL="0" distR="0">
            <wp:extent cx="1436039" cy="1436039"/>
            <wp:effectExtent l="19050" t="0" r="0" b="0"/>
            <wp:docPr id="48" name="Picture 48" descr="http://www.stopthetraffik.org/timthumb.php?w=186zc=3&amp;src=/files/celebrity_endorsements/ce_youssou_nd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stopthetraffik.org/timthumb.php?w=186zc=3&amp;src=/files/celebrity_endorsements/ce_youssou_ndour.jpg"/>
                    <pic:cNvPicPr>
                      <a:picLocks noChangeAspect="1" noChangeArrowheads="1"/>
                    </pic:cNvPicPr>
                  </pic:nvPicPr>
                  <pic:blipFill>
                    <a:blip r:embed="rId87" cstate="print"/>
                    <a:srcRect/>
                    <a:stretch>
                      <a:fillRect/>
                    </a:stretch>
                  </pic:blipFill>
                  <pic:spPr bwMode="auto">
                    <a:xfrm>
                      <a:off x="0" y="0"/>
                      <a:ext cx="1438413" cy="1438413"/>
                    </a:xfrm>
                    <a:prstGeom prst="rect">
                      <a:avLst/>
                    </a:prstGeom>
                    <a:noFill/>
                    <a:ln w="9525">
                      <a:noFill/>
                      <a:miter lim="800000"/>
                      <a:headEnd/>
                      <a:tailEnd/>
                    </a:ln>
                  </pic:spPr>
                </pic:pic>
              </a:graphicData>
            </a:graphic>
          </wp:inline>
        </w:drawing>
      </w:r>
    </w:p>
    <w:p w:rsidR="003E091C" w:rsidRDefault="00DC54AF" w:rsidP="00CA7EC5">
      <w:pPr>
        <w:pStyle w:val="Caption"/>
        <w:rPr>
          <w:rFonts w:ascii="Perpetua" w:hAnsi="Perpetua" w:cs="Times New Roman"/>
          <w:b w:val="0"/>
          <w:color w:val="auto"/>
          <w:sz w:val="20"/>
        </w:rPr>
      </w:pPr>
      <w:bookmarkStart w:id="576" w:name="_Toc263509047"/>
      <w:bookmarkStart w:id="577" w:name="_Toc263510834"/>
      <w:bookmarkStart w:id="578" w:name="_Toc244508250"/>
      <w:bookmarkStart w:id="579" w:name="_Toc244577312"/>
      <w:bookmarkStart w:id="580" w:name="_Toc263495781"/>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50</w:t>
      </w:r>
      <w:r w:rsidR="00DF2DF8" w:rsidRPr="003E091C">
        <w:rPr>
          <w:rFonts w:ascii="Perpetua" w:hAnsi="Perpetua"/>
          <w:b w:val="0"/>
          <w:color w:val="auto"/>
          <w:sz w:val="20"/>
        </w:rPr>
        <w:fldChar w:fldCharType="end"/>
      </w:r>
      <w:r w:rsidRPr="003E091C">
        <w:rPr>
          <w:rFonts w:ascii="Perpetua" w:hAnsi="Perpetua"/>
          <w:b w:val="0"/>
          <w:color w:val="auto"/>
          <w:sz w:val="20"/>
        </w:rPr>
        <w:t>:</w:t>
      </w:r>
      <w:r w:rsidRPr="00DC54AF">
        <w:rPr>
          <w:rFonts w:ascii="Perpetua" w:hAnsi="Perpetua"/>
          <w:b w:val="0"/>
          <w:color w:val="auto"/>
          <w:sz w:val="20"/>
        </w:rPr>
        <w:t xml:space="preserve"> </w:t>
      </w:r>
      <w:r w:rsidR="003E091C">
        <w:rPr>
          <w:rFonts w:ascii="Perpetua" w:hAnsi="Perpetua" w:cs="Times New Roman"/>
          <w:b w:val="0"/>
          <w:color w:val="auto"/>
          <w:sz w:val="20"/>
        </w:rPr>
        <w:t>Photographs of b</w:t>
      </w:r>
      <w:r w:rsidR="00472B3A" w:rsidRPr="00DC54AF">
        <w:rPr>
          <w:rFonts w:ascii="Perpetua" w:hAnsi="Perpetua" w:cs="Times New Roman"/>
          <w:b w:val="0"/>
          <w:color w:val="auto"/>
          <w:sz w:val="20"/>
        </w:rPr>
        <w:t xml:space="preserve">randing anti-trafficking through celebrity embodiments of the STT 'end slavery, turn </w:t>
      </w:r>
      <w:r>
        <w:rPr>
          <w:rFonts w:ascii="Perpetua" w:hAnsi="Perpetua" w:cs="Times New Roman"/>
          <w:b w:val="0"/>
          <w:color w:val="auto"/>
          <w:sz w:val="20"/>
        </w:rPr>
        <w:t>the key, free the slaves' logo.</w:t>
      </w:r>
      <w:bookmarkEnd w:id="576"/>
      <w:bookmarkEnd w:id="577"/>
      <w:r>
        <w:rPr>
          <w:rFonts w:ascii="Perpetua" w:hAnsi="Perpetua" w:cs="Times New Roman"/>
          <w:b w:val="0"/>
          <w:color w:val="auto"/>
          <w:sz w:val="20"/>
        </w:rPr>
        <w:t xml:space="preserve"> </w:t>
      </w:r>
    </w:p>
    <w:p w:rsidR="00CA7EC5" w:rsidRPr="003E091C" w:rsidRDefault="00472B3A" w:rsidP="003E091C">
      <w:pPr>
        <w:rPr>
          <w:rFonts w:ascii="Perpetua" w:hAnsi="Perpetua"/>
          <w:sz w:val="20"/>
        </w:rPr>
      </w:pPr>
      <w:r w:rsidRPr="003E091C">
        <w:rPr>
          <w:rFonts w:ascii="Perpetua" w:hAnsi="Perpetua"/>
          <w:sz w:val="20"/>
        </w:rPr>
        <w:t xml:space="preserve">From top left to bottom right with suggested shorthand embodied meanings in parentheses: lawyer Cheri Blair (juridical and national legitimacy) with STT founder Steve Chalke; singer Daniel Bedingfield (Christian mainstreaming, 'ethical' musician); London Mayor Boris Johnson (political legitimacy, 'big society'); relatives of William Wilberforce (abolitionist endorsement, historical legitimacy and the continuity of British activism), 'world music' celebrity and politician Youssou N'Dour (non-Western 'authenticity'). </w:t>
      </w:r>
      <w:r w:rsidR="00DC54AF" w:rsidRPr="003E091C">
        <w:rPr>
          <w:rFonts w:ascii="Perpetua" w:hAnsi="Perpetua"/>
          <w:sz w:val="20"/>
        </w:rPr>
        <w:t xml:space="preserve"> Images from </w:t>
      </w:r>
      <w:r w:rsidR="0027665A" w:rsidRPr="003E091C">
        <w:rPr>
          <w:rFonts w:ascii="Perpetua" w:hAnsi="Perpetua"/>
          <w:sz w:val="20"/>
        </w:rPr>
        <w:t xml:space="preserve">‘Celebrity Endorsements Gallery’ on </w:t>
      </w:r>
      <w:r w:rsidR="00DC54AF" w:rsidRPr="003E091C">
        <w:rPr>
          <w:rFonts w:ascii="Perpetua" w:hAnsi="Perpetua"/>
          <w:sz w:val="20"/>
        </w:rPr>
        <w:t>STT’S website</w:t>
      </w:r>
      <w:r w:rsidR="0027665A" w:rsidRPr="003E091C">
        <w:rPr>
          <w:rFonts w:ascii="Perpetua" w:hAnsi="Perpetua"/>
          <w:sz w:val="20"/>
        </w:rPr>
        <w:t>. Available at: http://www.stopthetraffik.org/new-zealand/gallery/7. (Accessed 5 March 2013)</w:t>
      </w:r>
      <w:bookmarkEnd w:id="578"/>
      <w:bookmarkEnd w:id="579"/>
      <w:bookmarkEnd w:id="580"/>
    </w:p>
    <w:p w:rsidR="00472B3A" w:rsidRPr="00CA7EC5" w:rsidRDefault="00472B3A" w:rsidP="00CA7EC5"/>
    <w:p w:rsidR="0027665A" w:rsidRDefault="00472B3A" w:rsidP="0027665A">
      <w:pPr>
        <w:spacing w:after="0" w:line="360" w:lineRule="auto"/>
        <w:rPr>
          <w:rFonts w:ascii="Garamond" w:hAnsi="Garamond" w:cs="Times New Roman"/>
          <w:b/>
          <w:i/>
          <w:szCs w:val="24"/>
        </w:rPr>
      </w:pPr>
      <w:r w:rsidRPr="003916ED">
        <w:rPr>
          <w:rFonts w:ascii="Garamond" w:hAnsi="Garamond" w:cs="Times New Roman"/>
          <w:b/>
          <w:i/>
          <w:szCs w:val="24"/>
        </w:rPr>
        <w:t>Displacing the ‘consumer’ through dispersed practices</w:t>
      </w:r>
    </w:p>
    <w:p w:rsidR="00472B3A" w:rsidRPr="003916ED" w:rsidRDefault="00472B3A" w:rsidP="0027665A">
      <w:pPr>
        <w:spacing w:after="0" w:line="360" w:lineRule="auto"/>
        <w:rPr>
          <w:rFonts w:ascii="Garamond" w:hAnsi="Garamond" w:cs="Times New Roman"/>
          <w:b/>
          <w:i/>
          <w:szCs w:val="24"/>
        </w:rPr>
      </w:pPr>
    </w:p>
    <w:p w:rsidR="0027665A" w:rsidRDefault="00472B3A" w:rsidP="0027665A">
      <w:pPr>
        <w:spacing w:after="0" w:line="360" w:lineRule="auto"/>
        <w:ind w:left="284" w:right="284"/>
        <w:jc w:val="both"/>
        <w:rPr>
          <w:rFonts w:ascii="Garamond" w:hAnsi="Garamond" w:cs="Times New Roman"/>
        </w:rPr>
      </w:pPr>
      <w:r w:rsidRPr="005D086E">
        <w:rPr>
          <w:rFonts w:ascii="Garamond" w:hAnsi="Garamond" w:cs="Times New Roman"/>
        </w:rPr>
        <w:t>When people are asked to justify their consumption behaviour they quickly turn to justifying their commitments and relationships. And in so doing, they rarely if ever talk about being a ‘consumer’; they talk instead about being a parent, a friend, a spouse, or a citizen,</w:t>
      </w:r>
      <w:r>
        <w:rPr>
          <w:rFonts w:ascii="Garamond" w:hAnsi="Garamond" w:cs="Times New Roman"/>
        </w:rPr>
        <w:t xml:space="preserve"> an employee, or a professional. (Barnett et</w:t>
      </w:r>
      <w:r w:rsidRPr="005D086E">
        <w:rPr>
          <w:rFonts w:ascii="Garamond" w:hAnsi="Garamond" w:cs="Times New Roman"/>
        </w:rPr>
        <w:t xml:space="preserve"> al., 2011: 130)</w:t>
      </w:r>
    </w:p>
    <w:p w:rsidR="00472B3A" w:rsidRPr="005D086E" w:rsidRDefault="00472B3A" w:rsidP="0027665A">
      <w:pPr>
        <w:spacing w:after="0" w:line="360" w:lineRule="auto"/>
        <w:ind w:left="284" w:right="284"/>
        <w:jc w:val="both"/>
        <w:rPr>
          <w:rFonts w:ascii="Garamond" w:hAnsi="Garamond" w:cs="Times New Roman"/>
          <w:sz w:val="24"/>
          <w:szCs w:val="24"/>
          <w:u w:val="single"/>
        </w:rPr>
      </w:pPr>
    </w:p>
    <w:p w:rsidR="001E4E8B" w:rsidRDefault="00472B3A" w:rsidP="0027665A">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As discussed at the beginning of the chapter, STT do not endorse boycotts of chocolate companies but instead pressurize the industry through community campaigns and consumer pressure at a grassroots level, and augment this with a series of partnerships </w:t>
      </w:r>
      <w:r w:rsidRPr="005D086E">
        <w:rPr>
          <w:rFonts w:ascii="Garamond" w:hAnsi="Garamond" w:cs="Times New Roman"/>
          <w:sz w:val="24"/>
          <w:szCs w:val="24"/>
        </w:rPr>
        <w:lastRenderedPageBreak/>
        <w:t xml:space="preserve">with FLO initiatives, NGOs and political organizations on a more global stage. STT work to commit chocolate grinders, branders and processors to yearly plans to introduce </w:t>
      </w:r>
      <w:r>
        <w:rPr>
          <w:rFonts w:ascii="Garamond" w:hAnsi="Garamond" w:cs="Times New Roman"/>
          <w:sz w:val="24"/>
          <w:szCs w:val="24"/>
        </w:rPr>
        <w:t>fair trade</w:t>
      </w:r>
      <w:r w:rsidRPr="005D086E">
        <w:rPr>
          <w:rFonts w:ascii="Garamond" w:hAnsi="Garamond" w:cs="Times New Roman"/>
          <w:sz w:val="24"/>
          <w:szCs w:val="24"/>
        </w:rPr>
        <w:t xml:space="preserve"> into their chocolate ranges (</w:t>
      </w:r>
      <w:r>
        <w:rPr>
          <w:rFonts w:ascii="Garamond" w:hAnsi="Garamond" w:cs="Times New Roman"/>
          <w:sz w:val="24"/>
          <w:szCs w:val="24"/>
        </w:rPr>
        <w:t xml:space="preserve">e.g. </w:t>
      </w:r>
      <w:r w:rsidRPr="005D086E">
        <w:rPr>
          <w:rFonts w:ascii="Garamond" w:hAnsi="Garamond" w:cs="Times New Roman"/>
          <w:sz w:val="24"/>
          <w:szCs w:val="24"/>
        </w:rPr>
        <w:t xml:space="preserve">Mars have promised STT that they will be entirely </w:t>
      </w:r>
      <w:r>
        <w:rPr>
          <w:rFonts w:ascii="Garamond" w:hAnsi="Garamond" w:cs="Times New Roman"/>
          <w:sz w:val="24"/>
          <w:szCs w:val="24"/>
        </w:rPr>
        <w:t>fair trade</w:t>
      </w:r>
      <w:r w:rsidRPr="005D086E">
        <w:rPr>
          <w:rFonts w:ascii="Garamond" w:hAnsi="Garamond" w:cs="Times New Roman"/>
          <w:sz w:val="24"/>
          <w:szCs w:val="24"/>
        </w:rPr>
        <w:t xml:space="preserve"> by 2020), and to integrate social and ‘ethical’ imperatives with assessments of chocolate quality (</w:t>
      </w:r>
      <w:r>
        <w:rPr>
          <w:rFonts w:ascii="Garamond" w:hAnsi="Garamond" w:cs="Times New Roman"/>
          <w:sz w:val="24"/>
          <w:szCs w:val="24"/>
        </w:rPr>
        <w:t>Cidell et</w:t>
      </w:r>
      <w:r w:rsidRPr="005D086E">
        <w:rPr>
          <w:rFonts w:ascii="Garamond" w:hAnsi="Garamond" w:cs="Times New Roman"/>
          <w:sz w:val="24"/>
          <w:szCs w:val="24"/>
        </w:rPr>
        <w:t xml:space="preserve"> al., 2006). As a global anti-trafficking coalition with strong links to the United Nations (where Steve Chalke is the special advisor on human trafficking), STT have developed a wide range of partnerships with government agencies, NGOs and law enforcement organizations:    </w:t>
      </w:r>
    </w:p>
    <w:p w:rsidR="00472B3A" w:rsidRPr="005D086E" w:rsidRDefault="00472B3A" w:rsidP="0027665A">
      <w:pPr>
        <w:spacing w:after="0" w:line="360" w:lineRule="auto"/>
        <w:jc w:val="both"/>
        <w:rPr>
          <w:rFonts w:ascii="Garamond" w:hAnsi="Garamond" w:cs="Times New Roman"/>
          <w:sz w:val="24"/>
          <w:szCs w:val="24"/>
        </w:rPr>
      </w:pPr>
    </w:p>
    <w:p w:rsidR="001E4E8B" w:rsidRDefault="00472B3A" w:rsidP="001E4E8B">
      <w:pPr>
        <w:spacing w:after="0" w:line="360" w:lineRule="auto"/>
        <w:ind w:left="284" w:right="284"/>
        <w:jc w:val="both"/>
        <w:rPr>
          <w:rFonts w:ascii="Garamond" w:eastAsia="Times New Roman" w:hAnsi="Garamond" w:cs="Times New Roman"/>
          <w:color w:val="000000"/>
          <w:shd w:val="clear" w:color="auto" w:fill="FFFFFF"/>
          <w:lang w:eastAsia="en-GB"/>
        </w:rPr>
      </w:pPr>
      <w:r w:rsidRPr="005D086E">
        <w:rPr>
          <w:rFonts w:ascii="Garamond" w:eastAsia="Times New Roman" w:hAnsi="Garamond" w:cs="Times New Roman"/>
          <w:color w:val="000000"/>
          <w:shd w:val="clear" w:color="auto" w:fill="FFFFFF"/>
          <w:lang w:eastAsia="en-GB"/>
        </w:rPr>
        <w:t>We have a very strong couple of global partnerships who do what we do not do! We have a partnership with SOCA</w:t>
      </w:r>
      <w:r>
        <w:rPr>
          <w:rFonts w:ascii="Garamond" w:eastAsia="Times New Roman" w:hAnsi="Garamond" w:cs="Times New Roman"/>
          <w:color w:val="000000"/>
          <w:shd w:val="clear" w:color="auto" w:fill="FFFFFF"/>
          <w:lang w:eastAsia="en-GB"/>
        </w:rPr>
        <w:t>,</w:t>
      </w:r>
      <w:r w:rsidRPr="005D086E">
        <w:rPr>
          <w:rFonts w:ascii="Garamond" w:eastAsia="Times New Roman" w:hAnsi="Garamond" w:cs="Times New Roman"/>
          <w:color w:val="000000"/>
          <w:shd w:val="clear" w:color="auto" w:fill="FFFFFF"/>
          <w:lang w:eastAsia="en-GB"/>
        </w:rPr>
        <w:t xml:space="preserve"> soon to be NCA</w:t>
      </w:r>
      <w:r>
        <w:rPr>
          <w:rFonts w:ascii="Garamond" w:eastAsia="Times New Roman" w:hAnsi="Garamond" w:cs="Times New Roman"/>
          <w:color w:val="000000"/>
          <w:shd w:val="clear" w:color="auto" w:fill="FFFFFF"/>
          <w:lang w:eastAsia="en-GB"/>
        </w:rPr>
        <w:t>,</w:t>
      </w:r>
      <w:r w:rsidRPr="005D086E">
        <w:rPr>
          <w:rFonts w:ascii="Garamond" w:eastAsia="Times New Roman" w:hAnsi="Garamond" w:cs="Times New Roman"/>
          <w:color w:val="000000"/>
          <w:shd w:val="clear" w:color="auto" w:fill="FFFFFF"/>
          <w:lang w:eastAsia="en-GB"/>
        </w:rPr>
        <w:t xml:space="preserve"> which gives us links to all enforcement groups e</w:t>
      </w:r>
      <w:r>
        <w:rPr>
          <w:rFonts w:ascii="Garamond" w:eastAsia="Times New Roman" w:hAnsi="Garamond" w:cs="Times New Roman"/>
          <w:color w:val="000000"/>
          <w:shd w:val="clear" w:color="auto" w:fill="FFFFFF"/>
          <w:lang w:eastAsia="en-GB"/>
        </w:rPr>
        <w:t>.</w:t>
      </w:r>
      <w:r w:rsidRPr="005D086E">
        <w:rPr>
          <w:rFonts w:ascii="Garamond" w:eastAsia="Times New Roman" w:hAnsi="Garamond" w:cs="Times New Roman"/>
          <w:color w:val="000000"/>
          <w:shd w:val="clear" w:color="auto" w:fill="FFFFFF"/>
          <w:lang w:eastAsia="en-GB"/>
        </w:rPr>
        <w:t>g</w:t>
      </w:r>
      <w:r>
        <w:rPr>
          <w:rFonts w:ascii="Garamond" w:eastAsia="Times New Roman" w:hAnsi="Garamond" w:cs="Times New Roman"/>
          <w:color w:val="000000"/>
          <w:shd w:val="clear" w:color="auto" w:fill="FFFFFF"/>
          <w:lang w:eastAsia="en-GB"/>
        </w:rPr>
        <w:t>.</w:t>
      </w:r>
      <w:r w:rsidRPr="005D086E">
        <w:rPr>
          <w:rFonts w:ascii="Garamond" w:eastAsia="Times New Roman" w:hAnsi="Garamond" w:cs="Times New Roman"/>
          <w:color w:val="000000"/>
          <w:shd w:val="clear" w:color="auto" w:fill="FFFFFF"/>
          <w:lang w:eastAsia="en-GB"/>
        </w:rPr>
        <w:t xml:space="preserve"> Interpol, Europol, FBI etc. The other is with UN GIFT</w:t>
      </w:r>
      <w:r>
        <w:rPr>
          <w:rFonts w:ascii="Garamond" w:eastAsia="Times New Roman" w:hAnsi="Garamond" w:cs="Times New Roman"/>
          <w:color w:val="000000"/>
          <w:shd w:val="clear" w:color="auto" w:fill="FFFFFF"/>
          <w:lang w:eastAsia="en-GB"/>
        </w:rPr>
        <w:t>,</w:t>
      </w:r>
      <w:r w:rsidRPr="005D086E">
        <w:rPr>
          <w:rFonts w:ascii="Garamond" w:eastAsia="Times New Roman" w:hAnsi="Garamond" w:cs="Times New Roman"/>
          <w:color w:val="000000"/>
          <w:shd w:val="clear" w:color="auto" w:fill="FFFFFF"/>
          <w:lang w:eastAsia="en-GB"/>
        </w:rPr>
        <w:t xml:space="preserve"> which is proving a great relationship with international governmental agencies as it is a multi U</w:t>
      </w:r>
      <w:r>
        <w:rPr>
          <w:rFonts w:ascii="Garamond" w:eastAsia="Times New Roman" w:hAnsi="Garamond" w:cs="Times New Roman"/>
          <w:color w:val="000000"/>
          <w:shd w:val="clear" w:color="auto" w:fill="FFFFFF"/>
          <w:lang w:eastAsia="en-GB"/>
        </w:rPr>
        <w:t>N agency group involving UNICEF.</w:t>
      </w:r>
      <w:r w:rsidRPr="005D086E">
        <w:rPr>
          <w:rFonts w:ascii="Garamond" w:eastAsia="Times New Roman" w:hAnsi="Garamond" w:cs="Times New Roman"/>
          <w:color w:val="000000"/>
          <w:shd w:val="clear" w:color="auto" w:fill="FFFFFF"/>
          <w:lang w:eastAsia="en-GB"/>
        </w:rPr>
        <w:t xml:space="preserve"> (Interview Dearnley, 2011)</w:t>
      </w:r>
    </w:p>
    <w:p w:rsidR="00472B3A" w:rsidRPr="005D086E" w:rsidRDefault="00472B3A" w:rsidP="001E4E8B">
      <w:pPr>
        <w:spacing w:after="0" w:line="360" w:lineRule="auto"/>
        <w:ind w:left="284" w:right="284"/>
        <w:jc w:val="both"/>
        <w:rPr>
          <w:rFonts w:ascii="Garamond" w:hAnsi="Garamond" w:cs="Times New Roman"/>
        </w:rPr>
      </w:pPr>
    </w:p>
    <w:p w:rsidR="001E4E8B" w:rsidRDefault="00472B3A" w:rsidP="001E4E8B">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As STT coalesce between a diverse range of actors, the success of their engagements with institutions, supra-national bodies and NGOs is dependent on their production of a clear, succinct and politically sanitized brand of anti-trafficking. The creation of simple narratives on trafficking combined with public displays of the globally dispersed activities, artwork and enthusiasm of child consumers of chocolate are key components of STT’s ‘voice’:  </w:t>
      </w:r>
    </w:p>
    <w:p w:rsidR="00472B3A" w:rsidRPr="005D086E" w:rsidRDefault="00472B3A" w:rsidP="001E4E8B">
      <w:pPr>
        <w:spacing w:after="0" w:line="360" w:lineRule="auto"/>
        <w:jc w:val="both"/>
        <w:rPr>
          <w:rFonts w:ascii="Garamond" w:hAnsi="Garamond" w:cs="Times New Roman"/>
          <w:sz w:val="24"/>
          <w:szCs w:val="24"/>
        </w:rPr>
      </w:pPr>
    </w:p>
    <w:p w:rsidR="001E4E8B" w:rsidRDefault="00472B3A" w:rsidP="001E4E8B">
      <w:pPr>
        <w:spacing w:after="0" w:line="360" w:lineRule="auto"/>
        <w:ind w:left="284" w:right="284"/>
        <w:jc w:val="both"/>
        <w:rPr>
          <w:rFonts w:ascii="Garamond" w:eastAsia="Times New Roman" w:hAnsi="Garamond" w:cs="Times New Roman"/>
          <w:color w:val="000000"/>
          <w:shd w:val="clear" w:color="auto" w:fill="FFFFFF"/>
          <w:lang w:eastAsia="en-GB"/>
        </w:rPr>
      </w:pPr>
      <w:r w:rsidRPr="005D086E">
        <w:rPr>
          <w:rFonts w:ascii="Garamond" w:eastAsia="Times New Roman" w:hAnsi="Garamond" w:cs="Times New Roman"/>
          <w:color w:val="000000"/>
          <w:shd w:val="clear" w:color="auto" w:fill="FFFFFF"/>
          <w:lang w:eastAsia="en-GB"/>
        </w:rPr>
        <w:t>Empowering communities is what we seek to do but it starts with finding cr</w:t>
      </w:r>
      <w:r>
        <w:rPr>
          <w:rFonts w:ascii="Garamond" w:eastAsia="Times New Roman" w:hAnsi="Garamond" w:cs="Times New Roman"/>
          <w:color w:val="000000"/>
          <w:shd w:val="clear" w:color="auto" w:fill="FFFFFF"/>
          <w:lang w:eastAsia="en-GB"/>
        </w:rPr>
        <w:t>eative, simple, even fun ways for</w:t>
      </w:r>
      <w:r w:rsidRPr="005D086E">
        <w:rPr>
          <w:rFonts w:ascii="Garamond" w:eastAsia="Times New Roman" w:hAnsi="Garamond" w:cs="Times New Roman"/>
          <w:color w:val="000000"/>
          <w:shd w:val="clear" w:color="auto" w:fill="FFFFFF"/>
          <w:lang w:eastAsia="en-GB"/>
        </w:rPr>
        <w:t xml:space="preserve"> individuals t</w:t>
      </w:r>
      <w:r>
        <w:rPr>
          <w:rFonts w:ascii="Garamond" w:eastAsia="Times New Roman" w:hAnsi="Garamond" w:cs="Times New Roman"/>
          <w:color w:val="000000"/>
          <w:shd w:val="clear" w:color="auto" w:fill="FFFFFF"/>
          <w:lang w:eastAsia="en-GB"/>
        </w:rPr>
        <w:t>o do just one thing. (Interview</w:t>
      </w:r>
      <w:r w:rsidRPr="005D086E">
        <w:rPr>
          <w:rFonts w:ascii="Garamond" w:eastAsia="Times New Roman" w:hAnsi="Garamond" w:cs="Times New Roman"/>
          <w:color w:val="000000"/>
          <w:shd w:val="clear" w:color="auto" w:fill="FFFFFF"/>
          <w:lang w:eastAsia="en-GB"/>
        </w:rPr>
        <w:t xml:space="preserve"> Dearnley, 2011)</w:t>
      </w:r>
    </w:p>
    <w:p w:rsidR="00472B3A" w:rsidRPr="005D086E" w:rsidRDefault="00472B3A" w:rsidP="001E4E8B">
      <w:pPr>
        <w:spacing w:after="0" w:line="360" w:lineRule="auto"/>
        <w:ind w:left="284" w:right="284"/>
        <w:jc w:val="both"/>
        <w:rPr>
          <w:rFonts w:ascii="Garamond" w:hAnsi="Garamond" w:cs="Times New Roman"/>
        </w:rPr>
      </w:pPr>
    </w:p>
    <w:p w:rsidR="001E4E8B" w:rsidRDefault="00AF727C" w:rsidP="001E4E8B">
      <w:pPr>
        <w:spacing w:after="0" w:line="360" w:lineRule="auto"/>
        <w:jc w:val="both"/>
        <w:rPr>
          <w:rFonts w:ascii="Garamond" w:hAnsi="Garamond" w:cs="Times New Roman"/>
          <w:sz w:val="24"/>
          <w:szCs w:val="24"/>
        </w:rPr>
      </w:pPr>
      <w:r>
        <w:rPr>
          <w:rFonts w:ascii="Garamond" w:hAnsi="Garamond" w:cs="Times New Roman"/>
          <w:sz w:val="24"/>
          <w:szCs w:val="24"/>
        </w:rPr>
        <w:t>Sophie</w:t>
      </w:r>
      <w:r w:rsidR="00472B3A">
        <w:rPr>
          <w:rFonts w:ascii="Garamond" w:hAnsi="Garamond" w:cs="Times New Roman"/>
          <w:sz w:val="24"/>
          <w:szCs w:val="24"/>
        </w:rPr>
        <w:t>, co-ordinator for a London STT</w:t>
      </w:r>
      <w:r w:rsidR="00472B3A" w:rsidRPr="005D086E">
        <w:rPr>
          <w:rFonts w:ascii="Garamond" w:hAnsi="Garamond" w:cs="Times New Roman"/>
          <w:sz w:val="24"/>
          <w:szCs w:val="24"/>
        </w:rPr>
        <w:t xml:space="preserve"> </w:t>
      </w:r>
      <w:r w:rsidR="00472B3A">
        <w:rPr>
          <w:rFonts w:ascii="Garamond" w:hAnsi="Garamond" w:cs="Times New Roman"/>
          <w:sz w:val="24"/>
          <w:szCs w:val="24"/>
        </w:rPr>
        <w:t xml:space="preserve">ACT group, </w:t>
      </w:r>
      <w:r w:rsidR="00472B3A" w:rsidRPr="005D086E">
        <w:rPr>
          <w:rFonts w:ascii="Garamond" w:hAnsi="Garamond" w:cs="Times New Roman"/>
          <w:sz w:val="24"/>
          <w:szCs w:val="24"/>
        </w:rPr>
        <w:t xml:space="preserve">describes how simple narratives on </w:t>
      </w:r>
      <w:r w:rsidR="00472B3A">
        <w:rPr>
          <w:rFonts w:ascii="Garamond" w:hAnsi="Garamond" w:cs="Times New Roman"/>
          <w:sz w:val="24"/>
          <w:szCs w:val="24"/>
        </w:rPr>
        <w:t>fair trade</w:t>
      </w:r>
      <w:r w:rsidR="00472B3A" w:rsidRPr="005D086E">
        <w:rPr>
          <w:rFonts w:ascii="Garamond" w:hAnsi="Garamond" w:cs="Times New Roman"/>
          <w:sz w:val="24"/>
          <w:szCs w:val="24"/>
        </w:rPr>
        <w:t xml:space="preserve"> chocolate are made relevant to children during school workshops. The child-consumer chocolate topos de-sexualizes trafficking, and instead of creating complicit</w:t>
      </w:r>
      <w:r w:rsidR="00472B3A">
        <w:rPr>
          <w:rFonts w:ascii="Garamond" w:hAnsi="Garamond" w:cs="Times New Roman"/>
          <w:sz w:val="24"/>
          <w:szCs w:val="24"/>
        </w:rPr>
        <w:t>y through producer anthropophagy</w:t>
      </w:r>
      <w:r w:rsidR="00472B3A" w:rsidRPr="005D086E">
        <w:rPr>
          <w:rFonts w:ascii="Garamond" w:hAnsi="Garamond" w:cs="Times New Roman"/>
          <w:sz w:val="24"/>
          <w:szCs w:val="24"/>
        </w:rPr>
        <w:t xml:space="preserve"> it sets up a relational comparison of the everyday routines of London school children with trafficked children:</w:t>
      </w:r>
    </w:p>
    <w:p w:rsidR="00472B3A" w:rsidRPr="005D086E" w:rsidRDefault="00472B3A" w:rsidP="001E4E8B">
      <w:pPr>
        <w:spacing w:after="0" w:line="360" w:lineRule="auto"/>
        <w:jc w:val="both"/>
        <w:rPr>
          <w:rFonts w:ascii="Garamond" w:hAnsi="Garamond" w:cs="Times New Roman"/>
          <w:sz w:val="24"/>
          <w:szCs w:val="24"/>
        </w:rPr>
      </w:pPr>
    </w:p>
    <w:p w:rsidR="00472B3A" w:rsidRPr="005D086E" w:rsidRDefault="00AF727C" w:rsidP="001E4E8B">
      <w:pPr>
        <w:spacing w:line="360" w:lineRule="auto"/>
        <w:ind w:left="284" w:right="284"/>
        <w:jc w:val="both"/>
        <w:rPr>
          <w:rFonts w:ascii="Garamond" w:hAnsi="Garamond" w:cs="Times New Roman"/>
        </w:rPr>
      </w:pPr>
      <w:r>
        <w:rPr>
          <w:rFonts w:ascii="Garamond" w:hAnsi="Garamond" w:cs="Times New Roman"/>
        </w:rPr>
        <w:t>SOPHIE</w:t>
      </w:r>
      <w:r w:rsidR="00472B3A" w:rsidRPr="005D086E">
        <w:rPr>
          <w:rFonts w:ascii="Garamond" w:hAnsi="Garamond" w:cs="Times New Roman"/>
        </w:rPr>
        <w:t>: We did a project from January through to March in schools, it’s called ‘Modern and Current slavery’</w:t>
      </w:r>
      <w:r w:rsidR="00472B3A">
        <w:rPr>
          <w:rFonts w:ascii="Garamond" w:hAnsi="Garamond" w:cs="Times New Roman"/>
        </w:rPr>
        <w:t>.</w:t>
      </w:r>
      <w:r w:rsidR="00472B3A" w:rsidRPr="005D086E">
        <w:rPr>
          <w:rFonts w:ascii="Garamond" w:hAnsi="Garamond" w:cs="Times New Roman"/>
        </w:rPr>
        <w:t xml:space="preserve"> </w:t>
      </w:r>
      <w:r w:rsidR="00472B3A">
        <w:rPr>
          <w:rFonts w:ascii="Garamond" w:hAnsi="Garamond" w:cs="Times New Roman"/>
        </w:rPr>
        <w:t>S</w:t>
      </w:r>
      <w:r w:rsidR="00472B3A" w:rsidRPr="005D086E">
        <w:rPr>
          <w:rFonts w:ascii="Garamond" w:hAnsi="Garamond" w:cs="Times New Roman"/>
        </w:rPr>
        <w:t xml:space="preserve">o we got fifteen adult volunteers who all trained to go into schools, running fifty five minute sessions in East London boroughs. We wanted to advertise it with the Olympic thing, but apparently we couldn’t do that. It was really good because it was an issue for kids to see that this doesn’t just go on in countries that they don’t see, like </w:t>
      </w:r>
      <w:r w:rsidR="00472B3A" w:rsidRPr="005D086E">
        <w:rPr>
          <w:rFonts w:ascii="Garamond" w:hAnsi="Garamond" w:cs="Times New Roman"/>
        </w:rPr>
        <w:lastRenderedPageBreak/>
        <w:t xml:space="preserve">India, that it also goes on in the streets of London. We had six schools, for a total of about four hundred kids. </w:t>
      </w:r>
    </w:p>
    <w:p w:rsidR="00472B3A" w:rsidRPr="005D086E" w:rsidRDefault="00472B3A" w:rsidP="001E4E8B">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So how did chocolate come into it?</w:t>
      </w:r>
    </w:p>
    <w:p w:rsidR="00472B3A" w:rsidRPr="005D086E" w:rsidRDefault="00AF727C" w:rsidP="001E4E8B">
      <w:pPr>
        <w:spacing w:line="360" w:lineRule="auto"/>
        <w:ind w:left="284" w:right="284"/>
        <w:jc w:val="both"/>
        <w:rPr>
          <w:rFonts w:ascii="Garamond" w:hAnsi="Garamond" w:cs="Times New Roman"/>
        </w:rPr>
      </w:pPr>
      <w:r>
        <w:rPr>
          <w:rFonts w:ascii="Garamond" w:hAnsi="Garamond" w:cs="Times New Roman"/>
        </w:rPr>
        <w:t>SOPHIE</w:t>
      </w:r>
      <w:r w:rsidR="00472B3A" w:rsidRPr="005D086E">
        <w:rPr>
          <w:rFonts w:ascii="Garamond" w:hAnsi="Garamond" w:cs="Times New Roman"/>
        </w:rPr>
        <w:t xml:space="preserve">: So what we did is we broke down the different types of trafficking excluding sex exploitation, and one of those was chocolate. We talked about how </w:t>
      </w:r>
      <w:r w:rsidR="00472B3A">
        <w:rPr>
          <w:rFonts w:ascii="Garamond" w:hAnsi="Garamond" w:cs="Times New Roman"/>
        </w:rPr>
        <w:t>fair trade</w:t>
      </w:r>
      <w:r w:rsidR="00472B3A" w:rsidRPr="005D086E">
        <w:rPr>
          <w:rFonts w:ascii="Garamond" w:hAnsi="Garamond" w:cs="Times New Roman"/>
        </w:rPr>
        <w:t xml:space="preserve"> chocolate looks, how it is different, about child labourers. </w:t>
      </w:r>
    </w:p>
    <w:p w:rsidR="00472B3A" w:rsidRPr="005D086E" w:rsidRDefault="00472B3A" w:rsidP="001E4E8B">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Do you use images of enslaved or trafficked children?</w:t>
      </w:r>
    </w:p>
    <w:p w:rsidR="00472B3A" w:rsidRPr="005D086E" w:rsidRDefault="00AF727C" w:rsidP="00CA7EC5">
      <w:pPr>
        <w:spacing w:line="360" w:lineRule="auto"/>
        <w:ind w:left="284" w:right="284"/>
        <w:jc w:val="both"/>
        <w:rPr>
          <w:rFonts w:ascii="Garamond" w:hAnsi="Garamond" w:cs="Times New Roman"/>
        </w:rPr>
      </w:pPr>
      <w:r>
        <w:rPr>
          <w:rFonts w:ascii="Garamond" w:hAnsi="Garamond" w:cs="Times New Roman"/>
        </w:rPr>
        <w:t>SOPHIE</w:t>
      </w:r>
      <w:r w:rsidR="00472B3A" w:rsidRPr="005D086E">
        <w:rPr>
          <w:rFonts w:ascii="Garamond" w:hAnsi="Garamond" w:cs="Times New Roman"/>
        </w:rPr>
        <w:t>: We had meetings and we decided for it not to be like that. Instead we made up newspaper job adverts. We had adverts for Spain and Portugal and the US and one of them was for England. So these adverts were like, ‘So would you like to go abroad?’ to get them talking. So then we say this is what actually happens to trafficked people. So this is what a trafficked person is doing at, say, half past nine. And we would ask ‘what is different about what you are doing at the same time in the day?’</w:t>
      </w:r>
    </w:p>
    <w:p w:rsidR="00472B3A" w:rsidRPr="005D086E" w:rsidRDefault="00472B3A" w:rsidP="00CA7EC5">
      <w:pPr>
        <w:spacing w:line="360" w:lineRule="auto"/>
        <w:ind w:left="284" w:right="284"/>
        <w:jc w:val="both"/>
        <w:rPr>
          <w:rFonts w:ascii="Garamond" w:hAnsi="Garamond" w:cs="Times New Roman"/>
        </w:rPr>
      </w:pPr>
      <w:r>
        <w:rPr>
          <w:rFonts w:ascii="Garamond" w:hAnsi="Garamond" w:cs="Times New Roman"/>
        </w:rPr>
        <w:t>HUGH</w:t>
      </w:r>
      <w:r w:rsidRPr="005D086E">
        <w:rPr>
          <w:rFonts w:ascii="Garamond" w:hAnsi="Garamond" w:cs="Times New Roman"/>
        </w:rPr>
        <w:t>: How did the children respond?</w:t>
      </w:r>
    </w:p>
    <w:p w:rsidR="00472B3A" w:rsidRPr="005D086E" w:rsidRDefault="00AF727C" w:rsidP="001E4E8B">
      <w:pPr>
        <w:spacing w:line="360" w:lineRule="auto"/>
        <w:ind w:left="284" w:right="284"/>
        <w:jc w:val="both"/>
        <w:rPr>
          <w:rFonts w:ascii="Garamond" w:hAnsi="Garamond" w:cs="Times New Roman"/>
        </w:rPr>
      </w:pPr>
      <w:r>
        <w:rPr>
          <w:rFonts w:ascii="Garamond" w:hAnsi="Garamond" w:cs="Times New Roman"/>
        </w:rPr>
        <w:t>SOPHIE</w:t>
      </w:r>
      <w:r w:rsidR="00472B3A" w:rsidRPr="005D086E">
        <w:rPr>
          <w:rFonts w:ascii="Garamond" w:hAnsi="Garamond" w:cs="Times New Roman"/>
        </w:rPr>
        <w:t xml:space="preserve">: These kids didn’t have </w:t>
      </w:r>
      <w:r w:rsidR="00472B3A">
        <w:rPr>
          <w:rFonts w:ascii="Garamond" w:hAnsi="Garamond" w:cs="Times New Roman"/>
        </w:rPr>
        <w:t>fair trade</w:t>
      </w:r>
      <w:r w:rsidR="00472B3A" w:rsidRPr="005D086E">
        <w:rPr>
          <w:rFonts w:ascii="Garamond" w:hAnsi="Garamond" w:cs="Times New Roman"/>
        </w:rPr>
        <w:t xml:space="preserve"> knowledge. So we showed them forms of cocoa labour and they were like ‘would that be trafficking?’ and we were like ‘yeah that’s trafficking’.</w:t>
      </w:r>
      <w:r w:rsidR="00472B3A">
        <w:rPr>
          <w:rFonts w:ascii="Garamond" w:hAnsi="Garamond" w:cs="Times New Roman"/>
        </w:rPr>
        <w:t xml:space="preserve"> (Interview,</w:t>
      </w:r>
      <w:r>
        <w:rPr>
          <w:rFonts w:ascii="Garamond" w:hAnsi="Garamond" w:cs="Times New Roman"/>
        </w:rPr>
        <w:t xml:space="preserve"> Sophie</w:t>
      </w:r>
      <w:r w:rsidR="00472B3A">
        <w:rPr>
          <w:rFonts w:ascii="Garamond" w:hAnsi="Garamond" w:cs="Times New Roman"/>
        </w:rPr>
        <w:t xml:space="preserve"> 2011)</w:t>
      </w:r>
    </w:p>
    <w:p w:rsidR="00472B3A" w:rsidRPr="005D086E" w:rsidRDefault="00472B3A" w:rsidP="001E4E8B">
      <w:pPr>
        <w:spacing w:after="0" w:line="360" w:lineRule="auto"/>
        <w:ind w:left="284" w:right="284"/>
        <w:jc w:val="both"/>
        <w:rPr>
          <w:rFonts w:ascii="Garamond" w:hAnsi="Garamond" w:cs="Times New Roman"/>
        </w:rPr>
      </w:pPr>
    </w:p>
    <w:p w:rsidR="00472B3A" w:rsidRPr="005D086E" w:rsidRDefault="00472B3A" w:rsidP="001E4E8B">
      <w:pPr>
        <w:spacing w:after="0" w:line="360" w:lineRule="auto"/>
        <w:jc w:val="both"/>
        <w:rPr>
          <w:rFonts w:ascii="Garamond" w:hAnsi="Garamond" w:cs="Times New Roman"/>
          <w:sz w:val="24"/>
          <w:szCs w:val="24"/>
        </w:rPr>
      </w:pPr>
      <w:r w:rsidRPr="005D086E">
        <w:rPr>
          <w:rFonts w:ascii="Garamond" w:hAnsi="Garamond" w:cs="Times New Roman"/>
          <w:sz w:val="24"/>
          <w:szCs w:val="24"/>
        </w:rPr>
        <w:t>The child-consumer chocolate topos provides a practical template for anti-trafficking activism. It is created through a range of campaigns, petitions, guides, official letters and activities over the internet, and is materialized in schools and universities. It does more than implicate consumers in the suffering of trafficked cocoa labourers; it encourages people to take action outside the realm of acts traditionally considered as part of consumption. Refusing to purchase non-</w:t>
      </w:r>
      <w:r>
        <w:rPr>
          <w:rFonts w:ascii="Garamond" w:hAnsi="Garamond" w:cs="Times New Roman"/>
          <w:sz w:val="24"/>
          <w:szCs w:val="24"/>
        </w:rPr>
        <w:t>fair trade</w:t>
      </w:r>
      <w:r w:rsidRPr="005D086E">
        <w:rPr>
          <w:rFonts w:ascii="Garamond" w:hAnsi="Garamond" w:cs="Times New Roman"/>
          <w:sz w:val="24"/>
          <w:szCs w:val="24"/>
        </w:rPr>
        <w:t xml:space="preserve"> cocoa is “just the beginning” (Fountain, 2011), and to become more than a passive voice consumers are encouraged to act politically in their own communities by writing to MPs and by sending postcards and correspond</w:t>
      </w:r>
      <w:r w:rsidR="00AF727C">
        <w:rPr>
          <w:rFonts w:ascii="Garamond" w:hAnsi="Garamond" w:cs="Times New Roman"/>
          <w:sz w:val="24"/>
          <w:szCs w:val="24"/>
        </w:rPr>
        <w:t xml:space="preserve">ence to </w:t>
      </w:r>
      <w:r w:rsidR="000121E6">
        <w:rPr>
          <w:rFonts w:ascii="Garamond" w:hAnsi="Garamond" w:cs="Times New Roman"/>
          <w:sz w:val="24"/>
          <w:szCs w:val="24"/>
        </w:rPr>
        <w:t>Nestlé</w:t>
      </w:r>
      <w:r w:rsidR="00AF727C">
        <w:rPr>
          <w:rFonts w:ascii="Garamond" w:hAnsi="Garamond" w:cs="Times New Roman"/>
          <w:sz w:val="24"/>
          <w:szCs w:val="24"/>
        </w:rPr>
        <w:t xml:space="preserve"> and Mars (</w:t>
      </w:r>
      <w:r w:rsidRPr="005D086E">
        <w:rPr>
          <w:rFonts w:ascii="Garamond" w:hAnsi="Garamond" w:cs="Times New Roman"/>
          <w:sz w:val="24"/>
          <w:szCs w:val="24"/>
        </w:rPr>
        <w:t>inte</w:t>
      </w:r>
      <w:r w:rsidR="00AF727C">
        <w:rPr>
          <w:rFonts w:ascii="Garamond" w:hAnsi="Garamond" w:cs="Times New Roman"/>
          <w:sz w:val="24"/>
          <w:szCs w:val="24"/>
        </w:rPr>
        <w:t xml:space="preserve">rview, Sophie 2011; </w:t>
      </w:r>
      <w:r w:rsidRPr="005D086E">
        <w:rPr>
          <w:rFonts w:ascii="Garamond" w:hAnsi="Garamond" w:cs="Times New Roman"/>
          <w:sz w:val="24"/>
          <w:szCs w:val="24"/>
        </w:rPr>
        <w:t>interview</w:t>
      </w:r>
      <w:r w:rsidR="00AF727C">
        <w:rPr>
          <w:rFonts w:ascii="Garamond" w:hAnsi="Garamond" w:cs="Times New Roman"/>
          <w:sz w:val="24"/>
          <w:szCs w:val="24"/>
        </w:rPr>
        <w:t>,</w:t>
      </w:r>
      <w:r w:rsidRPr="005D086E">
        <w:rPr>
          <w:rFonts w:ascii="Garamond" w:hAnsi="Garamond" w:cs="Times New Roman"/>
          <w:sz w:val="24"/>
          <w:szCs w:val="24"/>
        </w:rPr>
        <w:t xml:space="preserve"> </w:t>
      </w:r>
      <w:r w:rsidR="00AF727C">
        <w:rPr>
          <w:rFonts w:ascii="Garamond" w:hAnsi="Garamond" w:cs="Times New Roman"/>
          <w:sz w:val="24"/>
          <w:szCs w:val="24"/>
        </w:rPr>
        <w:t xml:space="preserve">Rachel </w:t>
      </w:r>
      <w:r w:rsidRPr="005D086E">
        <w:rPr>
          <w:rFonts w:ascii="Garamond" w:hAnsi="Garamond" w:cs="Times New Roman"/>
          <w:sz w:val="24"/>
          <w:szCs w:val="24"/>
        </w:rPr>
        <w:t>2011). In line with Barnett et al</w:t>
      </w:r>
      <w:r>
        <w:rPr>
          <w:rFonts w:ascii="Garamond" w:hAnsi="Garamond" w:cs="Times New Roman"/>
          <w:sz w:val="24"/>
          <w:szCs w:val="24"/>
        </w:rPr>
        <w:t>.</w:t>
      </w:r>
      <w:r w:rsidRPr="005D086E">
        <w:rPr>
          <w:rFonts w:ascii="Garamond" w:hAnsi="Garamond" w:cs="Times New Roman"/>
          <w:sz w:val="24"/>
          <w:szCs w:val="24"/>
        </w:rPr>
        <w:t xml:space="preserve">’s (2011: 69) assertion that consumption is “a dispersed activity distributed across many integrated practices”, and Warde’s (2005: 137) point that “consumption is…a distinct moment in almost every practice”, STT’s child consumer topos intervenes in a range of consumption moments embedded in wider activities and practices. In addition to eating chocolate, these include going to school, social networking on the internet, writing blogs, school assemblies, family shopping trips, </w:t>
      </w:r>
      <w:r w:rsidRPr="005D086E">
        <w:rPr>
          <w:rFonts w:ascii="Garamond" w:hAnsi="Garamond" w:cs="Times New Roman"/>
          <w:sz w:val="24"/>
          <w:szCs w:val="24"/>
        </w:rPr>
        <w:lastRenderedPageBreak/>
        <w:t xml:space="preserve">Easter egg hunts, Christmas card giving and creating artwork and performances. For example, </w:t>
      </w:r>
      <w:r w:rsidR="00CF2C3C">
        <w:rPr>
          <w:rFonts w:ascii="Garamond" w:hAnsi="Garamond" w:cs="Times New Roman"/>
          <w:sz w:val="24"/>
          <w:szCs w:val="24"/>
        </w:rPr>
        <w:t>Rachel</w:t>
      </w:r>
      <w:r w:rsidRPr="005D086E">
        <w:rPr>
          <w:rFonts w:ascii="Garamond" w:hAnsi="Garamond" w:cs="Times New Roman"/>
          <w:sz w:val="24"/>
          <w:szCs w:val="24"/>
        </w:rPr>
        <w:t xml:space="preserve"> frames a moment of chocolate </w:t>
      </w:r>
      <w:r>
        <w:rPr>
          <w:rFonts w:ascii="Garamond" w:hAnsi="Garamond" w:cs="Times New Roman"/>
          <w:sz w:val="24"/>
          <w:szCs w:val="24"/>
        </w:rPr>
        <w:t>consumption as part of children'</w:t>
      </w:r>
      <w:r w:rsidRPr="005D086E">
        <w:rPr>
          <w:rFonts w:ascii="Garamond" w:hAnsi="Garamond" w:cs="Times New Roman"/>
          <w:sz w:val="24"/>
          <w:szCs w:val="24"/>
        </w:rPr>
        <w:t>s social relationships with their parents:</w:t>
      </w:r>
    </w:p>
    <w:p w:rsidR="001E4E8B" w:rsidRDefault="00472B3A" w:rsidP="001E4E8B">
      <w:pPr>
        <w:spacing w:after="0" w:line="360" w:lineRule="auto"/>
        <w:ind w:left="284" w:right="284"/>
        <w:jc w:val="both"/>
        <w:rPr>
          <w:rFonts w:ascii="Garamond" w:hAnsi="Garamond" w:cs="Times New Roman"/>
        </w:rPr>
      </w:pPr>
      <w:r w:rsidRPr="005D086E">
        <w:rPr>
          <w:rFonts w:ascii="Garamond" w:hAnsi="Garamond" w:cs="Times New Roman"/>
        </w:rPr>
        <w:t>Children bring a lot of enthusiasm, but also by reaching the kids you reach their parents, you reach their frie</w:t>
      </w:r>
      <w:r>
        <w:rPr>
          <w:rFonts w:ascii="Garamond" w:hAnsi="Garamond" w:cs="Times New Roman"/>
        </w:rPr>
        <w:t>nds, t</w:t>
      </w:r>
      <w:r w:rsidRPr="005D086E">
        <w:rPr>
          <w:rFonts w:ascii="Garamond" w:hAnsi="Garamond" w:cs="Times New Roman"/>
        </w:rPr>
        <w:t xml:space="preserve">hey’re very social by nature. Kids go ‘mum I want this’, and if they go ‘mum I want </w:t>
      </w:r>
      <w:r>
        <w:rPr>
          <w:rFonts w:ascii="Garamond" w:hAnsi="Garamond" w:cs="Times New Roman"/>
        </w:rPr>
        <w:t>fair trade</w:t>
      </w:r>
      <w:r w:rsidRPr="005D086E">
        <w:rPr>
          <w:rFonts w:ascii="Garamond" w:hAnsi="Garamond" w:cs="Times New Roman"/>
        </w:rPr>
        <w:t xml:space="preserve"> chocolate’, and mum goes ‘why?’. Yeah kids they’re great, by re</w:t>
      </w:r>
      <w:r>
        <w:rPr>
          <w:rFonts w:ascii="Garamond" w:hAnsi="Garamond" w:cs="Times New Roman"/>
        </w:rPr>
        <w:t>aching kids you reach everybody. (</w:t>
      </w:r>
      <w:r w:rsidR="001E4E8B">
        <w:rPr>
          <w:rFonts w:ascii="Garamond" w:hAnsi="Garamond" w:cs="Times New Roman"/>
        </w:rPr>
        <w:t xml:space="preserve">Interview, </w:t>
      </w:r>
      <w:r w:rsidR="000121E6">
        <w:rPr>
          <w:rFonts w:ascii="Garamond" w:hAnsi="Garamond" w:cs="Times New Roman"/>
        </w:rPr>
        <w:t xml:space="preserve">Rachel </w:t>
      </w:r>
      <w:r>
        <w:rPr>
          <w:rFonts w:ascii="Garamond" w:hAnsi="Garamond" w:cs="Times New Roman"/>
        </w:rPr>
        <w:t>2011)</w:t>
      </w:r>
    </w:p>
    <w:p w:rsidR="00472B3A" w:rsidRPr="005D086E" w:rsidRDefault="00472B3A" w:rsidP="001E4E8B">
      <w:pPr>
        <w:spacing w:after="0" w:line="360" w:lineRule="auto"/>
        <w:ind w:left="284" w:right="284"/>
        <w:jc w:val="both"/>
        <w:rPr>
          <w:rFonts w:ascii="Garamond" w:hAnsi="Garamond" w:cs="Times New Roman"/>
        </w:rPr>
      </w:pPr>
    </w:p>
    <w:p w:rsidR="001E4E8B" w:rsidRDefault="00472B3A" w:rsidP="001E4E8B">
      <w:pPr>
        <w:spacing w:after="0" w:line="360" w:lineRule="auto"/>
        <w:jc w:val="both"/>
        <w:rPr>
          <w:rFonts w:ascii="Garamond" w:hAnsi="Garamond" w:cs="Times New Roman"/>
          <w:sz w:val="24"/>
          <w:szCs w:val="24"/>
        </w:rPr>
      </w:pPr>
      <w:r>
        <w:rPr>
          <w:rFonts w:ascii="Garamond" w:hAnsi="Garamond" w:cs="Times New Roman"/>
          <w:sz w:val="24"/>
          <w:szCs w:val="24"/>
        </w:rPr>
        <w:t>Every year STT hold a Valentine's Day competition in order to engage young people with thinking about how to present messages to stakehol</w:t>
      </w:r>
      <w:r w:rsidR="001E4E8B">
        <w:rPr>
          <w:rFonts w:ascii="Garamond" w:hAnsi="Garamond" w:cs="Times New Roman"/>
          <w:sz w:val="24"/>
          <w:szCs w:val="24"/>
        </w:rPr>
        <w:t>ders in the chocolate industry.</w:t>
      </w:r>
    </w:p>
    <w:p w:rsidR="00472B3A" w:rsidRPr="00425E3C" w:rsidRDefault="00472B3A" w:rsidP="001E4E8B">
      <w:pPr>
        <w:spacing w:after="0" w:line="360" w:lineRule="auto"/>
        <w:jc w:val="both"/>
        <w:rPr>
          <w:rFonts w:ascii="Garamond" w:hAnsi="Garamond" w:cs="Times New Roman"/>
          <w:sz w:val="24"/>
          <w:szCs w:val="24"/>
        </w:rPr>
      </w:pPr>
    </w:p>
    <w:p w:rsidR="001E4E8B" w:rsidRDefault="000121E6" w:rsidP="001E4E8B">
      <w:pPr>
        <w:spacing w:after="0" w:line="360" w:lineRule="auto"/>
        <w:ind w:left="284" w:right="284"/>
        <w:jc w:val="both"/>
        <w:rPr>
          <w:rFonts w:ascii="Garamond" w:hAnsi="Garamond" w:cs="Times New Roman"/>
          <w:szCs w:val="24"/>
        </w:rPr>
      </w:pPr>
      <w:r>
        <w:rPr>
          <w:rFonts w:ascii="Garamond" w:hAnsi="Garamond" w:cs="Times New Roman"/>
        </w:rPr>
        <w:t>RACHEL</w:t>
      </w:r>
      <w:r w:rsidR="00472B3A" w:rsidRPr="001E4E8B">
        <w:rPr>
          <w:rFonts w:ascii="Garamond" w:hAnsi="Garamond" w:cs="Times New Roman"/>
        </w:rPr>
        <w:t xml:space="preserve">: For the Valentines campaign we advertised stuff on this new feature called Twibbon, which is linked with twitter and Facebook. And what it does is it superimposes any kind of image on top of your Facebook or twitter profile picture. The first thing we did was a slogan contest to see what kind of slogan we could get for a cocoa bean dressed as a bunny. We got hundreds of replies, some people wrote stories on lots of different </w:t>
      </w:r>
      <w:r>
        <w:rPr>
          <w:rFonts w:ascii="Garamond" w:hAnsi="Garamond" w:cs="Times New Roman"/>
        </w:rPr>
        <w:t>Nestlé</w:t>
      </w:r>
      <w:r w:rsidR="00472B3A" w:rsidRPr="001E4E8B">
        <w:rPr>
          <w:rFonts w:ascii="Garamond" w:hAnsi="Garamond" w:cs="Times New Roman"/>
        </w:rPr>
        <w:t xml:space="preserve"> bars, about going fair trade. And it’s a chocolately treat. And that was absolutely brilliant, what people do with the slogan. So we ended up going with ‘</w:t>
      </w:r>
      <w:r>
        <w:rPr>
          <w:rFonts w:ascii="Garamond" w:hAnsi="Garamond" w:cs="Times New Roman"/>
        </w:rPr>
        <w:t>Nestlé</w:t>
      </w:r>
      <w:r w:rsidR="00472B3A" w:rsidRPr="001E4E8B">
        <w:rPr>
          <w:rFonts w:ascii="Garamond" w:hAnsi="Garamond" w:cs="Times New Roman"/>
        </w:rPr>
        <w:t>, what comes first the children or the egg?’ That was the winning campaign slogan</w:t>
      </w:r>
      <w:r w:rsidR="00472B3A" w:rsidRPr="001E4E8B">
        <w:rPr>
          <w:rFonts w:ascii="Garamond" w:hAnsi="Garamond" w:cs="Times New Roman"/>
          <w:szCs w:val="24"/>
        </w:rPr>
        <w:t>.</w:t>
      </w:r>
      <w:r w:rsidR="001E4E8B" w:rsidRPr="001E4E8B">
        <w:rPr>
          <w:rFonts w:ascii="Garamond" w:hAnsi="Garamond" w:cs="Times New Roman"/>
          <w:szCs w:val="24"/>
        </w:rPr>
        <w:t xml:space="preserve"> </w:t>
      </w:r>
      <w:r w:rsidR="001E4E8B">
        <w:rPr>
          <w:rFonts w:ascii="Garamond" w:hAnsi="Garamond" w:cs="Times New Roman"/>
          <w:szCs w:val="24"/>
        </w:rPr>
        <w:t xml:space="preserve"> </w:t>
      </w:r>
    </w:p>
    <w:p w:rsidR="001E4E8B" w:rsidRPr="001E4E8B" w:rsidRDefault="001E4E8B" w:rsidP="001E4E8B">
      <w:pPr>
        <w:spacing w:after="0" w:line="360" w:lineRule="auto"/>
        <w:ind w:left="284" w:right="284"/>
        <w:jc w:val="both"/>
        <w:rPr>
          <w:rFonts w:ascii="Garamond" w:hAnsi="Garamond" w:cs="Times New Roman"/>
          <w:szCs w:val="24"/>
        </w:rPr>
      </w:pPr>
      <w:r w:rsidRPr="001E4E8B">
        <w:rPr>
          <w:rFonts w:ascii="Garamond" w:hAnsi="Garamond" w:cs="Times New Roman"/>
          <w:szCs w:val="24"/>
        </w:rPr>
        <w:t>(Interview,</w:t>
      </w:r>
      <w:r w:rsidR="000121E6">
        <w:rPr>
          <w:rFonts w:ascii="Garamond" w:hAnsi="Garamond" w:cs="Times New Roman"/>
          <w:szCs w:val="24"/>
        </w:rPr>
        <w:t xml:space="preserve"> Rachel</w:t>
      </w:r>
      <w:r w:rsidRPr="001E4E8B">
        <w:rPr>
          <w:rFonts w:ascii="Garamond" w:hAnsi="Garamond" w:cs="Times New Roman"/>
          <w:szCs w:val="24"/>
        </w:rPr>
        <w:t xml:space="preserve"> 2011)</w:t>
      </w:r>
    </w:p>
    <w:p w:rsidR="00472B3A" w:rsidRPr="00E60374" w:rsidRDefault="00472B3A" w:rsidP="001E4E8B">
      <w:pPr>
        <w:spacing w:after="0" w:line="360" w:lineRule="auto"/>
        <w:ind w:left="284" w:right="284"/>
        <w:jc w:val="both"/>
        <w:rPr>
          <w:rFonts w:ascii="Times New Roman" w:hAnsi="Times New Roman" w:cs="Times New Roman"/>
          <w:sz w:val="24"/>
          <w:szCs w:val="24"/>
        </w:rPr>
      </w:pPr>
    </w:p>
    <w:p w:rsidR="001E4E8B" w:rsidRDefault="00472B3A" w:rsidP="001E4E8B">
      <w:pPr>
        <w:spacing w:after="0" w:line="360" w:lineRule="auto"/>
        <w:jc w:val="both"/>
        <w:rPr>
          <w:rStyle w:val="Emphasis"/>
        </w:rPr>
      </w:pPr>
      <w:r>
        <w:rPr>
          <w:rStyle w:val="Emphasis"/>
          <w:rFonts w:ascii="Garamond" w:hAnsi="Garamond"/>
          <w:i w:val="0"/>
          <w:sz w:val="24"/>
          <w:szCs w:val="24"/>
        </w:rPr>
        <w:t xml:space="preserve">In the last three years the potential to engage in anti-trafficking activism has become increasingly democratized to those who have access to computers and internet connections. Since the start of 2013 STT have been launching campaigns on </w:t>
      </w:r>
      <w:r w:rsidRPr="00EB7CA9">
        <w:rPr>
          <w:rStyle w:val="Emphasis"/>
          <w:rFonts w:ascii="Garamond" w:hAnsi="Garamond"/>
          <w:sz w:val="24"/>
          <w:szCs w:val="24"/>
        </w:rPr>
        <w:t>Thunderclap</w:t>
      </w:r>
      <w:r>
        <w:rPr>
          <w:rStyle w:val="Emphasis"/>
          <w:rFonts w:ascii="Garamond" w:hAnsi="Garamond"/>
          <w:i w:val="0"/>
          <w:sz w:val="24"/>
          <w:szCs w:val="24"/>
        </w:rPr>
        <w:t>, "the first crowd-speaking platform that helps people to be heard by saying something together".</w:t>
      </w:r>
      <w:r>
        <w:rPr>
          <w:rStyle w:val="FootnoteReference"/>
          <w:rFonts w:ascii="Garamond" w:hAnsi="Garamond"/>
          <w:iCs/>
          <w:sz w:val="24"/>
          <w:szCs w:val="24"/>
        </w:rPr>
        <w:footnoteReference w:id="125"/>
      </w:r>
      <w:r>
        <w:rPr>
          <w:rStyle w:val="Emphasis"/>
          <w:rFonts w:ascii="Garamond" w:hAnsi="Garamond"/>
          <w:i w:val="0"/>
          <w:sz w:val="24"/>
          <w:szCs w:val="24"/>
        </w:rPr>
        <w:t xml:space="preserve"> </w:t>
      </w:r>
      <w:r w:rsidRPr="00EB7CA9">
        <w:rPr>
          <w:rStyle w:val="Emphasis"/>
          <w:rFonts w:ascii="Garamond" w:hAnsi="Garamond"/>
          <w:sz w:val="24"/>
          <w:szCs w:val="24"/>
        </w:rPr>
        <w:t>Thunderclap</w:t>
      </w:r>
      <w:r>
        <w:rPr>
          <w:rStyle w:val="Emphasis"/>
          <w:rFonts w:ascii="Garamond" w:hAnsi="Garamond"/>
          <w:i w:val="0"/>
          <w:sz w:val="24"/>
          <w:szCs w:val="24"/>
        </w:rPr>
        <w:t xml:space="preserve"> is designed to " publicize specific causes by coordinating the release of tweets and Facebook messages by participants directed at particular targets and goals.  STT also conduct fundraising through </w:t>
      </w:r>
      <w:r w:rsidRPr="00EB7CA9">
        <w:rPr>
          <w:rStyle w:val="Emphasis"/>
          <w:rFonts w:ascii="Garamond" w:hAnsi="Garamond"/>
          <w:sz w:val="24"/>
          <w:szCs w:val="24"/>
        </w:rPr>
        <w:t>Shout</w:t>
      </w:r>
      <w:r>
        <w:rPr>
          <w:rStyle w:val="Emphasis"/>
          <w:rFonts w:ascii="Garamond" w:hAnsi="Garamond"/>
          <w:sz w:val="24"/>
          <w:szCs w:val="24"/>
        </w:rPr>
        <w:t xml:space="preserve"> </w:t>
      </w:r>
      <w:r>
        <w:rPr>
          <w:rStyle w:val="Emphasis"/>
          <w:rFonts w:ascii="Garamond" w:hAnsi="Garamond"/>
          <w:i w:val="0"/>
          <w:sz w:val="24"/>
          <w:szCs w:val="24"/>
        </w:rPr>
        <w:t>which enables people to install an app on phones and mobile technologies and then to 'shout out' and donate small amounts of money to charities of their choice "in a fun, simple to use and socially connected way."</w:t>
      </w:r>
      <w:r>
        <w:rPr>
          <w:rStyle w:val="FootnoteReference"/>
          <w:rFonts w:ascii="Garamond" w:hAnsi="Garamond"/>
          <w:iCs/>
          <w:sz w:val="24"/>
          <w:szCs w:val="24"/>
        </w:rPr>
        <w:footnoteReference w:id="126"/>
      </w:r>
      <w:r>
        <w:rPr>
          <w:rStyle w:val="Emphasis"/>
          <w:rFonts w:ascii="Garamond" w:hAnsi="Garamond"/>
          <w:i w:val="0"/>
          <w:sz w:val="24"/>
          <w:szCs w:val="24"/>
        </w:rPr>
        <w:t xml:space="preserve"> </w:t>
      </w:r>
      <w:r w:rsidRPr="00FB07AF">
        <w:rPr>
          <w:rStyle w:val="Emphasis"/>
          <w:rFonts w:ascii="Garamond" w:hAnsi="Garamond"/>
          <w:sz w:val="24"/>
          <w:szCs w:val="24"/>
        </w:rPr>
        <w:t>Shout</w:t>
      </w:r>
      <w:r>
        <w:rPr>
          <w:rStyle w:val="Emphasis"/>
          <w:rFonts w:ascii="Garamond" w:hAnsi="Garamond"/>
          <w:sz w:val="24"/>
          <w:szCs w:val="24"/>
        </w:rPr>
        <w:t xml:space="preserve"> </w:t>
      </w:r>
      <w:r>
        <w:rPr>
          <w:rStyle w:val="Emphasis"/>
          <w:rFonts w:ascii="Garamond" w:hAnsi="Garamond"/>
          <w:i w:val="0"/>
          <w:sz w:val="24"/>
          <w:szCs w:val="24"/>
        </w:rPr>
        <w:t xml:space="preserve">materializes charitable giving to STT in the form of recognizable equivalent units of consumption (a well-trodden tactic used effectively in the last decade </w:t>
      </w:r>
      <w:r>
        <w:rPr>
          <w:rStyle w:val="Emphasis"/>
          <w:rFonts w:ascii="Garamond" w:hAnsi="Garamond"/>
          <w:i w:val="0"/>
          <w:sz w:val="24"/>
          <w:szCs w:val="24"/>
        </w:rPr>
        <w:lastRenderedPageBreak/>
        <w:t xml:space="preserve">by face-to-face charity fundraisers – see Crosfield, 2008, and Sargeant </w:t>
      </w:r>
      <w:r w:rsidR="00F152DB">
        <w:rPr>
          <w:rStyle w:val="Emphasis"/>
          <w:rFonts w:ascii="Garamond" w:hAnsi="Garamond"/>
          <w:i w:val="0"/>
          <w:sz w:val="24"/>
          <w:szCs w:val="24"/>
        </w:rPr>
        <w:t>and</w:t>
      </w:r>
      <w:r>
        <w:rPr>
          <w:rStyle w:val="Emphasis"/>
          <w:rFonts w:ascii="Garamond" w:hAnsi="Garamond"/>
          <w:i w:val="0"/>
          <w:sz w:val="24"/>
          <w:szCs w:val="24"/>
        </w:rPr>
        <w:t xml:space="preserve"> Woodliffe, 2007).  Citizen-consumers are presented with the opportunity to ping over money equivalent to a cup of coffee ($4.90), a pot of tea ($5.00), a certified chocolate bar ($6.00) or a cinema movie ticket ($19).</w:t>
      </w:r>
      <w:r>
        <w:rPr>
          <w:rStyle w:val="FootnoteReference"/>
          <w:rFonts w:ascii="Garamond" w:hAnsi="Garamond"/>
          <w:iCs/>
          <w:sz w:val="24"/>
          <w:szCs w:val="24"/>
        </w:rPr>
        <w:footnoteReference w:id="127"/>
      </w:r>
    </w:p>
    <w:p w:rsidR="001E4E8B" w:rsidRDefault="001E4E8B" w:rsidP="001E4E8B">
      <w:pPr>
        <w:spacing w:after="0" w:line="360" w:lineRule="auto"/>
        <w:jc w:val="both"/>
        <w:rPr>
          <w:rStyle w:val="Emphasis"/>
        </w:rPr>
      </w:pPr>
    </w:p>
    <w:p w:rsidR="00943FE2" w:rsidRDefault="00472B3A" w:rsidP="001E4E8B">
      <w:pPr>
        <w:spacing w:after="0" w:line="360" w:lineRule="auto"/>
        <w:jc w:val="both"/>
        <w:rPr>
          <w:rStyle w:val="Emphasis"/>
        </w:rPr>
      </w:pPr>
      <w:r>
        <w:rPr>
          <w:rStyle w:val="Emphasis"/>
          <w:rFonts w:ascii="Garamond" w:hAnsi="Garamond"/>
          <w:i w:val="0"/>
          <w:sz w:val="24"/>
          <w:szCs w:val="24"/>
        </w:rPr>
        <w:t>Across Europe and North America these technologies are transforming the ways philanthropy and charities are conceived, performed and engaged with. Interactive social medias create new and devolved fundraising streams and encourage a sense of community and spontaneity; but perhaps most importantly they offer data to STT in the form of virtual footprints, uploads, downloads, web page visits and demographics (interview,</w:t>
      </w:r>
      <w:r w:rsidR="000121E6">
        <w:rPr>
          <w:rStyle w:val="Emphasis"/>
          <w:rFonts w:ascii="Garamond" w:hAnsi="Garamond"/>
          <w:i w:val="0"/>
          <w:sz w:val="24"/>
          <w:szCs w:val="24"/>
        </w:rPr>
        <w:t xml:space="preserve"> Rachel</w:t>
      </w:r>
      <w:r>
        <w:rPr>
          <w:rStyle w:val="Emphasis"/>
          <w:rFonts w:ascii="Garamond" w:hAnsi="Garamond"/>
          <w:i w:val="0"/>
          <w:sz w:val="24"/>
          <w:szCs w:val="24"/>
        </w:rPr>
        <w:t xml:space="preserve"> 2011). These footprints provide critical feedback for the STT to assess levels of commitment, and to increase the financial and temporal resources that consumers are willing to devote to anti-trafficking activities (Warde, 2005). The virtual data owned by STT as a result of these interactions contribute to the scope of the organization as a technology of governmentality (a point I flesh out in Chapter Five).</w:t>
      </w:r>
      <w:r>
        <w:rPr>
          <w:rStyle w:val="FootnoteReference"/>
          <w:rFonts w:ascii="Garamond" w:hAnsi="Garamond"/>
          <w:iCs/>
          <w:sz w:val="24"/>
          <w:szCs w:val="24"/>
        </w:rPr>
        <w:footnoteReference w:id="128"/>
      </w:r>
      <w:r>
        <w:rPr>
          <w:rStyle w:val="Emphasis"/>
          <w:rFonts w:ascii="Garamond" w:hAnsi="Garamond"/>
          <w:i w:val="0"/>
          <w:sz w:val="24"/>
          <w:szCs w:val="24"/>
        </w:rPr>
        <w:t xml:space="preserve"> </w:t>
      </w:r>
    </w:p>
    <w:p w:rsidR="00472B3A" w:rsidRDefault="00472B3A" w:rsidP="001E4E8B">
      <w:pPr>
        <w:spacing w:after="0" w:line="360" w:lineRule="auto"/>
        <w:jc w:val="both"/>
        <w:rPr>
          <w:rStyle w:val="Emphasis"/>
        </w:rPr>
      </w:pPr>
    </w:p>
    <w:p w:rsidR="001E4E8B" w:rsidRDefault="00472B3A" w:rsidP="001E4E8B">
      <w:pPr>
        <w:spacing w:after="0" w:line="360" w:lineRule="auto"/>
        <w:jc w:val="both"/>
        <w:rPr>
          <w:rStyle w:val="Emphasis"/>
        </w:rPr>
      </w:pPr>
      <w:r>
        <w:rPr>
          <w:rStyle w:val="Emphasis"/>
          <w:rFonts w:ascii="Garamond" w:hAnsi="Garamond"/>
          <w:i w:val="0"/>
          <w:sz w:val="24"/>
          <w:szCs w:val="24"/>
        </w:rPr>
        <w:t xml:space="preserve">The child-consumer chocolate topos is dispersed across virtual networks. The topos is crowd sourced on virtual networks and composed of many thousands of bits of consumer-activist selves dispersed on Facebook pages, blogs and tweets as far and wide as the internet facilitates. By offering consumers (children and adults engaging through childhood notions of futurity and hope) a chance to perform a 'moral' relationship to chocolate, the topos creates  opportunities for the citizen-consumer to self-narrate using the grammars and routines (Barnett et al.2011) of STT's chocolate philanthropy. The topos is crafted by STT to fit as an insert for public personal portfolios displayed online; it adds jet-streamed bundles of 'care', 'giving' and 'charity' to virtual microselves (see, Bauman, 2007 and Adams </w:t>
      </w:r>
      <w:r w:rsidR="00F152DB">
        <w:rPr>
          <w:rStyle w:val="Emphasis"/>
          <w:rFonts w:ascii="Garamond" w:hAnsi="Garamond"/>
          <w:i w:val="0"/>
          <w:sz w:val="24"/>
          <w:szCs w:val="24"/>
        </w:rPr>
        <w:t>and</w:t>
      </w:r>
      <w:r>
        <w:rPr>
          <w:rStyle w:val="Emphasis"/>
          <w:rFonts w:ascii="Garamond" w:hAnsi="Garamond"/>
          <w:i w:val="0"/>
          <w:sz w:val="24"/>
          <w:szCs w:val="24"/>
        </w:rPr>
        <w:t xml:space="preserve"> Raisborough, 2008: 1165 for scholarship on the creation of the "reflexive project of selfhood"). In the connections between performance and chocolate knowledges, STT re-humanize anti-trafficking as the consumer's branded self. In the following section I explore how the child-consumer chocolate topos' virtual networks are given specific embodied and placed forms in relation to Tunbridge Wells.</w:t>
      </w:r>
    </w:p>
    <w:p w:rsidR="001E4E8B" w:rsidRDefault="001E4E8B" w:rsidP="001E4E8B">
      <w:pPr>
        <w:spacing w:after="0" w:line="360" w:lineRule="auto"/>
        <w:jc w:val="both"/>
        <w:rPr>
          <w:rStyle w:val="Emphasis"/>
        </w:rPr>
      </w:pPr>
    </w:p>
    <w:p w:rsidR="001E4E8B" w:rsidRDefault="001E4E8B" w:rsidP="001E4E8B">
      <w:pPr>
        <w:spacing w:after="0" w:line="360" w:lineRule="auto"/>
        <w:jc w:val="both"/>
        <w:rPr>
          <w:rStyle w:val="Emphasis"/>
        </w:rPr>
      </w:pPr>
    </w:p>
    <w:p w:rsidR="001E4E8B" w:rsidRDefault="001E4E8B" w:rsidP="001E4E8B">
      <w:pPr>
        <w:spacing w:after="0" w:line="360" w:lineRule="auto"/>
        <w:jc w:val="both"/>
        <w:rPr>
          <w:rStyle w:val="Emphasis"/>
        </w:rPr>
      </w:pPr>
    </w:p>
    <w:p w:rsidR="001E4E8B" w:rsidRDefault="001E4E8B" w:rsidP="001E4E8B">
      <w:pPr>
        <w:spacing w:after="0" w:line="360" w:lineRule="auto"/>
        <w:jc w:val="both"/>
        <w:rPr>
          <w:rStyle w:val="Emphasis"/>
        </w:rPr>
      </w:pPr>
    </w:p>
    <w:p w:rsidR="001E4E8B" w:rsidRPr="00737910" w:rsidRDefault="00472B3A" w:rsidP="00737910">
      <w:pPr>
        <w:pStyle w:val="Heading2"/>
      </w:pPr>
      <w:bookmarkStart w:id="581" w:name="_Toc244535759"/>
      <w:bookmarkStart w:id="582" w:name="_Toc244578391"/>
      <w:bookmarkStart w:id="583" w:name="_Toc244578775"/>
      <w:bookmarkStart w:id="584" w:name="_Toc263452026"/>
      <w:bookmarkStart w:id="585" w:name="_Toc263510944"/>
      <w:r w:rsidRPr="00737910">
        <w:t>Situating STT's child-consumer topos with the Tunbridge Wells Fairtrade Town Chocolate Campaign (2007)</w:t>
      </w:r>
      <w:bookmarkEnd w:id="581"/>
      <w:bookmarkEnd w:id="582"/>
      <w:bookmarkEnd w:id="583"/>
      <w:bookmarkEnd w:id="584"/>
      <w:bookmarkEnd w:id="585"/>
    </w:p>
    <w:p w:rsidR="001E4E8B" w:rsidRDefault="001E4E8B" w:rsidP="001E4E8B">
      <w:pPr>
        <w:spacing w:after="0" w:line="360" w:lineRule="auto"/>
        <w:jc w:val="both"/>
        <w:rPr>
          <w:rFonts w:ascii="Garamond" w:hAnsi="Garamond" w:cs="Times New Roman"/>
          <w:b/>
          <w:i/>
          <w:szCs w:val="24"/>
        </w:rPr>
      </w:pPr>
    </w:p>
    <w:p w:rsidR="001E4E8B" w:rsidRDefault="001E4E8B" w:rsidP="001E4E8B">
      <w:pPr>
        <w:spacing w:after="0" w:line="360" w:lineRule="auto"/>
        <w:jc w:val="both"/>
        <w:rPr>
          <w:rFonts w:ascii="Garamond" w:hAnsi="Garamond" w:cs="Times New Roman"/>
          <w:b/>
          <w:i/>
          <w:szCs w:val="24"/>
        </w:rPr>
      </w:pPr>
    </w:p>
    <w:tbl>
      <w:tblPr>
        <w:tblStyle w:val="TableGrid"/>
        <w:tblW w:w="0" w:type="auto"/>
        <w:tblBorders>
          <w:insideH w:val="none" w:sz="0" w:space="0" w:color="auto"/>
          <w:insideV w:val="none" w:sz="0" w:space="0" w:color="auto"/>
        </w:tblBorders>
        <w:tblLook w:val="00A0"/>
      </w:tblPr>
      <w:tblGrid>
        <w:gridCol w:w="4258"/>
        <w:gridCol w:w="4258"/>
      </w:tblGrid>
      <w:tr w:rsidR="001E4E8B">
        <w:tc>
          <w:tcPr>
            <w:tcW w:w="4258" w:type="dxa"/>
          </w:tcPr>
          <w:p w:rsidR="003E253D" w:rsidRDefault="003E253D" w:rsidP="001E4E8B">
            <w:pPr>
              <w:spacing w:after="0" w:line="360" w:lineRule="auto"/>
              <w:jc w:val="center"/>
              <w:rPr>
                <w:i/>
                <w:iCs/>
              </w:rPr>
            </w:pPr>
          </w:p>
          <w:p w:rsidR="001E4E8B" w:rsidRPr="001E4E8B" w:rsidRDefault="001E4E8B" w:rsidP="001E4E8B">
            <w:pPr>
              <w:spacing w:after="0" w:line="360" w:lineRule="auto"/>
              <w:jc w:val="center"/>
              <w:rPr>
                <w:i/>
                <w:iCs/>
              </w:rPr>
            </w:pPr>
            <w:r w:rsidRPr="001E4E8B">
              <w:rPr>
                <w:i/>
                <w:iCs/>
                <w:noProof/>
                <w:lang w:eastAsia="en-GB"/>
              </w:rPr>
              <w:drawing>
                <wp:inline distT="0" distB="0" distL="0" distR="0">
                  <wp:extent cx="2189676" cy="2706358"/>
                  <wp:effectExtent l="76200" t="25400" r="96324" b="62242"/>
                  <wp:docPr id="39" name="Picture 7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icture"/>
                          <pic:cNvPicPr>
                            <a:picLocks noChangeAspect="1" noChangeArrowheads="1"/>
                          </pic:cNvPicPr>
                        </pic:nvPicPr>
                        <pic:blipFill>
                          <a:blip r:embed="rId88" cstate="print"/>
                          <a:srcRect/>
                          <a:stretch>
                            <a:fillRect/>
                          </a:stretch>
                        </pic:blipFill>
                        <pic:spPr bwMode="auto">
                          <a:xfrm>
                            <a:off x="0" y="0"/>
                            <a:ext cx="2196076" cy="271426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258" w:type="dxa"/>
          </w:tcPr>
          <w:p w:rsidR="003E253D" w:rsidRDefault="003E253D" w:rsidP="001E4E8B">
            <w:pPr>
              <w:spacing w:after="0" w:line="360" w:lineRule="auto"/>
              <w:jc w:val="both"/>
              <w:rPr>
                <w:i/>
                <w:iCs/>
              </w:rPr>
            </w:pPr>
          </w:p>
          <w:p w:rsidR="001E4E8B" w:rsidRPr="001E4E8B" w:rsidRDefault="001E4E8B" w:rsidP="001E4E8B">
            <w:pPr>
              <w:spacing w:after="0" w:line="360" w:lineRule="auto"/>
              <w:jc w:val="both"/>
              <w:rPr>
                <w:i/>
                <w:iCs/>
              </w:rPr>
            </w:pPr>
            <w:r w:rsidRPr="001E4E8B">
              <w:rPr>
                <w:i/>
                <w:iCs/>
                <w:noProof/>
                <w:lang w:eastAsia="en-GB"/>
              </w:rPr>
              <w:drawing>
                <wp:inline distT="0" distB="0" distL="0" distR="0">
                  <wp:extent cx="2373865" cy="2654300"/>
                  <wp:effectExtent l="76200" t="25400" r="115335" b="63500"/>
                  <wp:docPr id="66" name="Picture 81" descr="http://tunbridgewellsfairtradegroup.weebly.com/uploads/1/1/4/1/11410357/616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tunbridgewellsfairtradegroup.weebly.com/uploads/1/1/4/1/11410357/6161280.jpg"/>
                          <pic:cNvPicPr>
                            <a:picLocks noChangeAspect="1" noChangeArrowheads="1"/>
                          </pic:cNvPicPr>
                        </pic:nvPicPr>
                        <pic:blipFill>
                          <a:blip r:embed="rId89" cstate="print"/>
                          <a:srcRect/>
                          <a:stretch>
                            <a:fillRect/>
                          </a:stretch>
                        </pic:blipFill>
                        <pic:spPr bwMode="auto">
                          <a:xfrm>
                            <a:off x="0" y="0"/>
                            <a:ext cx="2382915" cy="266441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3E253D">
        <w:tc>
          <w:tcPr>
            <w:tcW w:w="4258" w:type="dxa"/>
          </w:tcPr>
          <w:p w:rsidR="003E253D" w:rsidRDefault="003E253D" w:rsidP="001E4E8B">
            <w:pPr>
              <w:spacing w:after="0" w:line="360" w:lineRule="auto"/>
              <w:jc w:val="center"/>
              <w:rPr>
                <w:i/>
                <w:iCs/>
              </w:rPr>
            </w:pPr>
          </w:p>
        </w:tc>
        <w:tc>
          <w:tcPr>
            <w:tcW w:w="4258" w:type="dxa"/>
          </w:tcPr>
          <w:p w:rsidR="003E253D" w:rsidRDefault="003E253D" w:rsidP="001E4E8B">
            <w:pPr>
              <w:spacing w:after="0" w:line="360" w:lineRule="auto"/>
              <w:jc w:val="both"/>
              <w:rPr>
                <w:i/>
                <w:iCs/>
              </w:rPr>
            </w:pPr>
          </w:p>
        </w:tc>
      </w:tr>
    </w:tbl>
    <w:p w:rsidR="00472B3A" w:rsidRPr="003E253D" w:rsidRDefault="00472B3A" w:rsidP="001E4E8B">
      <w:pPr>
        <w:spacing w:after="0" w:line="360" w:lineRule="auto"/>
        <w:jc w:val="both"/>
        <w:rPr>
          <w:b/>
          <w:i/>
          <w:iCs/>
        </w:rPr>
      </w:pPr>
    </w:p>
    <w:p w:rsidR="003E091C" w:rsidRDefault="003E253D" w:rsidP="003E253D">
      <w:pPr>
        <w:pStyle w:val="Caption"/>
        <w:rPr>
          <w:rFonts w:ascii="Perpetua" w:hAnsi="Perpetua" w:cs="Times New Roman"/>
          <w:b w:val="0"/>
          <w:color w:val="auto"/>
          <w:sz w:val="20"/>
        </w:rPr>
      </w:pPr>
      <w:bookmarkStart w:id="586" w:name="_Toc263509048"/>
      <w:bookmarkStart w:id="587" w:name="_Toc263510835"/>
      <w:bookmarkStart w:id="588" w:name="_Toc244508251"/>
      <w:bookmarkStart w:id="589" w:name="_Toc244577313"/>
      <w:bookmarkStart w:id="590" w:name="_Toc263495782"/>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51</w:t>
      </w:r>
      <w:r w:rsidR="00DF2DF8" w:rsidRPr="003E091C">
        <w:rPr>
          <w:rFonts w:ascii="Perpetua" w:hAnsi="Perpetua"/>
          <w:b w:val="0"/>
          <w:color w:val="auto"/>
          <w:sz w:val="20"/>
        </w:rPr>
        <w:fldChar w:fldCharType="end"/>
      </w:r>
      <w:r w:rsidRPr="003E091C">
        <w:rPr>
          <w:rFonts w:ascii="Perpetua" w:hAnsi="Perpetua"/>
          <w:b w:val="0"/>
          <w:color w:val="auto"/>
          <w:sz w:val="20"/>
        </w:rPr>
        <w:t>:</w:t>
      </w:r>
      <w:r w:rsidRPr="003E253D">
        <w:rPr>
          <w:rFonts w:ascii="Perpetua" w:hAnsi="Perpetua"/>
          <w:b w:val="0"/>
          <w:color w:val="auto"/>
          <w:sz w:val="20"/>
        </w:rPr>
        <w:t xml:space="preserve"> </w:t>
      </w:r>
      <w:r w:rsidR="00472B3A" w:rsidRPr="003E253D">
        <w:rPr>
          <w:rFonts w:ascii="Perpetua" w:hAnsi="Perpetua" w:cs="Times New Roman"/>
          <w:b w:val="0"/>
          <w:color w:val="auto"/>
          <w:sz w:val="20"/>
        </w:rPr>
        <w:t>Left, plaque commemorating ‘Fairtrade Town’ status for Tunbridge Wells in Kent. Right, Tunbridge Wells’ Caverley shopping precinct adorned with fair trade cotton flags.</w:t>
      </w:r>
      <w:bookmarkEnd w:id="586"/>
      <w:bookmarkEnd w:id="587"/>
      <w:r w:rsidR="00472B3A" w:rsidRPr="003E253D">
        <w:rPr>
          <w:rFonts w:ascii="Perpetua" w:hAnsi="Perpetua" w:cs="Times New Roman"/>
          <w:b w:val="0"/>
          <w:color w:val="auto"/>
          <w:sz w:val="20"/>
        </w:rPr>
        <w:t xml:space="preserve"> </w:t>
      </w:r>
    </w:p>
    <w:p w:rsidR="003E253D" w:rsidRPr="003E091C" w:rsidRDefault="00472B3A" w:rsidP="003E091C">
      <w:pPr>
        <w:rPr>
          <w:rFonts w:ascii="Perpetua" w:hAnsi="Perpetua"/>
          <w:sz w:val="20"/>
        </w:rPr>
      </w:pPr>
      <w:r w:rsidRPr="003E091C">
        <w:rPr>
          <w:rFonts w:ascii="Perpetua" w:hAnsi="Perpetua"/>
          <w:sz w:val="20"/>
        </w:rPr>
        <w:t>The flags</w:t>
      </w:r>
      <w:r w:rsidR="003E091C" w:rsidRPr="003E091C">
        <w:rPr>
          <w:rFonts w:ascii="Perpetua" w:hAnsi="Perpetua"/>
          <w:sz w:val="20"/>
        </w:rPr>
        <w:t xml:space="preserve"> represent commodities sold in the town and </w:t>
      </w:r>
      <w:r w:rsidRPr="003E091C">
        <w:rPr>
          <w:rFonts w:ascii="Perpetua" w:hAnsi="Perpetua"/>
          <w:sz w:val="20"/>
        </w:rPr>
        <w:t>were produced by local schools and children participating in the 2011 nationwide ‘Fairtrade fortnight’</w:t>
      </w:r>
      <w:r w:rsidR="003E253D" w:rsidRPr="003E091C">
        <w:rPr>
          <w:rFonts w:ascii="Perpetua" w:hAnsi="Perpetua"/>
          <w:sz w:val="20"/>
        </w:rPr>
        <w:t>. Available at: http://tunbridgewellsfairtradegroup.weebly.com/events.html. (A</w:t>
      </w:r>
      <w:r w:rsidRPr="003E091C">
        <w:rPr>
          <w:rFonts w:ascii="Perpetua" w:hAnsi="Perpetua"/>
          <w:sz w:val="20"/>
        </w:rPr>
        <w:t>ccessed 2</w:t>
      </w:r>
      <w:r w:rsidR="003E253D" w:rsidRPr="003E091C">
        <w:rPr>
          <w:rFonts w:ascii="Perpetua" w:hAnsi="Perpetua"/>
          <w:sz w:val="20"/>
        </w:rPr>
        <w:t>5 September 2013)</w:t>
      </w:r>
      <w:bookmarkEnd w:id="588"/>
      <w:bookmarkEnd w:id="589"/>
      <w:bookmarkEnd w:id="590"/>
    </w:p>
    <w:p w:rsidR="00472B3A" w:rsidRPr="003E253D" w:rsidRDefault="00472B3A" w:rsidP="003E253D"/>
    <w:p w:rsidR="00CA7EC5" w:rsidRDefault="00472B3A" w:rsidP="003E253D">
      <w:pPr>
        <w:spacing w:after="0" w:line="360" w:lineRule="auto"/>
        <w:jc w:val="both"/>
        <w:rPr>
          <w:rFonts w:ascii="Garamond" w:hAnsi="Garamond" w:cs="Times New Roman"/>
          <w:sz w:val="24"/>
          <w:szCs w:val="24"/>
        </w:rPr>
      </w:pPr>
      <w:r>
        <w:rPr>
          <w:rFonts w:ascii="Garamond" w:hAnsi="Garamond" w:cs="Times New Roman"/>
          <w:sz w:val="24"/>
          <w:szCs w:val="24"/>
        </w:rPr>
        <w:t xml:space="preserve">Over the summer of 2011, I engaged in semi-structured interviews, email correspondence and phone conversations with activists from the Tunbridge Wells Fairtrade Town Group (TWFTG) steering committee, with the aim of understanding how connections between chocolate and children were constructed and situated during the Fairtrade Fortnight campaign of 2007. I focused on the activities of the steering committee (rather than the work of teachers and students) because members of this group brought together STT’s anti-trafficking chocolate campaigns with a Fairtrade Town campaign, and extended the child consumer-activist to specific activities and places. In a superb empirically-driven thesis on the micro-politics of Fairtrade Town </w:t>
      </w:r>
      <w:r>
        <w:rPr>
          <w:rFonts w:ascii="Garamond" w:hAnsi="Garamond" w:cs="Times New Roman"/>
          <w:sz w:val="24"/>
          <w:szCs w:val="24"/>
        </w:rPr>
        <w:lastRenderedPageBreak/>
        <w:t xml:space="preserve">campaigns, Samuel argues that town steering groups constitute the “beating heart of the Fairtrade Town” (2012: 213). In order to promote Fairtrade urbanism, Samuel demonstrates that steering groups bridge networks, embed fair trade into local activities and places, transform social activities into marketing opportunities through the ‘fetishized meaning’ of Fairtrade (Mike Goodman, 2004), use gift-giving to communicate emotion, and develop complex conversational methods of persuasion (2012: 214-226). </w:t>
      </w:r>
    </w:p>
    <w:p w:rsidR="00472B3A" w:rsidRDefault="00472B3A" w:rsidP="003E253D">
      <w:pPr>
        <w:spacing w:after="0" w:line="360" w:lineRule="auto"/>
        <w:jc w:val="both"/>
        <w:rPr>
          <w:rFonts w:ascii="Garamond" w:hAnsi="Garamond" w:cs="Times New Roman"/>
          <w:sz w:val="24"/>
          <w:szCs w:val="24"/>
        </w:rPr>
      </w:pPr>
    </w:p>
    <w:p w:rsidR="003E253D" w:rsidRDefault="00472B3A" w:rsidP="003E253D">
      <w:pPr>
        <w:spacing w:after="0" w:line="360" w:lineRule="auto"/>
        <w:jc w:val="both"/>
        <w:rPr>
          <w:rFonts w:ascii="Garamond" w:hAnsi="Garamond" w:cs="Times New Roman"/>
          <w:sz w:val="24"/>
          <w:szCs w:val="24"/>
        </w:rPr>
      </w:pPr>
      <w:r>
        <w:rPr>
          <w:rFonts w:ascii="Garamond" w:hAnsi="Garamond" w:cs="Times New Roman"/>
          <w:sz w:val="24"/>
          <w:szCs w:val="24"/>
        </w:rPr>
        <w:t xml:space="preserve">The creation of Fairtrade Towns has been a </w:t>
      </w:r>
      <w:r w:rsidR="00CA7EC5">
        <w:rPr>
          <w:rFonts w:ascii="Garamond" w:hAnsi="Garamond" w:cs="Times New Roman"/>
          <w:sz w:val="24"/>
          <w:szCs w:val="24"/>
        </w:rPr>
        <w:t xml:space="preserve">twentieth </w:t>
      </w:r>
      <w:r>
        <w:rPr>
          <w:rFonts w:ascii="Garamond" w:hAnsi="Garamond" w:cs="Times New Roman"/>
          <w:sz w:val="24"/>
          <w:szCs w:val="24"/>
        </w:rPr>
        <w:t xml:space="preserve">century phenomenon. </w:t>
      </w:r>
      <w:r w:rsidRPr="002E30FF">
        <w:rPr>
          <w:rFonts w:ascii="Garamond" w:hAnsi="Garamond" w:cs="Times New Roman"/>
          <w:sz w:val="24"/>
          <w:szCs w:val="24"/>
        </w:rPr>
        <w:t>At the turn of the millennium, a gro</w:t>
      </w:r>
      <w:r>
        <w:rPr>
          <w:rFonts w:ascii="Garamond" w:hAnsi="Garamond" w:cs="Times New Roman"/>
          <w:sz w:val="24"/>
          <w:szCs w:val="24"/>
        </w:rPr>
        <w:t>up of Oxfam activists from</w:t>
      </w:r>
      <w:r w:rsidRPr="002E30FF">
        <w:rPr>
          <w:rFonts w:ascii="Garamond" w:hAnsi="Garamond" w:cs="Times New Roman"/>
          <w:sz w:val="24"/>
          <w:szCs w:val="24"/>
        </w:rPr>
        <w:t xml:space="preserve"> the </w:t>
      </w:r>
      <w:r>
        <w:rPr>
          <w:rFonts w:ascii="Garamond" w:hAnsi="Garamond" w:cs="Times New Roman"/>
          <w:sz w:val="24"/>
          <w:szCs w:val="24"/>
        </w:rPr>
        <w:t>small market town of Garstang in</w:t>
      </w:r>
      <w:r w:rsidRPr="002E30FF">
        <w:rPr>
          <w:rFonts w:ascii="Garamond" w:hAnsi="Garamond" w:cs="Times New Roman"/>
          <w:sz w:val="24"/>
          <w:szCs w:val="24"/>
        </w:rPr>
        <w:t xml:space="preserve"> Lancashire launched a marketing initiative to raise awareness of fair trade in the local area. </w:t>
      </w:r>
      <w:r>
        <w:rPr>
          <w:rFonts w:ascii="Garamond" w:hAnsi="Garamond" w:cs="Times New Roman"/>
          <w:sz w:val="24"/>
          <w:szCs w:val="24"/>
        </w:rPr>
        <w:t>Central</w:t>
      </w:r>
      <w:r w:rsidRPr="002E30FF">
        <w:rPr>
          <w:rFonts w:ascii="Garamond" w:hAnsi="Garamond" w:cs="Times New Roman"/>
          <w:sz w:val="24"/>
          <w:szCs w:val="24"/>
        </w:rPr>
        <w:t xml:space="preserve"> to this initiative was to declare Garstang the world</w:t>
      </w:r>
      <w:r>
        <w:rPr>
          <w:rFonts w:ascii="Garamond" w:hAnsi="Garamond" w:cs="Times New Roman"/>
          <w:sz w:val="24"/>
          <w:szCs w:val="24"/>
        </w:rPr>
        <w:t>’</w:t>
      </w:r>
      <w:r w:rsidRPr="002E30FF">
        <w:rPr>
          <w:rFonts w:ascii="Garamond" w:hAnsi="Garamond" w:cs="Times New Roman"/>
          <w:sz w:val="24"/>
          <w:szCs w:val="24"/>
        </w:rPr>
        <w:t xml:space="preserve">s first </w:t>
      </w:r>
      <w:r>
        <w:rPr>
          <w:rFonts w:ascii="Garamond" w:hAnsi="Garamond" w:cs="Times New Roman"/>
          <w:sz w:val="24"/>
          <w:szCs w:val="24"/>
        </w:rPr>
        <w:t>‘</w:t>
      </w:r>
      <w:r w:rsidRPr="002E30FF">
        <w:rPr>
          <w:rFonts w:ascii="Garamond" w:hAnsi="Garamond" w:cs="Times New Roman"/>
          <w:sz w:val="24"/>
          <w:szCs w:val="24"/>
        </w:rPr>
        <w:t>Fairtrade Town</w:t>
      </w:r>
      <w:r>
        <w:rPr>
          <w:rFonts w:ascii="Garamond" w:hAnsi="Garamond" w:cs="Times New Roman"/>
          <w:sz w:val="24"/>
          <w:szCs w:val="24"/>
        </w:rPr>
        <w:t>’</w:t>
      </w:r>
      <w:r w:rsidRPr="002E30FF">
        <w:rPr>
          <w:rFonts w:ascii="Garamond" w:hAnsi="Garamond" w:cs="Times New Roman"/>
          <w:sz w:val="24"/>
          <w:szCs w:val="24"/>
        </w:rPr>
        <w:t xml:space="preserve">. </w:t>
      </w:r>
      <w:r>
        <w:rPr>
          <w:rFonts w:ascii="Garamond" w:hAnsi="Garamond" w:cs="Times New Roman"/>
          <w:sz w:val="24"/>
          <w:szCs w:val="24"/>
        </w:rPr>
        <w:t xml:space="preserve">In 2001 </w:t>
      </w:r>
      <w:r w:rsidRPr="002E30FF">
        <w:rPr>
          <w:rFonts w:ascii="Garamond" w:hAnsi="Garamond" w:cs="Times New Roman"/>
          <w:sz w:val="24"/>
          <w:szCs w:val="24"/>
        </w:rPr>
        <w:t>the Fair Trade Foundation (FTF) appropriated Garstang</w:t>
      </w:r>
      <w:r>
        <w:rPr>
          <w:rFonts w:ascii="Garamond" w:hAnsi="Garamond" w:cs="Times New Roman"/>
          <w:sz w:val="24"/>
          <w:szCs w:val="24"/>
        </w:rPr>
        <w:t>’</w:t>
      </w:r>
      <w:r w:rsidRPr="002E30FF">
        <w:rPr>
          <w:rFonts w:ascii="Garamond" w:hAnsi="Garamond" w:cs="Times New Roman"/>
          <w:sz w:val="24"/>
          <w:szCs w:val="24"/>
        </w:rPr>
        <w:t xml:space="preserve">s framework for a </w:t>
      </w:r>
      <w:r>
        <w:rPr>
          <w:rFonts w:ascii="Garamond" w:hAnsi="Garamond" w:cs="Times New Roman"/>
          <w:sz w:val="24"/>
          <w:szCs w:val="24"/>
        </w:rPr>
        <w:t>Fairtrade Town</w:t>
      </w:r>
      <w:r w:rsidRPr="002E30FF">
        <w:rPr>
          <w:rFonts w:ascii="Garamond" w:hAnsi="Garamond" w:cs="Times New Roman"/>
          <w:sz w:val="24"/>
          <w:szCs w:val="24"/>
        </w:rPr>
        <w:t xml:space="preserve"> as a</w:t>
      </w:r>
      <w:r>
        <w:rPr>
          <w:rFonts w:ascii="Garamond" w:hAnsi="Garamond" w:cs="Times New Roman"/>
          <w:sz w:val="24"/>
          <w:szCs w:val="24"/>
        </w:rPr>
        <w:t xml:space="preserve"> </w:t>
      </w:r>
      <w:r w:rsidRPr="002E30FF">
        <w:rPr>
          <w:rFonts w:ascii="Garamond" w:hAnsi="Garamond" w:cs="Times New Roman"/>
          <w:sz w:val="24"/>
          <w:szCs w:val="24"/>
        </w:rPr>
        <w:t>template</w:t>
      </w:r>
      <w:r>
        <w:rPr>
          <w:rFonts w:ascii="Garamond" w:hAnsi="Garamond" w:cs="Times New Roman"/>
          <w:sz w:val="24"/>
          <w:szCs w:val="24"/>
        </w:rPr>
        <w:t xml:space="preserve"> for grassroots civilian activism</w:t>
      </w:r>
      <w:r w:rsidRPr="002E30FF">
        <w:rPr>
          <w:rFonts w:ascii="Garamond" w:hAnsi="Garamond" w:cs="Times New Roman"/>
          <w:sz w:val="24"/>
          <w:szCs w:val="24"/>
        </w:rPr>
        <w:t xml:space="preserve"> that </w:t>
      </w:r>
      <w:r>
        <w:rPr>
          <w:rFonts w:ascii="Garamond" w:hAnsi="Garamond" w:cs="Times New Roman"/>
          <w:sz w:val="24"/>
          <w:szCs w:val="24"/>
        </w:rPr>
        <w:t xml:space="preserve">could be dispersed nationwide in town, island and zone </w:t>
      </w:r>
      <w:r w:rsidRPr="002E30FF">
        <w:rPr>
          <w:rFonts w:ascii="Garamond" w:hAnsi="Garamond" w:cs="Times New Roman"/>
          <w:sz w:val="24"/>
          <w:szCs w:val="24"/>
        </w:rPr>
        <w:t xml:space="preserve">campaigns (Alexander </w:t>
      </w:r>
      <w:r w:rsidR="00F152DB">
        <w:rPr>
          <w:rFonts w:ascii="Garamond" w:hAnsi="Garamond" w:cs="Times New Roman"/>
          <w:sz w:val="24"/>
          <w:szCs w:val="24"/>
        </w:rPr>
        <w:t>and</w:t>
      </w:r>
      <w:r w:rsidRPr="002E30FF">
        <w:rPr>
          <w:rFonts w:ascii="Garamond" w:hAnsi="Garamond" w:cs="Times New Roman"/>
          <w:sz w:val="24"/>
          <w:szCs w:val="24"/>
        </w:rPr>
        <w:t xml:space="preserve"> Nicholls, 2006; </w:t>
      </w:r>
      <w:r>
        <w:rPr>
          <w:rFonts w:ascii="Garamond" w:hAnsi="Garamond" w:cs="Times New Roman"/>
          <w:sz w:val="24"/>
          <w:szCs w:val="24"/>
        </w:rPr>
        <w:t>Malpass et</w:t>
      </w:r>
      <w:r w:rsidRPr="002E30FF">
        <w:rPr>
          <w:rFonts w:ascii="Garamond" w:hAnsi="Garamond" w:cs="Times New Roman"/>
          <w:sz w:val="24"/>
          <w:szCs w:val="24"/>
        </w:rPr>
        <w:t xml:space="preserve"> al., 2007; Barnett e</w:t>
      </w:r>
      <w:r>
        <w:rPr>
          <w:rFonts w:ascii="Garamond" w:hAnsi="Garamond" w:cs="Times New Roman"/>
          <w:sz w:val="24"/>
          <w:szCs w:val="24"/>
        </w:rPr>
        <w:t>t</w:t>
      </w:r>
      <w:r w:rsidRPr="002E30FF">
        <w:rPr>
          <w:rFonts w:ascii="Garamond" w:hAnsi="Garamond" w:cs="Times New Roman"/>
          <w:sz w:val="24"/>
          <w:szCs w:val="24"/>
        </w:rPr>
        <w:t xml:space="preserve"> al., 2011</w:t>
      </w:r>
      <w:r>
        <w:rPr>
          <w:rFonts w:ascii="Garamond" w:hAnsi="Garamond" w:cs="Times New Roman"/>
          <w:sz w:val="24"/>
          <w:szCs w:val="24"/>
        </w:rPr>
        <w:t>) and scaled-up to the development of ‘Fairt</w:t>
      </w:r>
      <w:r w:rsidRPr="002E30FF">
        <w:rPr>
          <w:rFonts w:ascii="Garamond" w:hAnsi="Garamond" w:cs="Times New Roman"/>
          <w:sz w:val="24"/>
          <w:szCs w:val="24"/>
        </w:rPr>
        <w:t>rade Nations</w:t>
      </w:r>
      <w:r>
        <w:rPr>
          <w:rFonts w:ascii="Garamond" w:hAnsi="Garamond" w:cs="Times New Roman"/>
          <w:sz w:val="24"/>
          <w:szCs w:val="24"/>
        </w:rPr>
        <w:t>’</w:t>
      </w:r>
      <w:r w:rsidRPr="002E30FF">
        <w:rPr>
          <w:rFonts w:ascii="Garamond" w:hAnsi="Garamond" w:cs="Times New Roman"/>
          <w:sz w:val="24"/>
          <w:szCs w:val="24"/>
        </w:rPr>
        <w:t>, a status inaugurally awarded to Wales in 2008 (Fisher, 2012).</w:t>
      </w:r>
      <w:r>
        <w:rPr>
          <w:rStyle w:val="FootnoteReference"/>
          <w:rFonts w:ascii="Garamond" w:hAnsi="Garamond"/>
          <w:sz w:val="24"/>
          <w:szCs w:val="24"/>
        </w:rPr>
        <w:footnoteReference w:id="129"/>
      </w:r>
      <w:r w:rsidRPr="002E30FF">
        <w:rPr>
          <w:rFonts w:ascii="Garamond" w:hAnsi="Garamond" w:cs="Times New Roman"/>
          <w:sz w:val="24"/>
          <w:szCs w:val="24"/>
        </w:rPr>
        <w:t xml:space="preserve"> As of September 2013, there were 566 Fairtrade Towns listed in the UK on the FTF website, in additio</w:t>
      </w:r>
      <w:r>
        <w:rPr>
          <w:rFonts w:ascii="Garamond" w:hAnsi="Garamond" w:cs="Times New Roman"/>
          <w:sz w:val="24"/>
          <w:szCs w:val="24"/>
        </w:rPr>
        <w:t>n to towns and cities from</w:t>
      </w:r>
      <w:r w:rsidRPr="002E30FF">
        <w:rPr>
          <w:rFonts w:ascii="Garamond" w:hAnsi="Garamond" w:cs="Times New Roman"/>
          <w:sz w:val="24"/>
          <w:szCs w:val="24"/>
        </w:rPr>
        <w:t xml:space="preserve"> 23 participating countries.</w:t>
      </w:r>
      <w:r w:rsidRPr="002E30FF">
        <w:rPr>
          <w:rStyle w:val="FootnoteReference"/>
          <w:rFonts w:ascii="Garamond" w:hAnsi="Garamond"/>
          <w:sz w:val="24"/>
          <w:szCs w:val="24"/>
        </w:rPr>
        <w:footnoteReference w:id="130"/>
      </w:r>
      <w:r w:rsidRPr="002E30FF">
        <w:rPr>
          <w:rFonts w:ascii="Garamond" w:hAnsi="Garamond" w:cs="Times New Roman"/>
          <w:sz w:val="24"/>
          <w:szCs w:val="24"/>
        </w:rPr>
        <w:t xml:space="preserve"> </w:t>
      </w:r>
      <w:r>
        <w:rPr>
          <w:rFonts w:ascii="Garamond" w:hAnsi="Garamond" w:cs="Times New Roman"/>
          <w:sz w:val="24"/>
          <w:szCs w:val="24"/>
        </w:rPr>
        <w:t xml:space="preserve">Over the last decade </w:t>
      </w:r>
      <w:r w:rsidRPr="002E30FF">
        <w:rPr>
          <w:rFonts w:ascii="Garamond" w:hAnsi="Garamond" w:cs="Times New Roman"/>
          <w:sz w:val="24"/>
          <w:szCs w:val="24"/>
        </w:rPr>
        <w:t xml:space="preserve">FTF </w:t>
      </w:r>
      <w:r>
        <w:rPr>
          <w:rFonts w:ascii="Garamond" w:hAnsi="Garamond" w:cs="Times New Roman"/>
          <w:sz w:val="24"/>
          <w:szCs w:val="24"/>
        </w:rPr>
        <w:t>have implemented what Barnett et</w:t>
      </w:r>
      <w:r w:rsidRPr="002E30FF">
        <w:rPr>
          <w:rFonts w:ascii="Garamond" w:hAnsi="Garamond" w:cs="Times New Roman"/>
          <w:sz w:val="24"/>
          <w:szCs w:val="24"/>
        </w:rPr>
        <w:t xml:space="preserve"> al</w:t>
      </w:r>
      <w:r>
        <w:rPr>
          <w:rFonts w:ascii="Garamond" w:hAnsi="Garamond" w:cs="Times New Roman"/>
          <w:sz w:val="24"/>
          <w:szCs w:val="24"/>
        </w:rPr>
        <w:t>.</w:t>
      </w:r>
      <w:r w:rsidRPr="002E30FF">
        <w:rPr>
          <w:rFonts w:ascii="Garamond" w:hAnsi="Garamond" w:cs="Times New Roman"/>
          <w:sz w:val="24"/>
          <w:szCs w:val="24"/>
        </w:rPr>
        <w:t xml:space="preserve"> describe as</w:t>
      </w:r>
      <w:r>
        <w:rPr>
          <w:rFonts w:ascii="Garamond" w:hAnsi="Garamond" w:cs="Times New Roman"/>
          <w:sz w:val="24"/>
          <w:szCs w:val="24"/>
        </w:rPr>
        <w:t xml:space="preserve"> “place sensitive strategies to develop... a distributed sense of responsibility” </w:t>
      </w:r>
      <w:r w:rsidRPr="002E30FF">
        <w:rPr>
          <w:rFonts w:ascii="Garamond" w:hAnsi="Garamond" w:cs="Times New Roman"/>
          <w:sz w:val="24"/>
          <w:szCs w:val="24"/>
        </w:rPr>
        <w:t>(2011</w:t>
      </w:r>
      <w:r>
        <w:rPr>
          <w:rFonts w:ascii="Garamond" w:hAnsi="Garamond" w:cs="Times New Roman"/>
          <w:sz w:val="24"/>
          <w:szCs w:val="24"/>
        </w:rPr>
        <w:t>: 184)</w:t>
      </w:r>
      <w:r w:rsidRPr="002E30FF">
        <w:rPr>
          <w:rFonts w:ascii="Garamond" w:hAnsi="Garamond" w:cs="Times New Roman"/>
          <w:sz w:val="24"/>
          <w:szCs w:val="24"/>
        </w:rPr>
        <w:t xml:space="preserve"> by situating fair trade across localities and in different types of places</w:t>
      </w:r>
      <w:r>
        <w:rPr>
          <w:rFonts w:ascii="Garamond" w:hAnsi="Garamond" w:cs="Times New Roman"/>
          <w:sz w:val="24"/>
          <w:szCs w:val="24"/>
        </w:rPr>
        <w:t>.</w:t>
      </w:r>
      <w:r w:rsidRPr="002E30FF">
        <w:rPr>
          <w:rFonts w:ascii="Garamond" w:hAnsi="Garamond" w:cs="Times New Roman"/>
          <w:sz w:val="24"/>
          <w:szCs w:val="24"/>
        </w:rPr>
        <w:t xml:space="preserve"> </w:t>
      </w:r>
      <w:r>
        <w:rPr>
          <w:rFonts w:ascii="Garamond" w:hAnsi="Garamond" w:cs="Times New Roman"/>
          <w:sz w:val="24"/>
          <w:szCs w:val="24"/>
        </w:rPr>
        <w:t>T</w:t>
      </w:r>
      <w:r w:rsidRPr="002E30FF">
        <w:rPr>
          <w:rFonts w:ascii="Garamond" w:hAnsi="Garamond" w:cs="Times New Roman"/>
          <w:sz w:val="24"/>
          <w:szCs w:val="24"/>
        </w:rPr>
        <w:t>he FTF website lists hundreds of Fairtrade Universities, Fairtrade Schools and Fairtrade Places of Worship.</w:t>
      </w:r>
    </w:p>
    <w:p w:rsidR="003E253D" w:rsidRDefault="003E253D" w:rsidP="003E253D">
      <w:pPr>
        <w:spacing w:after="0" w:line="360" w:lineRule="auto"/>
        <w:jc w:val="both"/>
        <w:rPr>
          <w:rFonts w:ascii="Garamond" w:hAnsi="Garamond" w:cs="Times New Roman"/>
          <w:sz w:val="24"/>
          <w:szCs w:val="24"/>
        </w:rPr>
      </w:pPr>
    </w:p>
    <w:p w:rsidR="00CA7EC5" w:rsidRDefault="00472B3A" w:rsidP="0018733B">
      <w:pPr>
        <w:spacing w:after="0" w:line="360" w:lineRule="auto"/>
        <w:jc w:val="both"/>
        <w:rPr>
          <w:rFonts w:ascii="Garamond" w:hAnsi="Garamond" w:cs="Times New Roman"/>
          <w:sz w:val="24"/>
          <w:szCs w:val="24"/>
        </w:rPr>
      </w:pPr>
      <w:r>
        <w:rPr>
          <w:rFonts w:ascii="Garamond" w:hAnsi="Garamond" w:cs="Times New Roman"/>
          <w:sz w:val="24"/>
          <w:szCs w:val="24"/>
        </w:rPr>
        <w:t xml:space="preserve">During the Fairtrade Fortnight of 2006, the TWFTG steering committee recruited local artist Julian Rowe to co-ordinate an art installation involving students from 27 schools in the locality as part of the town’s bid to achieve Fairtrade status. The installation articulated a child-consumer topos; the work conjoined the handwork of hundreds of children of Tunbridge Wells with the popular interpretation of fair trade as a means for farmers in the Global South to achieve better yields and profits. The BBC reported that the steering committee’s decision to re-interpret </w:t>
      </w:r>
      <w:r w:rsidRPr="003E253D">
        <w:rPr>
          <w:rFonts w:ascii="Garamond" w:hAnsi="Garamond" w:cs="Arial"/>
          <w:sz w:val="24"/>
          <w:szCs w:val="24"/>
          <w:shd w:val="clear" w:color="auto" w:fill="FFFFFF"/>
        </w:rPr>
        <w:t>Jean-François Millet</w:t>
      </w:r>
      <w:r>
        <w:rPr>
          <w:rFonts w:ascii="Garamond" w:hAnsi="Garamond"/>
          <w:sz w:val="24"/>
          <w:szCs w:val="24"/>
        </w:rPr>
        <w:t>’s</w:t>
      </w:r>
      <w:r>
        <w:rPr>
          <w:rFonts w:ascii="Garamond" w:hAnsi="Garamond" w:cs="Times New Roman"/>
          <w:sz w:val="24"/>
          <w:szCs w:val="24"/>
        </w:rPr>
        <w:t xml:space="preserve"> </w:t>
      </w:r>
      <w:r w:rsidRPr="00812572">
        <w:rPr>
          <w:rFonts w:ascii="Garamond" w:hAnsi="Garamond" w:cs="Times New Roman"/>
          <w:i/>
          <w:sz w:val="24"/>
          <w:szCs w:val="24"/>
        </w:rPr>
        <w:t>Gleaners</w:t>
      </w:r>
      <w:r>
        <w:rPr>
          <w:rFonts w:ascii="Garamond" w:hAnsi="Garamond" w:cs="Times New Roman"/>
          <w:sz w:val="24"/>
          <w:szCs w:val="24"/>
        </w:rPr>
        <w:t xml:space="preserve"> (1857) was motivated by it</w:t>
      </w:r>
      <w:r w:rsidR="0083568A">
        <w:rPr>
          <w:rFonts w:ascii="Garamond" w:hAnsi="Garamond" w:cs="Times New Roman"/>
          <w:sz w:val="24"/>
          <w:szCs w:val="24"/>
        </w:rPr>
        <w:t>s</w:t>
      </w:r>
      <w:r>
        <w:rPr>
          <w:rFonts w:ascii="Garamond" w:hAnsi="Garamond" w:cs="Times New Roman"/>
          <w:sz w:val="24"/>
          <w:szCs w:val="24"/>
        </w:rPr>
        <w:t xml:space="preserve"> depiction of “the poor gathering leftover grain after the crop has </w:t>
      </w:r>
      <w:r>
        <w:rPr>
          <w:rFonts w:ascii="Garamond" w:hAnsi="Garamond" w:cs="Times New Roman"/>
          <w:sz w:val="24"/>
          <w:szCs w:val="24"/>
        </w:rPr>
        <w:lastRenderedPageBreak/>
        <w:t>been harvested” which, the article continues, enabled “parallels with life in the Third World today”.</w:t>
      </w:r>
      <w:r>
        <w:rPr>
          <w:rStyle w:val="FootnoteReference"/>
          <w:rFonts w:ascii="Garamond" w:hAnsi="Garamond"/>
          <w:sz w:val="24"/>
          <w:szCs w:val="24"/>
        </w:rPr>
        <w:footnoteReference w:id="131"/>
      </w:r>
      <w:r>
        <w:rPr>
          <w:rFonts w:ascii="Garamond" w:hAnsi="Garamond" w:cs="Times New Roman"/>
          <w:sz w:val="24"/>
          <w:szCs w:val="24"/>
        </w:rPr>
        <w:t xml:space="preserve"> A second BBC article on the art installation began with the headline, ‘Patchwork art an important lesson’:</w:t>
      </w:r>
    </w:p>
    <w:p w:rsidR="00472B3A" w:rsidRPr="003E253D" w:rsidRDefault="00472B3A" w:rsidP="0018733B">
      <w:pPr>
        <w:spacing w:after="0" w:line="360" w:lineRule="auto"/>
        <w:jc w:val="both"/>
        <w:rPr>
          <w:rFonts w:ascii="Garamond" w:hAnsi="Garamond" w:cs="Times New Roman"/>
          <w:sz w:val="24"/>
          <w:szCs w:val="24"/>
        </w:rPr>
      </w:pPr>
    </w:p>
    <w:p w:rsidR="00472B3A" w:rsidRPr="00A33FCB" w:rsidRDefault="00472B3A" w:rsidP="0018733B">
      <w:pPr>
        <w:spacing w:after="0" w:line="360" w:lineRule="auto"/>
        <w:ind w:left="284" w:right="284"/>
        <w:jc w:val="both"/>
        <w:rPr>
          <w:rFonts w:ascii="Garamond" w:eastAsia="Times New Roman" w:hAnsi="Garamond" w:cs="Times New Roman"/>
          <w:lang w:eastAsia="en-GB"/>
        </w:rPr>
      </w:pPr>
      <w:r w:rsidRPr="00A33FCB">
        <w:rPr>
          <w:rFonts w:ascii="Garamond" w:eastAsia="Times New Roman" w:hAnsi="Garamond" w:cs="Times New Roman"/>
          <w:bCs/>
          <w:color w:val="000000"/>
          <w:shd w:val="clear" w:color="auto" w:fill="FFFFFF"/>
          <w:lang w:eastAsia="en-GB"/>
        </w:rPr>
        <w:t>Schoolchildren who took part in a project to recreate a 19th Century masterpiece taught their community an important lesson, organisers said.</w:t>
      </w:r>
      <w:r w:rsidRPr="00180785">
        <w:rPr>
          <w:rFonts w:ascii="Garamond" w:eastAsia="Times New Roman" w:hAnsi="Garamond" w:cs="Times New Roman"/>
          <w:lang w:eastAsia="en-GB"/>
        </w:rPr>
        <w:t xml:space="preserve"> </w:t>
      </w:r>
      <w:r w:rsidRPr="00A33FCB">
        <w:rPr>
          <w:rFonts w:ascii="Garamond" w:eastAsia="Times New Roman" w:hAnsi="Garamond" w:cs="Times New Roman"/>
          <w:color w:val="000000"/>
          <w:lang w:eastAsia="en-GB"/>
        </w:rPr>
        <w:t>Hundreds of Kent children painted more than 250 panels to put together a Rolf Harris-style giant copy of Jean Francois Millet</w:t>
      </w:r>
      <w:r>
        <w:rPr>
          <w:rFonts w:ascii="Garamond" w:eastAsia="Times New Roman" w:hAnsi="Garamond" w:cs="Times New Roman"/>
          <w:color w:val="000000"/>
          <w:lang w:eastAsia="en-GB"/>
        </w:rPr>
        <w:t>’</w:t>
      </w:r>
      <w:r w:rsidRPr="00A33FCB">
        <w:rPr>
          <w:rFonts w:ascii="Garamond" w:eastAsia="Times New Roman" w:hAnsi="Garamond" w:cs="Times New Roman"/>
          <w:color w:val="000000"/>
          <w:lang w:eastAsia="en-GB"/>
        </w:rPr>
        <w:t>s The Gleaners.</w:t>
      </w:r>
      <w:r w:rsidRPr="00180785">
        <w:rPr>
          <w:rFonts w:ascii="Garamond" w:eastAsia="Times New Roman" w:hAnsi="Garamond" w:cs="Times New Roman"/>
          <w:color w:val="000000"/>
          <w:lang w:eastAsia="en-GB"/>
        </w:rPr>
        <w:t xml:space="preserve"> The 16ft-by-13ft </w:t>
      </w:r>
      <w:r>
        <w:rPr>
          <w:rFonts w:ascii="Garamond" w:eastAsia="Times New Roman" w:hAnsi="Garamond" w:cs="Times New Roman"/>
          <w:color w:val="000000"/>
          <w:lang w:eastAsia="en-GB"/>
        </w:rPr>
        <w:t>‘</w:t>
      </w:r>
      <w:r w:rsidRPr="00180785">
        <w:rPr>
          <w:rFonts w:ascii="Garamond" w:eastAsia="Times New Roman" w:hAnsi="Garamond" w:cs="Times New Roman"/>
          <w:color w:val="000000"/>
          <w:lang w:eastAsia="en-GB"/>
        </w:rPr>
        <w:t>patchwork</w:t>
      </w:r>
      <w:r>
        <w:rPr>
          <w:rFonts w:ascii="Garamond" w:eastAsia="Times New Roman" w:hAnsi="Garamond" w:cs="Times New Roman"/>
          <w:color w:val="000000"/>
          <w:lang w:eastAsia="en-GB"/>
        </w:rPr>
        <w:t>’</w:t>
      </w:r>
      <w:r w:rsidRPr="00A33FCB">
        <w:rPr>
          <w:rFonts w:ascii="Garamond" w:eastAsia="Times New Roman" w:hAnsi="Garamond" w:cs="Times New Roman"/>
          <w:color w:val="000000"/>
          <w:lang w:eastAsia="en-GB"/>
        </w:rPr>
        <w:t xml:space="preserve"> was displayed in Tunbridge Wells.</w:t>
      </w:r>
      <w:r w:rsidRPr="00180785">
        <w:rPr>
          <w:rFonts w:ascii="Garamond" w:eastAsia="Times New Roman" w:hAnsi="Garamond" w:cs="Times New Roman"/>
          <w:lang w:eastAsia="en-GB"/>
        </w:rPr>
        <w:t xml:space="preserve"> </w:t>
      </w:r>
      <w:r>
        <w:rPr>
          <w:rFonts w:ascii="Garamond" w:eastAsia="Times New Roman" w:hAnsi="Garamond" w:cs="Times New Roman"/>
          <w:color w:val="000000"/>
          <w:lang w:eastAsia="en-GB"/>
        </w:rPr>
        <w:t>“</w:t>
      </w:r>
      <w:r w:rsidRPr="00A33FCB">
        <w:rPr>
          <w:rFonts w:ascii="Garamond" w:eastAsia="Times New Roman" w:hAnsi="Garamond" w:cs="Times New Roman"/>
          <w:color w:val="000000"/>
          <w:lang w:eastAsia="en-GB"/>
        </w:rPr>
        <w:t>It showed what can ha</w:t>
      </w:r>
      <w:r>
        <w:rPr>
          <w:rFonts w:ascii="Garamond" w:eastAsia="Times New Roman" w:hAnsi="Garamond" w:cs="Times New Roman"/>
          <w:color w:val="000000"/>
          <w:lang w:eastAsia="en-GB"/>
        </w:rPr>
        <w:t>ppen when people work together</w:t>
      </w:r>
      <w:r w:rsidRPr="00A33FCB">
        <w:rPr>
          <w:rFonts w:ascii="Garamond" w:eastAsia="Times New Roman" w:hAnsi="Garamond" w:cs="Times New Roman"/>
          <w:color w:val="000000"/>
          <w:lang w:eastAsia="en-GB"/>
        </w:rPr>
        <w:t>.</w:t>
      </w:r>
      <w:r w:rsidRPr="00180785">
        <w:rPr>
          <w:rFonts w:ascii="Garamond" w:eastAsia="Times New Roman" w:hAnsi="Garamond" w:cs="Times New Roman"/>
          <w:color w:val="000000"/>
          <w:lang w:eastAsia="en-GB"/>
        </w:rPr>
        <w:t>..</w:t>
      </w:r>
      <w:r>
        <w:rPr>
          <w:rFonts w:ascii="Garamond" w:eastAsia="Times New Roman" w:hAnsi="Garamond" w:cs="Times New Roman"/>
          <w:color w:val="000000"/>
          <w:lang w:eastAsia="en-GB"/>
        </w:rPr>
        <w:t xml:space="preserve"> </w:t>
      </w:r>
      <w:r w:rsidRPr="00180785">
        <w:rPr>
          <w:rFonts w:ascii="Garamond" w:hAnsi="Garamond"/>
          <w:color w:val="000000"/>
          <w:shd w:val="clear" w:color="auto" w:fill="FFFFFF"/>
        </w:rPr>
        <w:t>we created a piece of art of breathtaking scale and beauty</w:t>
      </w:r>
      <w:r>
        <w:rPr>
          <w:rFonts w:ascii="Garamond" w:hAnsi="Garamond"/>
          <w:color w:val="000000"/>
          <w:shd w:val="clear" w:color="auto" w:fill="FFFFFF"/>
        </w:rPr>
        <w:t xml:space="preserve">”, </w:t>
      </w:r>
      <w:r w:rsidRPr="00A33FCB">
        <w:rPr>
          <w:rFonts w:ascii="Garamond" w:eastAsia="Times New Roman" w:hAnsi="Garamond" w:cs="Times New Roman"/>
          <w:color w:val="000000"/>
          <w:lang w:eastAsia="en-GB"/>
        </w:rPr>
        <w:t>said organiser Mandy Flashman-Wells</w:t>
      </w:r>
      <w:r>
        <w:rPr>
          <w:rFonts w:ascii="Garamond" w:eastAsia="Times New Roman" w:hAnsi="Garamond" w:cs="Times New Roman"/>
          <w:color w:val="000000"/>
          <w:lang w:eastAsia="en-GB"/>
        </w:rPr>
        <w:t>.</w:t>
      </w:r>
      <w:r>
        <w:rPr>
          <w:rFonts w:ascii="Garamond" w:hAnsi="Garamond"/>
          <w:color w:val="000000"/>
          <w:shd w:val="clear" w:color="auto" w:fill="FFFFFF"/>
        </w:rPr>
        <w:t xml:space="preserve"> </w:t>
      </w:r>
      <w:r w:rsidRPr="00180785">
        <w:rPr>
          <w:rFonts w:ascii="Garamond" w:eastAsia="Times New Roman" w:hAnsi="Garamond" w:cs="Times New Roman"/>
          <w:color w:val="000000"/>
          <w:lang w:eastAsia="en-GB"/>
        </w:rPr>
        <w:t>(BBC News, March 18th 2006)</w:t>
      </w:r>
      <w:r w:rsidRPr="00180785">
        <w:rPr>
          <w:rStyle w:val="FootnoteReference"/>
          <w:rFonts w:ascii="Garamond" w:hAnsi="Garamond"/>
          <w:color w:val="000000"/>
          <w:lang w:eastAsia="en-GB"/>
        </w:rPr>
        <w:footnoteReference w:id="132"/>
      </w:r>
    </w:p>
    <w:p w:rsidR="00472B3A" w:rsidRDefault="00472B3A" w:rsidP="0018733B">
      <w:pPr>
        <w:spacing w:after="0" w:line="360" w:lineRule="auto"/>
        <w:jc w:val="both"/>
        <w:rPr>
          <w:rFonts w:ascii="Garamond" w:hAnsi="Garamond" w:cs="Times New Roman"/>
          <w:sz w:val="24"/>
          <w:szCs w:val="24"/>
        </w:rPr>
      </w:pPr>
    </w:p>
    <w:p w:rsidR="00CA7EC5" w:rsidRDefault="00472B3A" w:rsidP="0018733B">
      <w:pPr>
        <w:spacing w:after="0" w:line="360" w:lineRule="auto"/>
        <w:jc w:val="both"/>
        <w:rPr>
          <w:rFonts w:ascii="Garamond" w:hAnsi="Garamond" w:cs="Times New Roman"/>
          <w:sz w:val="24"/>
          <w:szCs w:val="24"/>
        </w:rPr>
      </w:pPr>
      <w:r>
        <w:rPr>
          <w:rFonts w:ascii="Garamond" w:hAnsi="Garamond" w:cs="Times New Roman"/>
          <w:sz w:val="24"/>
          <w:szCs w:val="24"/>
        </w:rPr>
        <w:t xml:space="preserve">The Fairtrade Town steering committee proposed that the art installation showed how children could play a leading role in publicizing fair trade, and equally in sharing responsibility for creating fairer relationships between consumers and producers. In the following year, the Tunbridge Wells steering committee’s relationship with STT allowed the group to expand on this child-orientated manifestation of what Massey (2007) terms ‘place beyond place’ through chocolate.  </w:t>
      </w:r>
    </w:p>
    <w:p w:rsidR="00CA7EC5" w:rsidRDefault="00CA7EC5" w:rsidP="0018733B">
      <w:pPr>
        <w:spacing w:after="0" w:line="360" w:lineRule="auto"/>
        <w:jc w:val="both"/>
        <w:rPr>
          <w:rFonts w:ascii="Garamond" w:hAnsi="Garamond" w:cs="Times New Roman"/>
          <w:sz w:val="24"/>
          <w:szCs w:val="24"/>
        </w:rPr>
      </w:pPr>
    </w:p>
    <w:tbl>
      <w:tblPr>
        <w:tblStyle w:val="TableGrid"/>
        <w:tblW w:w="9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707"/>
        <w:gridCol w:w="3403"/>
      </w:tblGrid>
      <w:tr w:rsidR="00052AFB">
        <w:trPr>
          <w:trHeight w:val="4980"/>
        </w:trPr>
        <w:tc>
          <w:tcPr>
            <w:tcW w:w="5707" w:type="dxa"/>
          </w:tcPr>
          <w:p w:rsidR="00052AFB" w:rsidRPr="00052AFB" w:rsidRDefault="00052AFB" w:rsidP="0018733B">
            <w:pPr>
              <w:spacing w:after="0" w:line="360" w:lineRule="auto"/>
              <w:jc w:val="both"/>
              <w:rPr>
                <w:rFonts w:ascii="Garamond" w:hAnsi="Garamond" w:cs="Times New Roman"/>
                <w:sz w:val="24"/>
                <w:szCs w:val="24"/>
              </w:rPr>
            </w:pPr>
            <w:r>
              <w:rPr>
                <w:rFonts w:ascii="Garamond" w:hAnsi="Garamond" w:cs="Times New Roman"/>
                <w:noProof/>
                <w:sz w:val="24"/>
                <w:szCs w:val="24"/>
                <w:lang w:eastAsia="en-GB"/>
              </w:rPr>
              <w:drawing>
                <wp:inline distT="0" distB="0" distL="0" distR="0">
                  <wp:extent cx="3453625" cy="2832100"/>
                  <wp:effectExtent l="25400" t="0" r="775"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460796" cy="2837981"/>
                          </a:xfrm>
                          <a:prstGeom prst="rect">
                            <a:avLst/>
                          </a:prstGeom>
                          <a:noFill/>
                          <a:ln w="9525">
                            <a:noFill/>
                            <a:miter lim="800000"/>
                            <a:headEnd/>
                            <a:tailEnd/>
                          </a:ln>
                        </pic:spPr>
                      </pic:pic>
                    </a:graphicData>
                  </a:graphic>
                </wp:inline>
              </w:drawing>
            </w:r>
          </w:p>
        </w:tc>
        <w:tc>
          <w:tcPr>
            <w:tcW w:w="3403" w:type="dxa"/>
          </w:tcPr>
          <w:p w:rsidR="003E091C" w:rsidRDefault="00052AFB" w:rsidP="00052AFB">
            <w:pPr>
              <w:pStyle w:val="Caption"/>
              <w:ind w:right="-64"/>
              <w:jc w:val="both"/>
              <w:rPr>
                <w:rFonts w:ascii="Perpetua" w:hAnsi="Perpetua" w:cs="Times New Roman"/>
                <w:b w:val="0"/>
                <w:color w:val="auto"/>
                <w:sz w:val="20"/>
              </w:rPr>
            </w:pPr>
            <w:bookmarkStart w:id="591" w:name="_Toc263509049"/>
            <w:bookmarkStart w:id="592" w:name="_Toc263510836"/>
            <w:bookmarkStart w:id="593" w:name="_Toc244577314"/>
            <w:bookmarkStart w:id="594" w:name="_Toc263495783"/>
            <w:bookmarkStart w:id="595" w:name="_Toc244508252"/>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52</w:t>
            </w:r>
            <w:r w:rsidR="00DF2DF8" w:rsidRPr="003E091C">
              <w:rPr>
                <w:rFonts w:ascii="Perpetua" w:hAnsi="Perpetua"/>
                <w:b w:val="0"/>
                <w:color w:val="auto"/>
                <w:sz w:val="20"/>
              </w:rPr>
              <w:fldChar w:fldCharType="end"/>
            </w:r>
            <w:r w:rsidRPr="003E091C">
              <w:rPr>
                <w:rFonts w:ascii="Perpetua" w:hAnsi="Perpetua" w:cs="Times New Roman"/>
                <w:b w:val="0"/>
                <w:color w:val="auto"/>
                <w:sz w:val="20"/>
              </w:rPr>
              <w:t>:</w:t>
            </w:r>
            <w:r w:rsidRPr="0018733B">
              <w:rPr>
                <w:rFonts w:ascii="Perpetua" w:hAnsi="Perpetua" w:cs="Times New Roman"/>
                <w:b w:val="0"/>
                <w:color w:val="auto"/>
                <w:sz w:val="20"/>
              </w:rPr>
              <w:t xml:space="preserve"> </w:t>
            </w:r>
            <w:r w:rsidR="003E091C">
              <w:rPr>
                <w:rFonts w:ascii="Perpetua" w:hAnsi="Perpetua" w:cs="Times New Roman"/>
                <w:b w:val="0"/>
                <w:color w:val="auto"/>
                <w:sz w:val="20"/>
              </w:rPr>
              <w:t>Photograph of a</w:t>
            </w:r>
            <w:r w:rsidRPr="0018733B">
              <w:rPr>
                <w:rFonts w:ascii="Perpetua" w:hAnsi="Perpetua" w:cs="Times New Roman"/>
                <w:b w:val="0"/>
                <w:color w:val="auto"/>
                <w:sz w:val="20"/>
              </w:rPr>
              <w:t>rt installation co-ordinated by artist Julian Rowe of the Tunbridge Wells Fairtrade Town steering committee (2006).</w:t>
            </w:r>
            <w:bookmarkEnd w:id="591"/>
            <w:bookmarkEnd w:id="592"/>
            <w:r>
              <w:rPr>
                <w:rFonts w:ascii="Perpetua" w:hAnsi="Perpetua" w:cs="Times New Roman"/>
                <w:b w:val="0"/>
                <w:color w:val="auto"/>
                <w:sz w:val="20"/>
              </w:rPr>
              <w:t xml:space="preserve"> </w:t>
            </w:r>
          </w:p>
          <w:p w:rsidR="00052AFB" w:rsidRPr="003E091C" w:rsidRDefault="003E091C" w:rsidP="003E091C">
            <w:pPr>
              <w:rPr>
                <w:rFonts w:ascii="Perpetua" w:hAnsi="Perpetua"/>
                <w:sz w:val="20"/>
              </w:rPr>
            </w:pPr>
            <w:r w:rsidRPr="003E091C">
              <w:rPr>
                <w:rFonts w:ascii="Perpetua" w:hAnsi="Perpetua"/>
                <w:sz w:val="20"/>
              </w:rPr>
              <w:t xml:space="preserve">This image articulates the child-consumer topos. </w:t>
            </w:r>
            <w:r w:rsidR="00052AFB" w:rsidRPr="003E091C">
              <w:rPr>
                <w:rFonts w:ascii="Perpetua" w:hAnsi="Perpetua"/>
                <w:sz w:val="20"/>
              </w:rPr>
              <w:t>Composed of 280 individually crafted and painted squares this patchwork interpretation of Millet’s The Gleaners was installed as a mural in Tunbridge Wells town centre. Each of 250 squares were painted by a small group of students from one of 27 participating schools in the locality, while 30 squares were kept blank for painting on the day of unveiling. Available at: http://tunbri</w:t>
            </w:r>
            <w:r w:rsidRPr="003E091C">
              <w:rPr>
                <w:rFonts w:ascii="Perpetua" w:hAnsi="Perpetua"/>
                <w:sz w:val="20"/>
              </w:rPr>
              <w:t>dgewellsfair tradegroup.weebly.</w:t>
            </w:r>
            <w:r w:rsidR="00052AFB" w:rsidRPr="003E091C">
              <w:rPr>
                <w:rFonts w:ascii="Perpetua" w:hAnsi="Perpetua"/>
                <w:sz w:val="20"/>
              </w:rPr>
              <w:t>com/events.html (Accessed 26 September 2013).</w:t>
            </w:r>
            <w:bookmarkEnd w:id="593"/>
            <w:bookmarkEnd w:id="594"/>
          </w:p>
          <w:p w:rsidR="00052AFB" w:rsidRPr="00052AFB" w:rsidRDefault="00052AFB" w:rsidP="00052AFB">
            <w:pPr>
              <w:pStyle w:val="Caption"/>
              <w:ind w:left="-284" w:right="-64"/>
              <w:jc w:val="both"/>
              <w:rPr>
                <w:rFonts w:ascii="Perpetua" w:hAnsi="Perpetua"/>
                <w:b w:val="0"/>
                <w:color w:val="auto"/>
                <w:sz w:val="20"/>
              </w:rPr>
            </w:pPr>
            <w:r>
              <w:rPr>
                <w:rFonts w:ascii="Perpetua" w:hAnsi="Perpetua"/>
                <w:color w:val="auto"/>
                <w:sz w:val="20"/>
              </w:rPr>
              <w:t xml:space="preserve">   </w:t>
            </w:r>
            <w:bookmarkEnd w:id="595"/>
          </w:p>
        </w:tc>
      </w:tr>
    </w:tbl>
    <w:p w:rsidR="0018733B" w:rsidRDefault="0018733B" w:rsidP="0018733B">
      <w:pPr>
        <w:spacing w:after="0" w:line="360" w:lineRule="auto"/>
        <w:jc w:val="both"/>
        <w:rPr>
          <w:rFonts w:ascii="Garamond" w:hAnsi="Garamond" w:cs="Times New Roman"/>
          <w:sz w:val="24"/>
          <w:szCs w:val="24"/>
        </w:rPr>
      </w:pPr>
    </w:p>
    <w:p w:rsidR="00052AFB" w:rsidRDefault="00052AFB" w:rsidP="00472B3A">
      <w:pPr>
        <w:spacing w:line="360" w:lineRule="auto"/>
        <w:jc w:val="both"/>
        <w:rPr>
          <w:rFonts w:ascii="Perpetua" w:hAnsi="Perpetua" w:cs="Times New Roman"/>
          <w:bCs/>
          <w:sz w:val="20"/>
          <w:szCs w:val="18"/>
        </w:rPr>
      </w:pPr>
    </w:p>
    <w:p w:rsidR="00472B3A" w:rsidRDefault="00472B3A" w:rsidP="00472B3A">
      <w:pPr>
        <w:spacing w:line="360" w:lineRule="auto"/>
        <w:jc w:val="both"/>
        <w:rPr>
          <w:rFonts w:ascii="Garamond" w:hAnsi="Garamond" w:cs="Times New Roman"/>
          <w:i/>
          <w:sz w:val="24"/>
          <w:szCs w:val="24"/>
        </w:rPr>
      </w:pPr>
    </w:p>
    <w:p w:rsidR="00BD7BCA" w:rsidRDefault="00BD7BCA" w:rsidP="00472B3A">
      <w:pPr>
        <w:spacing w:line="360" w:lineRule="auto"/>
        <w:jc w:val="both"/>
        <w:rPr>
          <w:rFonts w:ascii="Century" w:hAnsi="Century" w:cs="Times New Roman"/>
          <w:sz w:val="20"/>
          <w:szCs w:val="20"/>
        </w:rPr>
      </w:pPr>
    </w:p>
    <w:p w:rsidR="00BD7BCA" w:rsidRDefault="00BD7BCA" w:rsidP="00472B3A">
      <w:pPr>
        <w:spacing w:line="360" w:lineRule="auto"/>
        <w:jc w:val="both"/>
        <w:rPr>
          <w:rFonts w:ascii="Century" w:hAnsi="Century"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tblPr>
      <w:tblGrid>
        <w:gridCol w:w="3369"/>
        <w:gridCol w:w="5147"/>
      </w:tblGrid>
      <w:tr w:rsidR="00BD7BCA">
        <w:tc>
          <w:tcPr>
            <w:tcW w:w="3369" w:type="dxa"/>
          </w:tcPr>
          <w:p w:rsidR="00BD7BCA" w:rsidRDefault="00BD7BCA" w:rsidP="00BD7BCA">
            <w:pPr>
              <w:pStyle w:val="Caption"/>
              <w:rPr>
                <w:rFonts w:ascii="Perpetua" w:hAnsi="Perpetua"/>
                <w:color w:val="auto"/>
                <w:sz w:val="20"/>
              </w:rPr>
            </w:pPr>
          </w:p>
          <w:p w:rsidR="00BD7BCA" w:rsidRDefault="00BD7BCA" w:rsidP="00BD7BCA">
            <w:pPr>
              <w:pStyle w:val="Caption"/>
              <w:rPr>
                <w:rFonts w:ascii="Perpetua" w:hAnsi="Perpetua"/>
                <w:color w:val="auto"/>
                <w:sz w:val="20"/>
              </w:rPr>
            </w:pPr>
          </w:p>
          <w:p w:rsidR="00BD7BCA" w:rsidRDefault="00BD7BCA" w:rsidP="00BD7BCA">
            <w:pPr>
              <w:pStyle w:val="Caption"/>
              <w:rPr>
                <w:rFonts w:ascii="Perpetua" w:hAnsi="Perpetua"/>
                <w:color w:val="auto"/>
                <w:sz w:val="20"/>
              </w:rPr>
            </w:pPr>
          </w:p>
          <w:p w:rsidR="003E091C" w:rsidRDefault="00BD7BCA" w:rsidP="00BD7BCA">
            <w:pPr>
              <w:pStyle w:val="Caption"/>
              <w:jc w:val="both"/>
              <w:rPr>
                <w:rFonts w:ascii="Perpetua" w:hAnsi="Perpetua"/>
                <w:b w:val="0"/>
                <w:color w:val="auto"/>
                <w:sz w:val="20"/>
              </w:rPr>
            </w:pPr>
            <w:bookmarkStart w:id="596" w:name="_Toc263509050"/>
            <w:bookmarkStart w:id="597" w:name="_Toc263510837"/>
            <w:bookmarkStart w:id="598" w:name="_Toc244508253"/>
            <w:bookmarkStart w:id="599" w:name="_Toc244577315"/>
            <w:bookmarkStart w:id="600" w:name="_Toc263495784"/>
            <w:r w:rsidRPr="00BD7BCA">
              <w:rPr>
                <w:rFonts w:ascii="Perpetua" w:hAnsi="Perpetua"/>
                <w:color w:val="auto"/>
                <w:sz w:val="20"/>
              </w:rPr>
              <w:t xml:space="preserve">Figure </w:t>
            </w:r>
            <w:r w:rsidR="00DF2DF8" w:rsidRPr="00BD7BCA">
              <w:rPr>
                <w:rFonts w:ascii="Perpetua" w:hAnsi="Perpetua"/>
                <w:color w:val="auto"/>
                <w:sz w:val="20"/>
              </w:rPr>
              <w:fldChar w:fldCharType="begin"/>
            </w:r>
            <w:r w:rsidRPr="00BD7BCA">
              <w:rPr>
                <w:rFonts w:ascii="Perpetua" w:hAnsi="Perpetua"/>
                <w:color w:val="auto"/>
                <w:sz w:val="20"/>
              </w:rPr>
              <w:instrText xml:space="preserve"> SEQ Figure \* ARABIC </w:instrText>
            </w:r>
            <w:r w:rsidR="00DF2DF8" w:rsidRPr="00BD7BCA">
              <w:rPr>
                <w:rFonts w:ascii="Perpetua" w:hAnsi="Perpetua"/>
                <w:color w:val="auto"/>
                <w:sz w:val="20"/>
              </w:rPr>
              <w:fldChar w:fldCharType="separate"/>
            </w:r>
            <w:r w:rsidR="002B3E92">
              <w:rPr>
                <w:rFonts w:ascii="Perpetua" w:hAnsi="Perpetua"/>
                <w:noProof/>
                <w:color w:val="auto"/>
                <w:sz w:val="20"/>
              </w:rPr>
              <w:t>53</w:t>
            </w:r>
            <w:r w:rsidR="00DF2DF8" w:rsidRPr="00BD7BCA">
              <w:rPr>
                <w:rFonts w:ascii="Perpetua" w:hAnsi="Perpetua"/>
                <w:color w:val="auto"/>
                <w:sz w:val="20"/>
              </w:rPr>
              <w:fldChar w:fldCharType="end"/>
            </w:r>
            <w:r w:rsidRPr="00BD7BCA">
              <w:rPr>
                <w:rFonts w:ascii="Perpetua" w:hAnsi="Perpetua"/>
                <w:color w:val="auto"/>
                <w:sz w:val="20"/>
              </w:rPr>
              <w:t>:</w:t>
            </w:r>
            <w:r w:rsidRPr="00BD7BCA">
              <w:rPr>
                <w:rFonts w:ascii="Perpetua" w:hAnsi="Perpetua"/>
                <w:b w:val="0"/>
                <w:color w:val="auto"/>
                <w:sz w:val="20"/>
              </w:rPr>
              <w:t xml:space="preserve"> </w:t>
            </w:r>
            <w:r w:rsidR="003E091C">
              <w:rPr>
                <w:rFonts w:ascii="Perpetua" w:hAnsi="Perpetua"/>
                <w:b w:val="0"/>
                <w:color w:val="auto"/>
                <w:sz w:val="20"/>
              </w:rPr>
              <w:t>Image of STT Easter Egg Poster.</w:t>
            </w:r>
            <w:bookmarkEnd w:id="596"/>
            <w:bookmarkEnd w:id="597"/>
          </w:p>
          <w:p w:rsidR="00BD7BCA" w:rsidRPr="003E091C" w:rsidRDefault="003E091C" w:rsidP="003E091C">
            <w:pPr>
              <w:rPr>
                <w:rFonts w:ascii="Perpetua" w:hAnsi="Perpetua"/>
                <w:sz w:val="20"/>
              </w:rPr>
            </w:pPr>
            <w:r w:rsidRPr="003E091C">
              <w:rPr>
                <w:rFonts w:ascii="Perpetua" w:hAnsi="Perpetua"/>
                <w:sz w:val="20"/>
              </w:rPr>
              <w:t>The image shows the development of</w:t>
            </w:r>
            <w:r w:rsidR="00BD7BCA" w:rsidRPr="003E091C">
              <w:rPr>
                <w:rFonts w:ascii="Perpetua" w:hAnsi="Perpetua"/>
                <w:sz w:val="20"/>
              </w:rPr>
              <w:t xml:space="preserve"> the c</w:t>
            </w:r>
            <w:r w:rsidRPr="003E091C">
              <w:rPr>
                <w:rFonts w:ascii="Perpetua" w:hAnsi="Perpetua"/>
                <w:sz w:val="20"/>
              </w:rPr>
              <w:t xml:space="preserve">hild-consumer chocolate topos. This </w:t>
            </w:r>
            <w:r w:rsidR="00BD7BCA" w:rsidRPr="003E091C">
              <w:rPr>
                <w:rFonts w:ascii="Perpetua" w:hAnsi="Perpetua"/>
                <w:sz w:val="20"/>
              </w:rPr>
              <w:t>STT poster that acted as an inspiration for the Tunbridge Wells chocolate campaign. Ima</w:t>
            </w:r>
            <w:r w:rsidRPr="003E091C">
              <w:rPr>
                <w:rFonts w:ascii="Perpetua" w:hAnsi="Perpetua"/>
                <w:sz w:val="20"/>
              </w:rPr>
              <w:t>ge sourced from STT’s website, a</w:t>
            </w:r>
            <w:r w:rsidR="00BD7BCA" w:rsidRPr="003E091C">
              <w:rPr>
                <w:rFonts w:ascii="Perpetua" w:hAnsi="Perpetua"/>
                <w:sz w:val="20"/>
              </w:rPr>
              <w:t>vailable at: http://www.stopthetraffik.org/campaign/chocolate. (Accessed 21 November 2011).</w:t>
            </w:r>
            <w:bookmarkEnd w:id="598"/>
            <w:bookmarkEnd w:id="599"/>
            <w:bookmarkEnd w:id="600"/>
          </w:p>
        </w:tc>
        <w:tc>
          <w:tcPr>
            <w:tcW w:w="5147" w:type="dxa"/>
          </w:tcPr>
          <w:p w:rsidR="00BD7BCA" w:rsidRPr="00BD7BCA" w:rsidRDefault="00BD7BCA" w:rsidP="00BD7BCA">
            <w:pPr>
              <w:keepNext/>
              <w:spacing w:line="360" w:lineRule="auto"/>
              <w:jc w:val="center"/>
              <w:rPr>
                <w:rFonts w:ascii="Century" w:hAnsi="Century" w:cs="Times New Roman"/>
                <w:sz w:val="20"/>
                <w:szCs w:val="20"/>
              </w:rPr>
            </w:pPr>
            <w:r w:rsidRPr="00BD7BCA">
              <w:rPr>
                <w:rFonts w:ascii="Century" w:hAnsi="Century" w:cs="Times New Roman"/>
                <w:noProof/>
                <w:sz w:val="20"/>
                <w:szCs w:val="20"/>
                <w:lang w:eastAsia="en-GB"/>
              </w:rPr>
              <w:drawing>
                <wp:inline distT="0" distB="0" distL="0" distR="0">
                  <wp:extent cx="2895600" cy="3191388"/>
                  <wp:effectExtent l="25400" t="0" r="0" b="0"/>
                  <wp:docPr id="67" name="Picture 6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
                          <pic:cNvPicPr>
                            <a:picLocks noChangeAspect="1" noChangeArrowheads="1"/>
                          </pic:cNvPicPr>
                        </pic:nvPicPr>
                        <pic:blipFill>
                          <a:blip r:embed="rId91" cstate="print"/>
                          <a:srcRect/>
                          <a:stretch>
                            <a:fillRect/>
                          </a:stretch>
                        </pic:blipFill>
                        <pic:spPr bwMode="auto">
                          <a:xfrm>
                            <a:off x="0" y="0"/>
                            <a:ext cx="2905972" cy="3202819"/>
                          </a:xfrm>
                          <a:prstGeom prst="rect">
                            <a:avLst/>
                          </a:prstGeom>
                          <a:noFill/>
                          <a:ln w="9525">
                            <a:noFill/>
                            <a:miter lim="800000"/>
                            <a:headEnd/>
                            <a:tailEnd/>
                          </a:ln>
                        </pic:spPr>
                      </pic:pic>
                    </a:graphicData>
                  </a:graphic>
                </wp:inline>
              </w:drawing>
            </w:r>
          </w:p>
        </w:tc>
      </w:tr>
    </w:tbl>
    <w:p w:rsidR="00472B3A" w:rsidRPr="00EC5CC5" w:rsidRDefault="00472B3A" w:rsidP="00472B3A">
      <w:pPr>
        <w:spacing w:line="360" w:lineRule="auto"/>
        <w:jc w:val="both"/>
        <w:rPr>
          <w:rFonts w:ascii="Garamond" w:hAnsi="Garamond" w:cs="Times New Roman"/>
          <w:i/>
          <w:sz w:val="24"/>
          <w:szCs w:val="24"/>
        </w:rPr>
      </w:pPr>
    </w:p>
    <w:p w:rsidR="00472B3A" w:rsidRDefault="00472B3A" w:rsidP="00BD7BCA">
      <w:pPr>
        <w:spacing w:after="0" w:line="360" w:lineRule="auto"/>
        <w:jc w:val="both"/>
        <w:rPr>
          <w:rFonts w:ascii="Garamond" w:hAnsi="Garamond" w:cs="Times New Roman"/>
          <w:sz w:val="24"/>
          <w:szCs w:val="24"/>
        </w:rPr>
      </w:pPr>
      <w:r>
        <w:rPr>
          <w:rFonts w:ascii="Garamond" w:hAnsi="Garamond" w:cs="Times New Roman"/>
          <w:sz w:val="24"/>
          <w:szCs w:val="24"/>
        </w:rPr>
        <w:t>In 2007, chocolate was one of several fair trade commodities available for purchase in the UK (and less prevalent than fair trade coffee, which by 2007 had over 20% of the coffee market share). But it was STT’s strong focus on chocolate and cocoa trafficking on their website that provided the focus for the Tunbridge Wells Fairtrade Fortnight campaign. Chocolate provided an opportunity to channel existing global concerns of fair trade activists to connect Tunbridge Wells to feelings of global responsibility while also forwarding the campaign for Tunbridge Wells’ Fairtrade Town status:</w:t>
      </w:r>
    </w:p>
    <w:p w:rsidR="00472B3A" w:rsidRDefault="00472B3A" w:rsidP="00BD7BCA">
      <w:pPr>
        <w:spacing w:line="360" w:lineRule="auto"/>
        <w:jc w:val="both"/>
        <w:rPr>
          <w:rFonts w:ascii="Garamond" w:hAnsi="Garamond" w:cs="Times New Roman"/>
          <w:sz w:val="24"/>
          <w:szCs w:val="24"/>
        </w:rPr>
      </w:pPr>
      <w:r>
        <w:rPr>
          <w:rFonts w:ascii="Garamond" w:hAnsi="Garamond" w:cs="Times New Roman"/>
          <w:sz w:val="24"/>
          <w:szCs w:val="24"/>
        </w:rPr>
        <w:t xml:space="preserve">   </w:t>
      </w:r>
    </w:p>
    <w:p w:rsidR="00472B3A" w:rsidRPr="002D7DCC" w:rsidRDefault="00472B3A" w:rsidP="00BD7BCA">
      <w:pPr>
        <w:spacing w:line="360" w:lineRule="auto"/>
        <w:ind w:left="284" w:right="284"/>
        <w:jc w:val="both"/>
        <w:rPr>
          <w:rFonts w:ascii="Garamond" w:hAnsi="Garamond" w:cs="Times New Roman"/>
        </w:rPr>
      </w:pPr>
      <w:r>
        <w:rPr>
          <w:rFonts w:ascii="Garamond" w:hAnsi="Garamond" w:cs="Times New Roman"/>
        </w:rPr>
        <w:t>MANDY</w:t>
      </w:r>
      <w:r w:rsidRPr="002D7DCC">
        <w:rPr>
          <w:rFonts w:ascii="Garamond" w:hAnsi="Garamond" w:cs="Times New Roman"/>
        </w:rPr>
        <w:t>: Jane in particular got really mad that year, she suddenly realised what was going on with the chocolate. We’d been focusing on different things and Jane said ‘chocolate, we’ve got to do something with choc</w:t>
      </w:r>
      <w:r>
        <w:rPr>
          <w:rFonts w:ascii="Garamond" w:hAnsi="Garamond" w:cs="Times New Roman"/>
        </w:rPr>
        <w:t>olate'</w:t>
      </w:r>
      <w:r w:rsidRPr="002D7DCC">
        <w:rPr>
          <w:rFonts w:ascii="Garamond" w:hAnsi="Garamond" w:cs="Times New Roman"/>
        </w:rPr>
        <w:t>. And then the STT thing came up.</w:t>
      </w:r>
    </w:p>
    <w:p w:rsidR="00472B3A" w:rsidRPr="002D7DCC" w:rsidRDefault="00472B3A" w:rsidP="00BD7BCA">
      <w:pPr>
        <w:spacing w:line="360" w:lineRule="auto"/>
        <w:ind w:left="284" w:right="284"/>
        <w:jc w:val="both"/>
        <w:rPr>
          <w:rFonts w:ascii="Garamond" w:hAnsi="Garamond" w:cs="Times New Roman"/>
        </w:rPr>
      </w:pPr>
      <w:r>
        <w:rPr>
          <w:rFonts w:ascii="Garamond" w:hAnsi="Garamond" w:cs="Times New Roman"/>
        </w:rPr>
        <w:t>JANE</w:t>
      </w:r>
      <w:r w:rsidRPr="002D7DCC">
        <w:rPr>
          <w:rFonts w:ascii="Garamond" w:hAnsi="Garamond" w:cs="Times New Roman"/>
        </w:rPr>
        <w:t>: Yeah, we came across this one poster on the STT website, and it’s a b</w:t>
      </w:r>
      <w:r>
        <w:rPr>
          <w:rFonts w:ascii="Garamond" w:hAnsi="Garamond" w:cs="Times New Roman"/>
        </w:rPr>
        <w:t>lue background and a chocolate E</w:t>
      </w:r>
      <w:r w:rsidRPr="002D7DCC">
        <w:rPr>
          <w:rFonts w:ascii="Garamond" w:hAnsi="Garamond" w:cs="Times New Roman"/>
        </w:rPr>
        <w:t>aster</w:t>
      </w:r>
      <w:r>
        <w:rPr>
          <w:rFonts w:ascii="Garamond" w:hAnsi="Garamond" w:cs="Times New Roman"/>
        </w:rPr>
        <w:t xml:space="preserve"> e</w:t>
      </w:r>
      <w:r w:rsidRPr="002D7DCC">
        <w:rPr>
          <w:rFonts w:ascii="Garamond" w:hAnsi="Garamond" w:cs="Times New Roman"/>
        </w:rPr>
        <w:t>gg, and then on it</w:t>
      </w:r>
      <w:r>
        <w:rPr>
          <w:rFonts w:ascii="Garamond" w:hAnsi="Garamond" w:cs="Times New Roman"/>
        </w:rPr>
        <w:t>, it said ‘c</w:t>
      </w:r>
      <w:r w:rsidRPr="002D7DCC">
        <w:rPr>
          <w:rFonts w:ascii="Garamond" w:hAnsi="Garamond" w:cs="Times New Roman"/>
        </w:rPr>
        <w:t>hildren love Easter eggs, except the ones that are forced to make them’. And it</w:t>
      </w:r>
      <w:r>
        <w:rPr>
          <w:rFonts w:ascii="Garamond" w:hAnsi="Garamond" w:cs="Times New Roman"/>
        </w:rPr>
        <w:t>’</w:t>
      </w:r>
      <w:r w:rsidRPr="002D7DCC">
        <w:rPr>
          <w:rFonts w:ascii="Garamond" w:hAnsi="Garamond" w:cs="Times New Roman"/>
        </w:rPr>
        <w:t>s so ironic that it’s a symbol of Easter, this chocolate egg, and then of course know</w:t>
      </w:r>
      <w:r>
        <w:rPr>
          <w:rFonts w:ascii="Garamond" w:hAnsi="Garamond" w:cs="Times New Roman"/>
        </w:rPr>
        <w:t>ing</w:t>
      </w:r>
      <w:r w:rsidRPr="002D7DCC">
        <w:rPr>
          <w:rFonts w:ascii="Garamond" w:hAnsi="Garamond" w:cs="Times New Roman"/>
        </w:rPr>
        <w:t xml:space="preserve"> that children in other places are missing out on life completely for it. </w:t>
      </w:r>
    </w:p>
    <w:p w:rsidR="00472B3A" w:rsidRPr="002D7DCC" w:rsidRDefault="00472B3A" w:rsidP="00BD7BCA">
      <w:pPr>
        <w:spacing w:line="360" w:lineRule="auto"/>
        <w:ind w:left="284" w:right="284"/>
        <w:jc w:val="both"/>
        <w:rPr>
          <w:rFonts w:ascii="Garamond" w:hAnsi="Garamond" w:cs="Times New Roman"/>
        </w:rPr>
      </w:pPr>
      <w:r>
        <w:rPr>
          <w:rFonts w:ascii="Garamond" w:hAnsi="Garamond" w:cs="Times New Roman"/>
        </w:rPr>
        <w:lastRenderedPageBreak/>
        <w:t>MANDY</w:t>
      </w:r>
      <w:r w:rsidRPr="002D7DCC">
        <w:rPr>
          <w:rFonts w:ascii="Garamond" w:hAnsi="Garamond" w:cs="Times New Roman"/>
        </w:rPr>
        <w:t>: Our kids can go down the road and buy chocolate, and other kids are sweating blood and tears for it.</w:t>
      </w:r>
    </w:p>
    <w:p w:rsidR="00BD7BCA" w:rsidRDefault="00472B3A" w:rsidP="00BD7BCA">
      <w:pPr>
        <w:spacing w:line="360" w:lineRule="auto"/>
        <w:ind w:left="284" w:right="284"/>
        <w:jc w:val="both"/>
        <w:rPr>
          <w:rFonts w:ascii="Garamond" w:hAnsi="Garamond" w:cs="Times New Roman"/>
        </w:rPr>
      </w:pPr>
      <w:r>
        <w:rPr>
          <w:rFonts w:ascii="Garamond" w:hAnsi="Garamond" w:cs="Times New Roman"/>
        </w:rPr>
        <w:t>JANE</w:t>
      </w:r>
      <w:r w:rsidRPr="002D7DCC">
        <w:rPr>
          <w:rFonts w:ascii="Garamond" w:hAnsi="Garamond" w:cs="Times New Roman"/>
        </w:rPr>
        <w:t>: We came acros</w:t>
      </w:r>
      <w:r>
        <w:rPr>
          <w:rFonts w:ascii="Garamond" w:hAnsi="Garamond" w:cs="Times New Roman"/>
        </w:rPr>
        <w:t>s information on the number of KitK</w:t>
      </w:r>
      <w:r w:rsidRPr="002D7DCC">
        <w:rPr>
          <w:rFonts w:ascii="Garamond" w:hAnsi="Garamond" w:cs="Times New Roman"/>
        </w:rPr>
        <w:t>ats that were sold in</w:t>
      </w:r>
      <w:r>
        <w:rPr>
          <w:rFonts w:ascii="Garamond" w:hAnsi="Garamond" w:cs="Times New Roman"/>
        </w:rPr>
        <w:t xml:space="preserve"> this country. It was just colo</w:t>
      </w:r>
      <w:r w:rsidRPr="002D7DCC">
        <w:rPr>
          <w:rFonts w:ascii="Garamond" w:hAnsi="Garamond" w:cs="Times New Roman"/>
        </w:rPr>
        <w:t>ssal. It was more than coffee being spent, and there was nowhere</w:t>
      </w:r>
      <w:r>
        <w:rPr>
          <w:rFonts w:ascii="Garamond" w:hAnsi="Garamond" w:cs="Times New Roman"/>
        </w:rPr>
        <w:t xml:space="preserve"> in Tunbridge Wells</w:t>
      </w:r>
      <w:r w:rsidRPr="002D7DCC">
        <w:rPr>
          <w:rFonts w:ascii="Garamond" w:hAnsi="Garamond" w:cs="Times New Roman"/>
        </w:rPr>
        <w:t xml:space="preserve"> that you could go into a newsag</w:t>
      </w:r>
      <w:r>
        <w:rPr>
          <w:rFonts w:ascii="Garamond" w:hAnsi="Garamond" w:cs="Times New Roman"/>
        </w:rPr>
        <w:t>ent and buy fair trade chocolate. Y</w:t>
      </w:r>
      <w:r w:rsidRPr="002D7DCC">
        <w:rPr>
          <w:rFonts w:ascii="Garamond" w:hAnsi="Garamond" w:cs="Times New Roman"/>
        </w:rPr>
        <w:t>ou can now.</w:t>
      </w:r>
      <w:r w:rsidR="00BD7BCA">
        <w:rPr>
          <w:rFonts w:ascii="Garamond" w:hAnsi="Garamond" w:cs="Times New Roman"/>
        </w:rPr>
        <w:t xml:space="preserve"> </w:t>
      </w:r>
    </w:p>
    <w:p w:rsidR="00472B3A" w:rsidRDefault="00BD7BCA" w:rsidP="00BD7BCA">
      <w:pPr>
        <w:spacing w:line="360" w:lineRule="auto"/>
        <w:ind w:left="284" w:right="284"/>
        <w:jc w:val="both"/>
        <w:rPr>
          <w:rFonts w:ascii="Garamond" w:hAnsi="Garamond" w:cs="Times New Roman"/>
        </w:rPr>
      </w:pPr>
      <w:r>
        <w:rPr>
          <w:rFonts w:ascii="Garamond" w:hAnsi="Garamond" w:cs="Times New Roman"/>
        </w:rPr>
        <w:t>(Interview, Mandy and Jane, 2011)</w:t>
      </w:r>
    </w:p>
    <w:p w:rsidR="00472B3A" w:rsidRPr="00220F9F" w:rsidRDefault="00472B3A" w:rsidP="00BD7BCA">
      <w:pPr>
        <w:spacing w:after="0" w:line="360" w:lineRule="auto"/>
        <w:jc w:val="both"/>
        <w:rPr>
          <w:rFonts w:ascii="Century" w:hAnsi="Century" w:cs="Times New Roman"/>
          <w:sz w:val="20"/>
          <w:szCs w:val="20"/>
        </w:rPr>
      </w:pPr>
    </w:p>
    <w:p w:rsidR="00BD7BCA" w:rsidRDefault="00472B3A" w:rsidP="00F6105D">
      <w:pPr>
        <w:spacing w:after="0" w:line="360" w:lineRule="auto"/>
        <w:jc w:val="both"/>
        <w:rPr>
          <w:rFonts w:ascii="Garamond" w:hAnsi="Garamond" w:cs="Times New Roman"/>
          <w:sz w:val="24"/>
          <w:szCs w:val="24"/>
        </w:rPr>
      </w:pPr>
      <w:r>
        <w:rPr>
          <w:rFonts w:ascii="Garamond" w:hAnsi="Garamond" w:cs="Times New Roman"/>
          <w:sz w:val="24"/>
          <w:szCs w:val="24"/>
        </w:rPr>
        <w:t xml:space="preserve">The interview extract above shows how both forms of STT's child-consumer topoi provided inspiration and practical guidelines for the TWFTG. </w:t>
      </w:r>
      <w:r w:rsidRPr="002E30FF">
        <w:rPr>
          <w:rFonts w:ascii="Garamond" w:hAnsi="Garamond" w:cs="Times New Roman"/>
          <w:sz w:val="24"/>
          <w:szCs w:val="24"/>
        </w:rPr>
        <w:t xml:space="preserve">On March 10th 2007, Tunbridge Wells was awarded </w:t>
      </w:r>
      <w:r>
        <w:rPr>
          <w:rFonts w:ascii="Garamond" w:hAnsi="Garamond" w:cs="Times New Roman"/>
          <w:sz w:val="24"/>
          <w:szCs w:val="24"/>
        </w:rPr>
        <w:t>‘</w:t>
      </w:r>
      <w:r w:rsidRPr="002E30FF">
        <w:rPr>
          <w:rFonts w:ascii="Garamond" w:hAnsi="Garamond" w:cs="Times New Roman"/>
          <w:sz w:val="24"/>
          <w:szCs w:val="24"/>
        </w:rPr>
        <w:t>Fairtrade Town</w:t>
      </w:r>
      <w:r>
        <w:rPr>
          <w:rFonts w:ascii="Garamond" w:hAnsi="Garamond" w:cs="Times New Roman"/>
          <w:sz w:val="24"/>
          <w:szCs w:val="24"/>
        </w:rPr>
        <w:t>’</w:t>
      </w:r>
      <w:r w:rsidRPr="002E30FF">
        <w:rPr>
          <w:rFonts w:ascii="Garamond" w:hAnsi="Garamond" w:cs="Times New Roman"/>
          <w:sz w:val="24"/>
          <w:szCs w:val="24"/>
        </w:rPr>
        <w:t xml:space="preserve"> status.</w:t>
      </w:r>
      <w:r>
        <w:rPr>
          <w:rFonts w:ascii="Garamond" w:hAnsi="Garamond" w:cs="Times New Roman"/>
          <w:sz w:val="24"/>
          <w:szCs w:val="24"/>
        </w:rPr>
        <w:t xml:space="preserve"> The title</w:t>
      </w:r>
      <w:r w:rsidRPr="002E30FF">
        <w:rPr>
          <w:rFonts w:ascii="Garamond" w:hAnsi="Garamond" w:cs="Times New Roman"/>
          <w:sz w:val="24"/>
          <w:szCs w:val="24"/>
        </w:rPr>
        <w:t xml:space="preserve"> was </w:t>
      </w:r>
      <w:r>
        <w:rPr>
          <w:rFonts w:ascii="Garamond" w:hAnsi="Garamond" w:cs="Times New Roman"/>
          <w:sz w:val="24"/>
          <w:szCs w:val="24"/>
        </w:rPr>
        <w:t>granted</w:t>
      </w:r>
      <w:r w:rsidRPr="002E30FF">
        <w:rPr>
          <w:rFonts w:ascii="Garamond" w:hAnsi="Garamond" w:cs="Times New Roman"/>
          <w:sz w:val="24"/>
          <w:szCs w:val="24"/>
        </w:rPr>
        <w:t xml:space="preserve"> in tandem with the town</w:t>
      </w:r>
      <w:r>
        <w:rPr>
          <w:rFonts w:ascii="Garamond" w:hAnsi="Garamond" w:cs="Times New Roman"/>
          <w:sz w:val="24"/>
          <w:szCs w:val="24"/>
        </w:rPr>
        <w:t>’</w:t>
      </w:r>
      <w:r w:rsidRPr="002E30FF">
        <w:rPr>
          <w:rFonts w:ascii="Garamond" w:hAnsi="Garamond" w:cs="Times New Roman"/>
          <w:sz w:val="24"/>
          <w:szCs w:val="24"/>
        </w:rPr>
        <w:t>s launching of a fair trade chocolate campaign to celebrate the bi-centenary of the British abolition of the slave trade. A community art project</w:t>
      </w:r>
      <w:r>
        <w:rPr>
          <w:rFonts w:ascii="Garamond" w:hAnsi="Garamond" w:cs="Times New Roman"/>
          <w:sz w:val="24"/>
          <w:szCs w:val="24"/>
        </w:rPr>
        <w:t xml:space="preserve"> </w:t>
      </w:r>
      <w:r w:rsidRPr="002E30FF">
        <w:rPr>
          <w:rFonts w:ascii="Garamond" w:hAnsi="Garamond" w:cs="Times New Roman"/>
          <w:sz w:val="24"/>
          <w:szCs w:val="24"/>
        </w:rPr>
        <w:t>was installed in the centre of Tunbridge Wells ove</w:t>
      </w:r>
      <w:r>
        <w:rPr>
          <w:rFonts w:ascii="Garamond" w:hAnsi="Garamond" w:cs="Times New Roman"/>
          <w:sz w:val="24"/>
          <w:szCs w:val="24"/>
        </w:rPr>
        <w:t>r March 2007 to coincide with the nationwide Fairtrade F</w:t>
      </w:r>
      <w:r w:rsidRPr="002E30FF">
        <w:rPr>
          <w:rFonts w:ascii="Garamond" w:hAnsi="Garamond" w:cs="Times New Roman"/>
          <w:sz w:val="24"/>
          <w:szCs w:val="24"/>
        </w:rPr>
        <w:t>ortnigh</w:t>
      </w:r>
      <w:r>
        <w:rPr>
          <w:rFonts w:ascii="Garamond" w:hAnsi="Garamond" w:cs="Times New Roman"/>
          <w:sz w:val="24"/>
          <w:szCs w:val="24"/>
        </w:rPr>
        <w:t xml:space="preserve">t. </w:t>
      </w:r>
      <w:r w:rsidRPr="002E30FF">
        <w:rPr>
          <w:rFonts w:ascii="Garamond" w:hAnsi="Garamond" w:cs="Times New Roman"/>
          <w:sz w:val="24"/>
          <w:szCs w:val="24"/>
        </w:rPr>
        <w:t>The art project</w:t>
      </w:r>
      <w:r>
        <w:rPr>
          <w:rFonts w:ascii="Garamond" w:hAnsi="Garamond" w:cs="Times New Roman"/>
          <w:sz w:val="24"/>
          <w:szCs w:val="24"/>
        </w:rPr>
        <w:t xml:space="preserve">, produced by young people from Fairtrade Schools previously involved with the 2006 Gleaners mural, became the centrepiece of the celebrations for achieving Fairtrade Town status, and signalled a broader anti-trafficking </w:t>
      </w:r>
      <w:r w:rsidRPr="002E30FF">
        <w:rPr>
          <w:rFonts w:ascii="Garamond" w:hAnsi="Garamond" w:cs="Times New Roman"/>
          <w:sz w:val="24"/>
          <w:szCs w:val="24"/>
        </w:rPr>
        <w:t>chocolate campaign</w:t>
      </w:r>
      <w:r>
        <w:rPr>
          <w:rFonts w:ascii="Garamond" w:hAnsi="Garamond" w:cs="Times New Roman"/>
          <w:sz w:val="24"/>
          <w:szCs w:val="24"/>
        </w:rPr>
        <w:t>. The project united the various churches of Tunbridge Wells (where special services and prayers were given for enslaved cocoa producers), local businesses, charities and schools. M</w:t>
      </w:r>
      <w:r w:rsidRPr="002E30FF">
        <w:rPr>
          <w:rFonts w:ascii="Garamond" w:hAnsi="Garamond" w:cs="Times New Roman"/>
          <w:sz w:val="24"/>
          <w:szCs w:val="24"/>
        </w:rPr>
        <w:t xml:space="preserve">embers of the steering committee of the Tunbridge Wells Fairtrade Town Group </w:t>
      </w:r>
      <w:r>
        <w:rPr>
          <w:rFonts w:ascii="Garamond" w:hAnsi="Garamond" w:cs="Times New Roman"/>
          <w:sz w:val="24"/>
          <w:szCs w:val="24"/>
        </w:rPr>
        <w:t>met with STT founder Steve Chalke to discuss their</w:t>
      </w:r>
      <w:r w:rsidR="00BD7BCA">
        <w:rPr>
          <w:rFonts w:ascii="Garamond" w:hAnsi="Garamond" w:cs="Times New Roman"/>
          <w:sz w:val="24"/>
          <w:szCs w:val="24"/>
        </w:rPr>
        <w:t xml:space="preserve"> plans (interview Mandy, 2011).</w:t>
      </w:r>
    </w:p>
    <w:p w:rsidR="00472B3A" w:rsidRDefault="00472B3A" w:rsidP="00F6105D">
      <w:pPr>
        <w:spacing w:after="0" w:line="360" w:lineRule="auto"/>
        <w:jc w:val="both"/>
        <w:rPr>
          <w:rFonts w:ascii="Garamond" w:hAnsi="Garamond" w:cs="Times New Roman"/>
          <w:sz w:val="24"/>
          <w:szCs w:val="24"/>
        </w:rPr>
      </w:pPr>
    </w:p>
    <w:p w:rsidR="00BD7BCA" w:rsidRDefault="00472B3A" w:rsidP="00F6105D">
      <w:pPr>
        <w:spacing w:after="0" w:line="360" w:lineRule="auto"/>
        <w:jc w:val="both"/>
        <w:rPr>
          <w:rFonts w:ascii="Garamond" w:hAnsi="Garamond" w:cs="Times New Roman"/>
          <w:sz w:val="24"/>
          <w:szCs w:val="24"/>
        </w:rPr>
      </w:pPr>
      <w:r>
        <w:rPr>
          <w:rFonts w:ascii="Garamond" w:hAnsi="Garamond" w:cs="Times New Roman"/>
          <w:sz w:val="24"/>
          <w:szCs w:val="24"/>
        </w:rPr>
        <w:t>Chairman of the steering committee, Mandy Flashman-Wells, describes how the Tunbridge Wells campaign marked slave freedom day in the STT handbook (2009):</w:t>
      </w:r>
    </w:p>
    <w:p w:rsidR="00472B3A" w:rsidRDefault="00472B3A" w:rsidP="00BD7BCA">
      <w:pPr>
        <w:spacing w:after="0" w:line="360" w:lineRule="auto"/>
        <w:jc w:val="both"/>
        <w:rPr>
          <w:rFonts w:ascii="Garamond" w:hAnsi="Garamond" w:cs="Times New Roman"/>
          <w:sz w:val="24"/>
          <w:szCs w:val="24"/>
        </w:rPr>
      </w:pPr>
    </w:p>
    <w:p w:rsidR="00BD7BCA" w:rsidRDefault="00472B3A" w:rsidP="00F6105D">
      <w:pPr>
        <w:spacing w:after="0" w:line="360" w:lineRule="auto"/>
        <w:ind w:left="284" w:right="284"/>
        <w:jc w:val="both"/>
        <w:rPr>
          <w:rFonts w:ascii="Garamond" w:hAnsi="Garamond" w:cs="Times New Roman"/>
        </w:rPr>
      </w:pPr>
      <w:r w:rsidRPr="002C6C66">
        <w:rPr>
          <w:rFonts w:ascii="Garamond" w:hAnsi="Garamond" w:cs="Times New Roman"/>
        </w:rPr>
        <w:t xml:space="preserve">There have been strange goings on </w:t>
      </w:r>
      <w:r>
        <w:rPr>
          <w:rFonts w:ascii="Garamond" w:hAnsi="Garamond" w:cs="Times New Roman"/>
        </w:rPr>
        <w:t>in Tun</w:t>
      </w:r>
      <w:r w:rsidRPr="002C6C66">
        <w:rPr>
          <w:rFonts w:ascii="Garamond" w:hAnsi="Garamond" w:cs="Times New Roman"/>
        </w:rPr>
        <w:t>bridge Wells in the UK...</w:t>
      </w:r>
      <w:r>
        <w:rPr>
          <w:rFonts w:ascii="Garamond" w:hAnsi="Garamond" w:cs="Times New Roman"/>
        </w:rPr>
        <w:t xml:space="preserve"> </w:t>
      </w:r>
      <w:r w:rsidRPr="002C6C66">
        <w:rPr>
          <w:rFonts w:ascii="Garamond" w:hAnsi="Garamond" w:cs="Times New Roman"/>
        </w:rPr>
        <w:t>Not only has the town recently celebrated Fairtrade Town status, but it has, for two years in succession, hosted a community art project, this one based on Fairtrade chocolate...</w:t>
      </w:r>
      <w:r>
        <w:rPr>
          <w:rFonts w:ascii="Garamond" w:hAnsi="Garamond" w:cs="Times New Roman"/>
        </w:rPr>
        <w:t xml:space="preserve"> </w:t>
      </w:r>
      <w:r w:rsidRPr="002C6C66">
        <w:rPr>
          <w:rFonts w:ascii="Garamond" w:hAnsi="Garamond" w:cs="Times New Roman"/>
        </w:rPr>
        <w:t>It is incredible that we are celebrating the 200 year anniversary of the abolition of the slave trade in this country, yet children and adults are still used on cocoa plantations today...</w:t>
      </w:r>
      <w:r>
        <w:rPr>
          <w:rFonts w:ascii="Garamond" w:hAnsi="Garamond" w:cs="Times New Roman"/>
        </w:rPr>
        <w:t xml:space="preserve"> </w:t>
      </w:r>
      <w:r w:rsidRPr="002C6C66">
        <w:rPr>
          <w:rFonts w:ascii="Garamond" w:hAnsi="Garamond" w:cs="Times New Roman"/>
        </w:rPr>
        <w:t>This project is part of the Stop The Traffik Campaign- a global voice that is calling an end to the trade in human traffic across the world...</w:t>
      </w:r>
      <w:r>
        <w:rPr>
          <w:rFonts w:ascii="Garamond" w:hAnsi="Garamond" w:cs="Times New Roman"/>
        </w:rPr>
        <w:t xml:space="preserve"> </w:t>
      </w:r>
      <w:r w:rsidRPr="002C6C66">
        <w:rPr>
          <w:rFonts w:ascii="Garamond" w:hAnsi="Garamond" w:cs="Times New Roman"/>
        </w:rPr>
        <w:t>When we started out as a simple community art project we hadn</w:t>
      </w:r>
      <w:r>
        <w:rPr>
          <w:rFonts w:ascii="Garamond" w:hAnsi="Garamond" w:cs="Times New Roman"/>
        </w:rPr>
        <w:t>’</w:t>
      </w:r>
      <w:r w:rsidRPr="002C6C66">
        <w:rPr>
          <w:rFonts w:ascii="Garamond" w:hAnsi="Garamond" w:cs="Times New Roman"/>
        </w:rPr>
        <w:t>t realized that we were speaking out for the faceless children enslaved for this country</w:t>
      </w:r>
      <w:r>
        <w:rPr>
          <w:rFonts w:ascii="Garamond" w:hAnsi="Garamond" w:cs="Times New Roman"/>
        </w:rPr>
        <w:t>’</w:t>
      </w:r>
      <w:r w:rsidRPr="002C6C66">
        <w:rPr>
          <w:rFonts w:ascii="Garamond" w:hAnsi="Garamond" w:cs="Times New Roman"/>
        </w:rPr>
        <w:t xml:space="preserve">s love affair for chocolate. Our children can enjoy a huge variety of chocolate </w:t>
      </w:r>
      <w:r w:rsidRPr="002C6C66">
        <w:rPr>
          <w:rFonts w:ascii="Garamond" w:hAnsi="Garamond" w:cs="Times New Roman"/>
        </w:rPr>
        <w:lastRenderedPageBreak/>
        <w:t>products which other children have suffered for. The final twist came as we noticed that the last two papier-mâché Easter eggs to be hung in the trees had faces painted on them. We felt that unknown children had been given a face by students in Tunbridge Wells.</w:t>
      </w:r>
      <w:r>
        <w:rPr>
          <w:rFonts w:ascii="Garamond" w:hAnsi="Garamond" w:cs="Times New Roman"/>
        </w:rPr>
        <w:t xml:space="preserve"> (Chalke, 2009: 145-146)</w:t>
      </w:r>
    </w:p>
    <w:p w:rsidR="00472B3A" w:rsidRPr="002C6C66" w:rsidRDefault="00472B3A" w:rsidP="00BD7BCA">
      <w:pPr>
        <w:spacing w:after="0" w:line="360" w:lineRule="auto"/>
        <w:ind w:left="284" w:right="284"/>
        <w:jc w:val="both"/>
        <w:rPr>
          <w:rFonts w:ascii="Garamond" w:hAnsi="Garamond" w:cs="Times New Roman"/>
        </w:rPr>
      </w:pPr>
    </w:p>
    <w:p w:rsidR="00F6105D" w:rsidRDefault="00472B3A" w:rsidP="00BD7BCA">
      <w:pPr>
        <w:spacing w:after="0" w:line="360" w:lineRule="auto"/>
        <w:jc w:val="both"/>
        <w:rPr>
          <w:rFonts w:ascii="Garamond" w:hAnsi="Garamond" w:cs="Times New Roman"/>
          <w:sz w:val="24"/>
          <w:szCs w:val="24"/>
        </w:rPr>
      </w:pPr>
      <w:r>
        <w:rPr>
          <w:rFonts w:ascii="Garamond" w:hAnsi="Garamond" w:cs="Times New Roman"/>
          <w:sz w:val="24"/>
          <w:szCs w:val="24"/>
        </w:rPr>
        <w:t xml:space="preserve">Flashman-Wells explains how </w:t>
      </w:r>
      <w:r w:rsidR="00F6105D">
        <w:rPr>
          <w:rFonts w:ascii="Garamond" w:hAnsi="Garamond" w:cs="Times New Roman"/>
          <w:sz w:val="24"/>
          <w:szCs w:val="24"/>
        </w:rPr>
        <w:t xml:space="preserve">students from Tunbridge Wells </w:t>
      </w:r>
      <w:r>
        <w:rPr>
          <w:rFonts w:ascii="Garamond" w:hAnsi="Garamond" w:cs="Times New Roman"/>
          <w:sz w:val="24"/>
          <w:szCs w:val="24"/>
        </w:rPr>
        <w:t xml:space="preserve">produced the community art project. Local students crafted </w:t>
      </w:r>
      <w:r w:rsidRPr="00EC5CC5">
        <w:rPr>
          <w:rFonts w:ascii="Garamond" w:hAnsi="Garamond" w:cs="Times New Roman"/>
          <w:sz w:val="24"/>
          <w:szCs w:val="24"/>
        </w:rPr>
        <w:t>hundreds of papier-mâché eggs</w:t>
      </w:r>
      <w:r>
        <w:rPr>
          <w:rFonts w:ascii="Garamond" w:hAnsi="Garamond" w:cs="Times New Roman"/>
          <w:sz w:val="24"/>
          <w:szCs w:val="24"/>
        </w:rPr>
        <w:t xml:space="preserve"> (some with painted faces of imagined child producers) and dressed the trees at Caverley shopping precinct. These young people demonstrated a politics of responsibility and care for ‘unknown’ and ‘faceless’ producers, and humanized some of the eggs with imaginary representations of trafficked children’s faces. TWFTG steering committee member Jane Clarke explains that cultures of Easter celebration from Sweden were an inspiration for the art installation: </w:t>
      </w:r>
    </w:p>
    <w:p w:rsidR="00472B3A" w:rsidRDefault="00472B3A" w:rsidP="00BD7BCA">
      <w:pPr>
        <w:spacing w:after="0" w:line="360" w:lineRule="auto"/>
        <w:jc w:val="both"/>
        <w:rPr>
          <w:rFonts w:ascii="Garamond" w:hAnsi="Garamond" w:cs="Times New Roman"/>
          <w:sz w:val="24"/>
          <w:szCs w:val="24"/>
        </w:rPr>
      </w:pPr>
    </w:p>
    <w:p w:rsidR="00F6105D" w:rsidRDefault="00472B3A" w:rsidP="00F6105D">
      <w:pPr>
        <w:spacing w:after="0" w:line="360" w:lineRule="auto"/>
        <w:ind w:left="284" w:right="284"/>
        <w:jc w:val="both"/>
        <w:rPr>
          <w:rFonts w:ascii="Garamond" w:hAnsi="Garamond" w:cs="Times New Roman"/>
          <w:sz w:val="24"/>
          <w:szCs w:val="24"/>
        </w:rPr>
      </w:pPr>
      <w:r>
        <w:rPr>
          <w:rFonts w:ascii="Garamond" w:hAnsi="Garamond" w:cs="Times New Roman"/>
          <w:sz w:val="24"/>
          <w:szCs w:val="24"/>
        </w:rPr>
        <w:t>JANE</w:t>
      </w:r>
      <w:r w:rsidRPr="002F2FE8">
        <w:rPr>
          <w:rFonts w:ascii="Garamond" w:hAnsi="Garamond" w:cs="Times New Roman"/>
          <w:sz w:val="24"/>
          <w:szCs w:val="24"/>
        </w:rPr>
        <w:t>: My mum’s Swedish and in Sweden they do Easter trees, and they get them around branches of the silver birch before the leaves fall off. You just get eggs and you keep the shell and paint them and hang them on the trees. And you have the precinct in Tunbridge Wells which is the middle of our shopping centre and there are trees through there. And we thought,</w:t>
      </w:r>
      <w:r>
        <w:rPr>
          <w:rFonts w:ascii="Garamond" w:hAnsi="Garamond" w:cs="Times New Roman"/>
          <w:sz w:val="24"/>
          <w:szCs w:val="24"/>
        </w:rPr>
        <w:t xml:space="preserve"> ‘why can’t we just make papier-</w:t>
      </w:r>
      <w:r w:rsidRPr="00367A44">
        <w:rPr>
          <w:rFonts w:ascii="Garamond" w:hAnsi="Garamond" w:cs="Arial"/>
          <w:sz w:val="24"/>
          <w:szCs w:val="24"/>
        </w:rPr>
        <w:t>mâché</w:t>
      </w:r>
      <w:r w:rsidRPr="002F2FE8">
        <w:rPr>
          <w:rFonts w:ascii="Garamond" w:hAnsi="Garamond" w:cs="Times New Roman"/>
          <w:sz w:val="24"/>
          <w:szCs w:val="24"/>
        </w:rPr>
        <w:t xml:space="preserve"> balloons into the shape of eggs and hang them from the trees?</w:t>
      </w:r>
      <w:r w:rsidR="00F6105D">
        <w:rPr>
          <w:rFonts w:ascii="Garamond" w:hAnsi="Garamond" w:cs="Times New Roman"/>
          <w:sz w:val="24"/>
          <w:szCs w:val="24"/>
        </w:rPr>
        <w:t xml:space="preserve"> (Interview, Mandy and Jane 2011)</w:t>
      </w:r>
    </w:p>
    <w:p w:rsidR="00472B3A" w:rsidRDefault="00472B3A" w:rsidP="00F6105D">
      <w:pPr>
        <w:spacing w:after="0" w:line="360" w:lineRule="auto"/>
        <w:ind w:left="284" w:right="284"/>
        <w:jc w:val="both"/>
        <w:rPr>
          <w:rFonts w:ascii="Garamond" w:hAnsi="Garamond" w:cs="Times New Roman"/>
          <w:sz w:val="24"/>
          <w:szCs w:val="24"/>
        </w:rPr>
      </w:pPr>
    </w:p>
    <w:p w:rsidR="00F6105D" w:rsidRDefault="00472B3A" w:rsidP="00F6105D">
      <w:pPr>
        <w:spacing w:after="0" w:line="360" w:lineRule="auto"/>
        <w:jc w:val="both"/>
        <w:rPr>
          <w:rFonts w:ascii="Garamond" w:hAnsi="Garamond" w:cs="Times New Roman"/>
          <w:sz w:val="24"/>
          <w:szCs w:val="24"/>
        </w:rPr>
      </w:pPr>
      <w:r>
        <w:rPr>
          <w:rFonts w:ascii="Garamond" w:hAnsi="Garamond" w:cs="Times New Roman"/>
          <w:sz w:val="24"/>
          <w:szCs w:val="24"/>
        </w:rPr>
        <w:t>The TWFTG report of the campaign highlights the how the installation combined local, national and global imaginative geographies. Over a three week period the art installation combined a cultural revival for 'British' tree dressing with the child-consumer chocolate topos:</w:t>
      </w:r>
    </w:p>
    <w:p w:rsidR="00472B3A" w:rsidRPr="002F2FE8" w:rsidRDefault="00472B3A" w:rsidP="00F6105D">
      <w:pPr>
        <w:spacing w:after="0" w:line="360" w:lineRule="auto"/>
        <w:jc w:val="both"/>
        <w:rPr>
          <w:rFonts w:ascii="Garamond" w:hAnsi="Garamond" w:cs="Times New Roman"/>
          <w:sz w:val="24"/>
          <w:szCs w:val="24"/>
        </w:rPr>
      </w:pPr>
    </w:p>
    <w:p w:rsidR="00F6105D" w:rsidRDefault="00472B3A" w:rsidP="00F6105D">
      <w:pPr>
        <w:spacing w:after="0" w:line="360" w:lineRule="auto"/>
        <w:ind w:left="284" w:right="284"/>
        <w:jc w:val="both"/>
        <w:rPr>
          <w:rFonts w:ascii="Garamond" w:hAnsi="Garamond" w:cs="Arial"/>
          <w:sz w:val="24"/>
          <w:szCs w:val="24"/>
        </w:rPr>
      </w:pPr>
      <w:r w:rsidRPr="00367A44">
        <w:rPr>
          <w:rFonts w:ascii="Garamond" w:hAnsi="Garamond" w:cs="Arial"/>
          <w:sz w:val="24"/>
          <w:szCs w:val="24"/>
        </w:rPr>
        <w:t>We dressed the trees in Calverley Precinct,</w:t>
      </w:r>
      <w:r>
        <w:rPr>
          <w:rFonts w:ascii="Garamond" w:hAnsi="Garamond" w:cs="Arial"/>
          <w:sz w:val="24"/>
          <w:szCs w:val="24"/>
        </w:rPr>
        <w:t xml:space="preserve"> in Tunbridge Wells with papier-</w:t>
      </w:r>
      <w:r w:rsidRPr="00367A44">
        <w:rPr>
          <w:rFonts w:ascii="Garamond" w:hAnsi="Garamond" w:cs="Arial"/>
          <w:sz w:val="24"/>
          <w:szCs w:val="24"/>
        </w:rPr>
        <w:t xml:space="preserve">mâché Easter eggs. Tree dressing is an ancient tradition in many parts of the British Isles, where objects (usually strips of coloured cloth) were hung on trees near to holy wells or other curative sites by those who felt that they had been cured. Tree dressing as an art form has experienced a revival, we therefore dressed the trees in the town with our own homemade eggs. Not only is the Town the home of curative waters, but the general theme of healing fits well with the Fairtrade campaign. The trees are planted in a row along the Precinct and the hanging was </w:t>
      </w:r>
      <w:r w:rsidRPr="00367A44">
        <w:rPr>
          <w:rFonts w:ascii="Garamond" w:hAnsi="Garamond" w:cs="Arial"/>
          <w:sz w:val="24"/>
          <w:szCs w:val="24"/>
        </w:rPr>
        <w:lastRenderedPageBreak/>
        <w:t>arranged according to the colours of the rainbow, the first tree being hung with red eggs, the se</w:t>
      </w:r>
      <w:r>
        <w:rPr>
          <w:rFonts w:ascii="Garamond" w:hAnsi="Garamond" w:cs="Arial"/>
          <w:sz w:val="24"/>
          <w:szCs w:val="24"/>
        </w:rPr>
        <w:t>cond with orange ones and so on</w:t>
      </w:r>
      <w:r w:rsidRPr="00367A44">
        <w:rPr>
          <w:rFonts w:ascii="Garamond" w:hAnsi="Garamond" w:cs="Arial"/>
          <w:sz w:val="24"/>
          <w:szCs w:val="24"/>
        </w:rPr>
        <w:t>.</w:t>
      </w:r>
      <w:r>
        <w:rPr>
          <w:rFonts w:ascii="Garamond" w:hAnsi="Garamond" w:cs="Arial"/>
          <w:sz w:val="24"/>
          <w:szCs w:val="24"/>
        </w:rPr>
        <w:t xml:space="preserve"> (TWFTG report, 2007)</w:t>
      </w:r>
    </w:p>
    <w:p w:rsidR="00472B3A" w:rsidRDefault="00472B3A" w:rsidP="00F6105D">
      <w:pPr>
        <w:spacing w:after="0" w:line="360" w:lineRule="auto"/>
        <w:ind w:left="284" w:right="284"/>
        <w:jc w:val="both"/>
        <w:rPr>
          <w:rFonts w:ascii="Garamond" w:hAnsi="Garamond" w:cs="Arial"/>
          <w:sz w:val="24"/>
          <w:szCs w:val="24"/>
        </w:rPr>
      </w:pPr>
    </w:p>
    <w:p w:rsidR="00F6105D" w:rsidRDefault="00472B3A" w:rsidP="00472B3A">
      <w:pPr>
        <w:spacing w:line="360" w:lineRule="auto"/>
        <w:jc w:val="both"/>
        <w:rPr>
          <w:rFonts w:ascii="Garamond" w:hAnsi="Garamond" w:cs="Times New Roman"/>
          <w:sz w:val="24"/>
          <w:szCs w:val="24"/>
        </w:rPr>
      </w:pPr>
      <w:r>
        <w:rPr>
          <w:rFonts w:ascii="Garamond" w:hAnsi="Garamond" w:cs="Times New Roman"/>
          <w:sz w:val="24"/>
          <w:szCs w:val="24"/>
        </w:rPr>
        <w:t>According to Low and Davenport, the Fairtrade Town concept is “closely aligned to the boycott principle, Fairtrade Towns and campuses are practical expressions of the buycott principle” (2007: 344), a link that Malpass et al. (2007) and Barnett et al. (2011) shy from in their analysis of Bristol as a Fairtrade Town. Instead these geographers tend to focus on the figure of the citizen-consumer and the role of ‘fair trade urbanism’</w:t>
      </w:r>
      <w:r>
        <w:rPr>
          <w:rStyle w:val="FootnoteReference"/>
          <w:rFonts w:ascii="Garamond" w:hAnsi="Garamond"/>
          <w:sz w:val="24"/>
          <w:szCs w:val="24"/>
        </w:rPr>
        <w:footnoteReference w:id="133"/>
      </w:r>
      <w:r>
        <w:rPr>
          <w:rFonts w:ascii="Garamond" w:hAnsi="Garamond" w:cs="Times New Roman"/>
          <w:sz w:val="24"/>
          <w:szCs w:val="24"/>
        </w:rPr>
        <w:t xml:space="preserve"> in expressing Massey’s (2007) politics of ‘place beyond place’ (see Darling, 2010).</w:t>
      </w:r>
    </w:p>
    <w:p w:rsidR="00F6105D" w:rsidRDefault="00F6105D" w:rsidP="00472B3A">
      <w:pPr>
        <w:spacing w:line="360" w:lineRule="auto"/>
        <w:jc w:val="both"/>
        <w:rPr>
          <w:rFonts w:ascii="Garamond" w:hAnsi="Garamond" w:cs="Times New Roman"/>
          <w:sz w:val="24"/>
          <w:szCs w:val="24"/>
        </w:rPr>
      </w:pPr>
    </w:p>
    <w:p w:rsidR="00F6105D" w:rsidRDefault="00F6105D" w:rsidP="00472B3A">
      <w:pPr>
        <w:spacing w:line="360" w:lineRule="auto"/>
        <w:jc w:val="both"/>
        <w:rPr>
          <w:rFonts w:ascii="Garamond" w:hAnsi="Garamond" w:cs="Times New Roman"/>
          <w:sz w:val="24"/>
          <w:szCs w:val="24"/>
        </w:rPr>
      </w:pP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tblPr>
      <w:tblGrid>
        <w:gridCol w:w="2943"/>
        <w:gridCol w:w="5670"/>
      </w:tblGrid>
      <w:tr w:rsidR="00F6105D">
        <w:trPr>
          <w:trHeight w:val="4820"/>
        </w:trPr>
        <w:tc>
          <w:tcPr>
            <w:tcW w:w="2943" w:type="dxa"/>
          </w:tcPr>
          <w:p w:rsidR="003E091C" w:rsidRDefault="00F6105D" w:rsidP="001C3CB8">
            <w:pPr>
              <w:pStyle w:val="Caption"/>
              <w:jc w:val="both"/>
              <w:rPr>
                <w:rFonts w:ascii="Perpetua" w:hAnsi="Perpetua"/>
                <w:b w:val="0"/>
                <w:color w:val="auto"/>
                <w:sz w:val="20"/>
              </w:rPr>
            </w:pPr>
            <w:bookmarkStart w:id="601" w:name="_Toc263509051"/>
            <w:bookmarkStart w:id="602" w:name="_Toc263510838"/>
            <w:bookmarkStart w:id="603" w:name="_Toc244508254"/>
            <w:bookmarkStart w:id="604" w:name="_Toc244577316"/>
            <w:bookmarkStart w:id="605" w:name="_Toc263495785"/>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54</w:t>
            </w:r>
            <w:r w:rsidR="00DF2DF8" w:rsidRPr="003E091C">
              <w:rPr>
                <w:rFonts w:ascii="Perpetua" w:hAnsi="Perpetua"/>
                <w:b w:val="0"/>
                <w:color w:val="auto"/>
                <w:sz w:val="20"/>
              </w:rPr>
              <w:fldChar w:fldCharType="end"/>
            </w:r>
            <w:r w:rsidRPr="003E091C">
              <w:rPr>
                <w:rFonts w:ascii="Perpetua" w:hAnsi="Perpetua"/>
                <w:b w:val="0"/>
                <w:color w:val="auto"/>
                <w:sz w:val="20"/>
              </w:rPr>
              <w:t>:</w:t>
            </w:r>
            <w:r w:rsidRPr="00F6105D">
              <w:rPr>
                <w:rFonts w:ascii="Perpetua" w:hAnsi="Perpetua"/>
                <w:b w:val="0"/>
                <w:color w:val="auto"/>
                <w:sz w:val="20"/>
              </w:rPr>
              <w:t xml:space="preserve"> </w:t>
            </w:r>
            <w:r w:rsidR="003E091C">
              <w:rPr>
                <w:rFonts w:ascii="Perpetua" w:hAnsi="Perpetua"/>
                <w:b w:val="0"/>
                <w:color w:val="auto"/>
                <w:sz w:val="20"/>
              </w:rPr>
              <w:t>Fairtrade Town art installation in Tunbridge Wells,</w:t>
            </w:r>
            <w:r w:rsidRPr="00F6105D">
              <w:rPr>
                <w:rFonts w:ascii="Perpetua" w:hAnsi="Perpetua"/>
                <w:b w:val="0"/>
                <w:color w:val="auto"/>
                <w:sz w:val="20"/>
              </w:rPr>
              <w:t xml:space="preserve"> 2007.</w:t>
            </w:r>
            <w:bookmarkEnd w:id="601"/>
            <w:bookmarkEnd w:id="602"/>
            <w:r w:rsidRPr="00F6105D">
              <w:rPr>
                <w:rFonts w:ascii="Perpetua" w:hAnsi="Perpetua"/>
                <w:b w:val="0"/>
                <w:color w:val="auto"/>
                <w:sz w:val="20"/>
              </w:rPr>
              <w:t xml:space="preserve"> </w:t>
            </w:r>
          </w:p>
          <w:p w:rsidR="003E091C" w:rsidRPr="003E091C" w:rsidRDefault="003E091C" w:rsidP="003E091C"/>
          <w:p w:rsidR="00F6105D" w:rsidRPr="003E091C" w:rsidRDefault="003E091C" w:rsidP="003E091C">
            <w:pPr>
              <w:rPr>
                <w:rFonts w:ascii="Perpetua" w:hAnsi="Perpetua"/>
                <w:sz w:val="20"/>
              </w:rPr>
            </w:pPr>
            <w:r w:rsidRPr="003E091C">
              <w:rPr>
                <w:rFonts w:ascii="Perpetua" w:hAnsi="Perpetua"/>
                <w:sz w:val="20"/>
              </w:rPr>
              <w:t>The installation situates the child-consumer chocolate topos, showing t</w:t>
            </w:r>
            <w:r w:rsidR="00F6105D" w:rsidRPr="003E091C">
              <w:rPr>
                <w:rFonts w:ascii="Perpetua" w:hAnsi="Perpetua"/>
                <w:sz w:val="20"/>
              </w:rPr>
              <w:t>rees dressed with Easter eggs at Caverley shopping precinct.  Available at: http://tunbridgewellsfai</w:t>
            </w:r>
            <w:r w:rsidRPr="003E091C">
              <w:rPr>
                <w:rFonts w:ascii="Perpetua" w:hAnsi="Perpetua"/>
                <w:sz w:val="20"/>
              </w:rPr>
              <w:t>rtradegroup.weebly.com/events.</w:t>
            </w:r>
            <w:r w:rsidR="00F6105D" w:rsidRPr="003E091C">
              <w:rPr>
                <w:rFonts w:ascii="Perpetua" w:hAnsi="Perpetua"/>
                <w:sz w:val="20"/>
              </w:rPr>
              <w:t>html. (Accessed 12 February 2012).</w:t>
            </w:r>
            <w:bookmarkEnd w:id="603"/>
            <w:bookmarkEnd w:id="604"/>
            <w:bookmarkEnd w:id="605"/>
          </w:p>
          <w:p w:rsidR="00F6105D" w:rsidRDefault="00F6105D" w:rsidP="001C3CB8">
            <w:pPr>
              <w:spacing w:line="360" w:lineRule="auto"/>
              <w:rPr>
                <w:rFonts w:ascii="Garamond" w:hAnsi="Garamond" w:cs="Arial"/>
                <w:sz w:val="24"/>
                <w:szCs w:val="24"/>
              </w:rPr>
            </w:pPr>
          </w:p>
        </w:tc>
        <w:tc>
          <w:tcPr>
            <w:tcW w:w="5670" w:type="dxa"/>
          </w:tcPr>
          <w:p w:rsidR="00F6105D" w:rsidRDefault="00F6105D" w:rsidP="00F6105D">
            <w:pPr>
              <w:keepNext/>
              <w:spacing w:line="360" w:lineRule="auto"/>
              <w:jc w:val="both"/>
              <w:rPr>
                <w:rFonts w:ascii="Garamond" w:hAnsi="Garamond" w:cs="Arial"/>
                <w:sz w:val="24"/>
                <w:szCs w:val="24"/>
              </w:rPr>
            </w:pPr>
            <w:r>
              <w:rPr>
                <w:noProof/>
                <w:lang w:eastAsia="en-GB"/>
              </w:rPr>
              <w:drawing>
                <wp:inline distT="0" distB="0" distL="0" distR="0">
                  <wp:extent cx="3611842" cy="3131528"/>
                  <wp:effectExtent l="25400" t="0" r="0" b="0"/>
                  <wp:docPr id="68" name="Picture 5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pic:cNvPicPr>
                            <a:picLocks noChangeAspect="1" noChangeArrowheads="1"/>
                          </pic:cNvPicPr>
                        </pic:nvPicPr>
                        <pic:blipFill>
                          <a:blip r:embed="rId92" cstate="print"/>
                          <a:srcRect/>
                          <a:stretch>
                            <a:fillRect/>
                          </a:stretch>
                        </pic:blipFill>
                        <pic:spPr bwMode="auto">
                          <a:xfrm>
                            <a:off x="0" y="0"/>
                            <a:ext cx="3610546" cy="3130404"/>
                          </a:xfrm>
                          <a:prstGeom prst="rect">
                            <a:avLst/>
                          </a:prstGeom>
                          <a:noFill/>
                          <a:ln w="9525">
                            <a:noFill/>
                            <a:miter lim="800000"/>
                            <a:headEnd/>
                            <a:tailEnd/>
                          </a:ln>
                        </pic:spPr>
                      </pic:pic>
                    </a:graphicData>
                  </a:graphic>
                </wp:inline>
              </w:drawing>
            </w:r>
          </w:p>
        </w:tc>
      </w:tr>
    </w:tbl>
    <w:p w:rsidR="00D657E4" w:rsidRDefault="00D657E4" w:rsidP="00472B3A">
      <w:pPr>
        <w:spacing w:line="360" w:lineRule="auto"/>
        <w:jc w:val="both"/>
        <w:rPr>
          <w:rFonts w:ascii="Perpetua" w:hAnsi="Perpetua" w:cs="Times New Roman"/>
          <w:sz w:val="24"/>
          <w:szCs w:val="24"/>
        </w:rPr>
      </w:pPr>
    </w:p>
    <w:p w:rsidR="00D657E4" w:rsidRDefault="00D657E4" w:rsidP="00472B3A">
      <w:pPr>
        <w:spacing w:line="360" w:lineRule="auto"/>
        <w:jc w:val="both"/>
        <w:rPr>
          <w:rFonts w:ascii="Perpetua" w:hAnsi="Perpetua" w:cs="Times New Roman"/>
          <w:sz w:val="24"/>
          <w:szCs w:val="24"/>
        </w:rPr>
      </w:pPr>
    </w:p>
    <w:p w:rsidR="00D657E4" w:rsidRDefault="00D657E4" w:rsidP="00472B3A">
      <w:pPr>
        <w:spacing w:line="360" w:lineRule="auto"/>
        <w:jc w:val="both"/>
        <w:rPr>
          <w:rFonts w:ascii="Perpetua" w:hAnsi="Perpetua" w:cs="Times New Roman"/>
          <w:sz w:val="24"/>
          <w:szCs w:val="24"/>
        </w:rPr>
      </w:pPr>
    </w:p>
    <w:p w:rsidR="002135A6" w:rsidRDefault="002135A6" w:rsidP="00472B3A">
      <w:pPr>
        <w:spacing w:line="360" w:lineRule="auto"/>
        <w:jc w:val="both"/>
        <w:rPr>
          <w:rFonts w:ascii="Perpetua" w:hAnsi="Perpetua" w:cs="Times New Roman"/>
          <w:sz w:val="24"/>
          <w:szCs w:val="24"/>
        </w:rPr>
      </w:pPr>
    </w:p>
    <w:p w:rsidR="00D657E4" w:rsidRDefault="00D657E4" w:rsidP="00472B3A">
      <w:pPr>
        <w:spacing w:line="360" w:lineRule="auto"/>
        <w:jc w:val="both"/>
        <w:rPr>
          <w:rFonts w:ascii="Perpetua" w:hAnsi="Perpetua" w:cs="Times New Roman"/>
          <w:sz w:val="24"/>
          <w:szCs w:val="24"/>
        </w:rPr>
      </w:pPr>
    </w:p>
    <w:tbl>
      <w:tblPr>
        <w:tblStyle w:val="TableGrid"/>
        <w:tblW w:w="0" w:type="auto"/>
        <w:tblLook w:val="00A0"/>
      </w:tblPr>
      <w:tblGrid>
        <w:gridCol w:w="8516"/>
      </w:tblGrid>
      <w:tr w:rsidR="00D657E4">
        <w:trPr>
          <w:trHeight w:val="6511"/>
        </w:trPr>
        <w:tc>
          <w:tcPr>
            <w:tcW w:w="8516" w:type="dxa"/>
          </w:tcPr>
          <w:p w:rsidR="00D657E4" w:rsidRDefault="00D657E4" w:rsidP="00D657E4">
            <w:pPr>
              <w:spacing w:after="0" w:line="360" w:lineRule="auto"/>
              <w:jc w:val="both"/>
              <w:rPr>
                <w:noProof/>
                <w:lang w:val="en-US"/>
              </w:rPr>
            </w:pPr>
          </w:p>
          <w:p w:rsidR="00D657E4" w:rsidRDefault="00D657E4" w:rsidP="00D657E4">
            <w:pPr>
              <w:spacing w:after="0" w:line="360" w:lineRule="auto"/>
              <w:jc w:val="both"/>
              <w:rPr>
                <w:noProof/>
                <w:lang w:val="en-US"/>
              </w:rPr>
            </w:pPr>
            <w:r w:rsidRPr="00D657E4">
              <w:rPr>
                <w:rFonts w:ascii="Perpetua" w:hAnsi="Perpetua" w:cs="Times New Roman"/>
                <w:noProof/>
                <w:sz w:val="24"/>
                <w:szCs w:val="24"/>
                <w:lang w:eastAsia="en-GB"/>
              </w:rPr>
              <w:drawing>
                <wp:inline distT="0" distB="0" distL="0" distR="0">
                  <wp:extent cx="2435866" cy="1624073"/>
                  <wp:effectExtent l="76200" t="25400" r="104134" b="52327"/>
                  <wp:docPr id="70" name="Picture 63" descr="http://tunbridgewellsfairtradegroup.weebly.com/uploads/1/1/4/1/11410357/3175856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tunbridgewellsfairtradegroup.weebly.com/uploads/1/1/4/1/11410357/3175856_orig.jpg"/>
                          <pic:cNvPicPr>
                            <a:picLocks noChangeAspect="1" noChangeArrowheads="1"/>
                          </pic:cNvPicPr>
                        </pic:nvPicPr>
                        <pic:blipFill>
                          <a:blip r:embed="rId93" cstate="print"/>
                          <a:srcRect/>
                          <a:stretch>
                            <a:fillRect/>
                          </a:stretch>
                        </pic:blipFill>
                        <pic:spPr bwMode="auto">
                          <a:xfrm>
                            <a:off x="0" y="0"/>
                            <a:ext cx="2435509" cy="162383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Pr>
                <w:noProof/>
                <w:lang w:val="en-US"/>
              </w:rPr>
              <w:t xml:space="preserve"> </w:t>
            </w:r>
            <w:r w:rsidRPr="00D657E4">
              <w:rPr>
                <w:rFonts w:ascii="Perpetua" w:hAnsi="Perpetua" w:cs="Times New Roman"/>
                <w:noProof/>
                <w:sz w:val="24"/>
                <w:szCs w:val="24"/>
                <w:lang w:eastAsia="en-GB"/>
              </w:rPr>
              <w:drawing>
                <wp:inline distT="0" distB="0" distL="0" distR="0">
                  <wp:extent cx="2356485" cy="1577714"/>
                  <wp:effectExtent l="76200" t="25400" r="107315" b="73286"/>
                  <wp:docPr id="72" name="Picture 69" descr="http://tunbridgewellsfairtradegroup.weebly.com/uploads/1/1/4/1/11410357/6999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tunbridgewellsfairtradegroup.weebly.com/uploads/1/1/4/1/11410357/69994_orig.jpg"/>
                          <pic:cNvPicPr>
                            <a:picLocks noChangeAspect="1" noChangeArrowheads="1"/>
                          </pic:cNvPicPr>
                        </pic:nvPicPr>
                        <pic:blipFill>
                          <a:blip r:embed="rId94" cstate="print"/>
                          <a:srcRect/>
                          <a:stretch>
                            <a:fillRect/>
                          </a:stretch>
                        </pic:blipFill>
                        <pic:spPr bwMode="auto">
                          <a:xfrm>
                            <a:off x="0" y="0"/>
                            <a:ext cx="2356105" cy="157746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D657E4" w:rsidRPr="002135A6" w:rsidRDefault="00D657E4" w:rsidP="00D657E4">
            <w:pPr>
              <w:spacing w:after="0" w:line="360" w:lineRule="auto"/>
              <w:jc w:val="both"/>
              <w:rPr>
                <w:noProof/>
                <w:lang w:val="en-US"/>
              </w:rPr>
            </w:pPr>
            <w:r w:rsidRPr="00D657E4">
              <w:rPr>
                <w:noProof/>
                <w:lang w:eastAsia="en-GB"/>
              </w:rPr>
              <w:drawing>
                <wp:inline distT="0" distB="0" distL="0" distR="0">
                  <wp:extent cx="1197572" cy="1808677"/>
                  <wp:effectExtent l="76200" t="25400" r="97828" b="70923"/>
                  <wp:docPr id="73" name="Picture 72" descr="http://tunbridgewellsfairtradegroup.weebly.com/uploads/1/1/4/1/11410357/961190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tunbridgewellsfairtradegroup.weebly.com/uploads/1/1/4/1/11410357/9611900_orig.jpg"/>
                          <pic:cNvPicPr>
                            <a:picLocks noChangeAspect="1" noChangeArrowheads="1"/>
                          </pic:cNvPicPr>
                        </pic:nvPicPr>
                        <pic:blipFill>
                          <a:blip r:embed="rId95" cstate="print"/>
                          <a:srcRect/>
                          <a:stretch>
                            <a:fillRect/>
                          </a:stretch>
                        </pic:blipFill>
                        <pic:spPr bwMode="auto">
                          <a:xfrm>
                            <a:off x="0" y="0"/>
                            <a:ext cx="1200760" cy="181349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sidRPr="00D657E4">
              <w:rPr>
                <w:noProof/>
                <w:szCs w:val="24"/>
                <w:lang w:eastAsia="en-GB"/>
              </w:rPr>
              <w:drawing>
                <wp:inline distT="0" distB="0" distL="0" distR="0">
                  <wp:extent cx="2324100" cy="1772108"/>
                  <wp:effectExtent l="76200" t="25400" r="114300" b="56692"/>
                  <wp:docPr id="74" name="Picture 66" descr="http://tunbridgewellsfairtradegroup.weebly.com/uploads/1/1/4/1/11410357/502106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tunbridgewellsfairtradegroup.weebly.com/uploads/1/1/4/1/11410357/5021063_orig.jpg"/>
                          <pic:cNvPicPr>
                            <a:picLocks noChangeAspect="1" noChangeArrowheads="1"/>
                          </pic:cNvPicPr>
                        </pic:nvPicPr>
                        <pic:blipFill>
                          <a:blip r:embed="rId96" cstate="print"/>
                          <a:srcRect/>
                          <a:stretch>
                            <a:fillRect/>
                          </a:stretch>
                        </pic:blipFill>
                        <pic:spPr bwMode="auto">
                          <a:xfrm>
                            <a:off x="0" y="0"/>
                            <a:ext cx="2327002" cy="1774321"/>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Pr>
                <w:noProof/>
                <w:lang w:val="en-US"/>
              </w:rPr>
              <w:t xml:space="preserve"> </w:t>
            </w:r>
            <w:r w:rsidRPr="00D657E4">
              <w:rPr>
                <w:noProof/>
                <w:lang w:eastAsia="en-GB"/>
              </w:rPr>
              <w:drawing>
                <wp:inline distT="0" distB="0" distL="0" distR="0">
                  <wp:extent cx="1168400" cy="1764619"/>
                  <wp:effectExtent l="76200" t="25400" r="101600" b="64181"/>
                  <wp:docPr id="75" name="Picture 75" descr="http://tunbridgewellsfairtradegroup.weebly.com/uploads/1/1/4/1/11410357/304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tunbridgewellsfairtradegroup.weebly.com/uploads/1/1/4/1/11410357/3047657.jpg"/>
                          <pic:cNvPicPr>
                            <a:picLocks noChangeAspect="1" noChangeArrowheads="1"/>
                          </pic:cNvPicPr>
                        </pic:nvPicPr>
                        <pic:blipFill>
                          <a:blip r:embed="rId97" cstate="print"/>
                          <a:srcRect/>
                          <a:stretch>
                            <a:fillRect/>
                          </a:stretch>
                        </pic:blipFill>
                        <pic:spPr bwMode="auto">
                          <a:xfrm>
                            <a:off x="0" y="0"/>
                            <a:ext cx="1171850" cy="1769829"/>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tc>
      </w:tr>
    </w:tbl>
    <w:p w:rsidR="00D657E4" w:rsidRDefault="00D657E4" w:rsidP="00472B3A">
      <w:pPr>
        <w:spacing w:line="360" w:lineRule="auto"/>
        <w:jc w:val="both"/>
        <w:rPr>
          <w:rFonts w:ascii="Perpetua" w:hAnsi="Perpetua" w:cs="Times New Roman"/>
          <w:sz w:val="24"/>
          <w:szCs w:val="24"/>
        </w:rPr>
      </w:pPr>
    </w:p>
    <w:p w:rsidR="003E091C" w:rsidRDefault="00D657E4" w:rsidP="00682343">
      <w:pPr>
        <w:pStyle w:val="Caption"/>
        <w:jc w:val="both"/>
        <w:rPr>
          <w:rFonts w:ascii="Perpetua" w:hAnsi="Perpetua" w:cs="Times New Roman"/>
          <w:b w:val="0"/>
          <w:color w:val="auto"/>
          <w:sz w:val="20"/>
          <w:szCs w:val="24"/>
        </w:rPr>
      </w:pPr>
      <w:bookmarkStart w:id="606" w:name="_Toc263509052"/>
      <w:bookmarkStart w:id="607" w:name="_Toc263510839"/>
      <w:bookmarkStart w:id="608" w:name="_Toc244508255"/>
      <w:bookmarkStart w:id="609" w:name="_Toc244577317"/>
      <w:bookmarkStart w:id="610" w:name="_Toc263495786"/>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55</w:t>
      </w:r>
      <w:r w:rsidR="00DF2DF8" w:rsidRPr="003E091C">
        <w:rPr>
          <w:rFonts w:ascii="Perpetua" w:hAnsi="Perpetua"/>
          <w:b w:val="0"/>
          <w:color w:val="auto"/>
          <w:sz w:val="20"/>
        </w:rPr>
        <w:fldChar w:fldCharType="end"/>
      </w:r>
      <w:r w:rsidRPr="003E091C">
        <w:rPr>
          <w:rFonts w:ascii="Perpetua" w:hAnsi="Perpetua"/>
          <w:b w:val="0"/>
          <w:color w:val="auto"/>
          <w:sz w:val="20"/>
        </w:rPr>
        <w:t>:</w:t>
      </w:r>
      <w:r w:rsidRPr="00D657E4">
        <w:rPr>
          <w:rFonts w:ascii="Perpetua" w:hAnsi="Perpetua"/>
          <w:b w:val="0"/>
          <w:color w:val="auto"/>
          <w:sz w:val="20"/>
        </w:rPr>
        <w:t xml:space="preserve"> </w:t>
      </w:r>
      <w:r w:rsidRPr="00D657E4">
        <w:rPr>
          <w:rFonts w:ascii="Perpetua" w:hAnsi="Perpetua" w:cs="Times New Roman"/>
          <w:b w:val="0"/>
          <w:color w:val="auto"/>
          <w:sz w:val="20"/>
          <w:szCs w:val="24"/>
        </w:rPr>
        <w:t>S</w:t>
      </w:r>
      <w:r w:rsidR="003E091C">
        <w:rPr>
          <w:rFonts w:ascii="Perpetua" w:hAnsi="Perpetua" w:cs="Times New Roman"/>
          <w:b w:val="0"/>
          <w:color w:val="auto"/>
          <w:sz w:val="20"/>
          <w:szCs w:val="24"/>
        </w:rPr>
        <w:t>election of photographs of painted eggs hung in trees by students in STT participating schools.</w:t>
      </w:r>
      <w:bookmarkEnd w:id="606"/>
      <w:bookmarkEnd w:id="607"/>
    </w:p>
    <w:p w:rsidR="00D657E4" w:rsidRPr="003E091C" w:rsidRDefault="003E091C" w:rsidP="003E091C">
      <w:pPr>
        <w:rPr>
          <w:rFonts w:ascii="Perpetua" w:hAnsi="Perpetua"/>
          <w:sz w:val="20"/>
        </w:rPr>
      </w:pPr>
      <w:r w:rsidRPr="003E091C">
        <w:rPr>
          <w:rFonts w:ascii="Perpetua" w:hAnsi="Perpetua"/>
          <w:sz w:val="20"/>
        </w:rPr>
        <w:t>S</w:t>
      </w:r>
      <w:r w:rsidR="00D657E4" w:rsidRPr="003E091C">
        <w:rPr>
          <w:rFonts w:ascii="Perpetua" w:hAnsi="Perpetua"/>
          <w:sz w:val="20"/>
        </w:rPr>
        <w:t>tudents from each participating school painted their eggs with “a colour from the rainbow” (interview Rowe, 2011) On the day of launch the steering committee held a competition to find a free trade egg among the trees. Live music and a fair trade stall accompanied the art installation.</w:t>
      </w:r>
      <w:bookmarkEnd w:id="608"/>
      <w:bookmarkEnd w:id="609"/>
      <w:bookmarkEnd w:id="610"/>
    </w:p>
    <w:p w:rsidR="00D657E4" w:rsidRDefault="002135A6" w:rsidP="002135A6">
      <w:pPr>
        <w:spacing w:line="360" w:lineRule="auto"/>
        <w:jc w:val="center"/>
        <w:rPr>
          <w:rFonts w:ascii="Perpetua" w:hAnsi="Perpetua" w:cs="Times New Roman"/>
          <w:sz w:val="24"/>
          <w:szCs w:val="24"/>
        </w:rPr>
      </w:pPr>
      <w:r w:rsidRPr="002135A6">
        <w:rPr>
          <w:rFonts w:ascii="Perpetua" w:hAnsi="Perpetua" w:cs="Times New Roman"/>
          <w:noProof/>
          <w:sz w:val="24"/>
          <w:szCs w:val="24"/>
          <w:lang w:eastAsia="en-GB"/>
        </w:rPr>
        <w:drawing>
          <wp:inline distT="0" distB="0" distL="0" distR="0">
            <wp:extent cx="4546600" cy="2260600"/>
            <wp:effectExtent l="25400" t="0" r="0" b="0"/>
            <wp:docPr id="76" name="Picture 5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ure"/>
                    <pic:cNvPicPr>
                      <a:picLocks noChangeAspect="1" noChangeArrowheads="1"/>
                    </pic:cNvPicPr>
                  </pic:nvPicPr>
                  <pic:blipFill>
                    <a:blip r:embed="rId98" cstate="print"/>
                    <a:srcRect/>
                    <a:stretch>
                      <a:fillRect/>
                    </a:stretch>
                  </pic:blipFill>
                  <pic:spPr bwMode="auto">
                    <a:xfrm>
                      <a:off x="0" y="0"/>
                      <a:ext cx="4552915" cy="2263740"/>
                    </a:xfrm>
                    <a:prstGeom prst="rect">
                      <a:avLst/>
                    </a:prstGeom>
                    <a:noFill/>
                    <a:ln w="9525">
                      <a:noFill/>
                      <a:miter lim="800000"/>
                      <a:headEnd/>
                      <a:tailEnd/>
                    </a:ln>
                  </pic:spPr>
                </pic:pic>
              </a:graphicData>
            </a:graphic>
          </wp:inline>
        </w:drawing>
      </w:r>
    </w:p>
    <w:p w:rsidR="003E091C" w:rsidRDefault="002135A6" w:rsidP="002135A6">
      <w:pPr>
        <w:pStyle w:val="Caption"/>
        <w:ind w:left="709" w:right="503"/>
        <w:jc w:val="both"/>
        <w:rPr>
          <w:rFonts w:ascii="Perpetua" w:hAnsi="Perpetua" w:cs="Arial"/>
          <w:b w:val="0"/>
          <w:color w:val="auto"/>
          <w:sz w:val="20"/>
        </w:rPr>
      </w:pPr>
      <w:bookmarkStart w:id="611" w:name="_Toc263509053"/>
      <w:bookmarkStart w:id="612" w:name="_Toc263510840"/>
      <w:bookmarkStart w:id="613" w:name="_Toc244508256"/>
      <w:bookmarkStart w:id="614" w:name="_Toc244577318"/>
      <w:bookmarkStart w:id="615" w:name="_Toc263495787"/>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56</w:t>
      </w:r>
      <w:r w:rsidR="00DF2DF8" w:rsidRPr="003E091C">
        <w:rPr>
          <w:rFonts w:ascii="Perpetua" w:hAnsi="Perpetua"/>
          <w:b w:val="0"/>
          <w:color w:val="auto"/>
          <w:sz w:val="20"/>
        </w:rPr>
        <w:fldChar w:fldCharType="end"/>
      </w:r>
      <w:r w:rsidRPr="003E091C">
        <w:rPr>
          <w:rFonts w:ascii="Perpetua" w:hAnsi="Perpetua"/>
          <w:b w:val="0"/>
          <w:color w:val="auto"/>
          <w:sz w:val="20"/>
        </w:rPr>
        <w:t>:</w:t>
      </w:r>
      <w:r w:rsidRPr="002135A6">
        <w:rPr>
          <w:rFonts w:ascii="Perpetua" w:hAnsi="Perpetua"/>
          <w:b w:val="0"/>
          <w:color w:val="auto"/>
          <w:sz w:val="20"/>
        </w:rPr>
        <w:t xml:space="preserve"> </w:t>
      </w:r>
      <w:r w:rsidR="003E091C">
        <w:rPr>
          <w:rFonts w:ascii="Perpetua" w:hAnsi="Perpetua"/>
          <w:b w:val="0"/>
          <w:color w:val="auto"/>
          <w:sz w:val="20"/>
        </w:rPr>
        <w:t>Photograph of s</w:t>
      </w:r>
      <w:r w:rsidRPr="002135A6">
        <w:rPr>
          <w:rFonts w:ascii="Perpetua" w:hAnsi="Perpetua"/>
          <w:b w:val="0"/>
          <w:color w:val="auto"/>
          <w:sz w:val="20"/>
        </w:rPr>
        <w:t xml:space="preserve">tudents from a Tunbridge Wells primary school holding up the </w:t>
      </w:r>
      <w:r w:rsidRPr="002135A6">
        <w:rPr>
          <w:rFonts w:ascii="Perpetua" w:hAnsi="Perpetua" w:cs="Arial"/>
          <w:b w:val="0"/>
          <w:color w:val="auto"/>
          <w:sz w:val="20"/>
        </w:rPr>
        <w:t>papier-mâché Easter eggs</w:t>
      </w:r>
      <w:r w:rsidR="003E091C">
        <w:rPr>
          <w:rFonts w:ascii="Perpetua" w:hAnsi="Perpetua" w:cs="Arial"/>
          <w:b w:val="0"/>
          <w:color w:val="auto"/>
          <w:sz w:val="20"/>
        </w:rPr>
        <w:t>.</w:t>
      </w:r>
      <w:bookmarkEnd w:id="611"/>
      <w:bookmarkEnd w:id="612"/>
    </w:p>
    <w:p w:rsidR="002135A6" w:rsidRPr="003E091C" w:rsidRDefault="003E091C" w:rsidP="003E091C">
      <w:pPr>
        <w:ind w:left="709"/>
        <w:rPr>
          <w:rFonts w:ascii="Perpetua" w:hAnsi="Perpetua"/>
          <w:sz w:val="20"/>
        </w:rPr>
      </w:pPr>
      <w:r w:rsidRPr="003E091C">
        <w:rPr>
          <w:rFonts w:ascii="Perpetua" w:hAnsi="Perpetua"/>
          <w:sz w:val="20"/>
        </w:rPr>
        <w:t xml:space="preserve">The image illustrates ‘Place beyond place' (Massey, 2007) performed through the child-consumer chocolate topos: </w:t>
      </w:r>
      <w:r w:rsidR="002135A6" w:rsidRPr="003E091C">
        <w:rPr>
          <w:rFonts w:ascii="Perpetua" w:hAnsi="Perpetua"/>
          <w:sz w:val="20"/>
        </w:rPr>
        <w:t>symbolizing faces of unknown children working on cocoa farms. Available at: http://tunbridgewellsfairtradegroup.weebly.com/events.html. (Accessed 24 March 2012).</w:t>
      </w:r>
      <w:bookmarkEnd w:id="613"/>
      <w:bookmarkEnd w:id="614"/>
      <w:bookmarkEnd w:id="615"/>
    </w:p>
    <w:p w:rsidR="00D657E4" w:rsidRDefault="00D657E4" w:rsidP="00472B3A">
      <w:pPr>
        <w:spacing w:line="360" w:lineRule="auto"/>
        <w:jc w:val="both"/>
        <w:rPr>
          <w:rFonts w:ascii="Perpetua" w:hAnsi="Perpetua" w:cs="Times New Roman"/>
          <w:sz w:val="24"/>
          <w:szCs w:val="24"/>
        </w:rPr>
      </w:pPr>
    </w:p>
    <w:p w:rsidR="002135A6" w:rsidRDefault="00472B3A" w:rsidP="002135A6">
      <w:pPr>
        <w:spacing w:after="0" w:line="360" w:lineRule="auto"/>
        <w:jc w:val="both"/>
        <w:rPr>
          <w:rFonts w:ascii="Garamond" w:hAnsi="Garamond" w:cs="Times New Roman"/>
          <w:sz w:val="24"/>
          <w:szCs w:val="24"/>
        </w:rPr>
      </w:pPr>
      <w:r>
        <w:rPr>
          <w:rFonts w:ascii="Garamond" w:hAnsi="Garamond" w:cs="Times New Roman"/>
          <w:sz w:val="24"/>
          <w:szCs w:val="24"/>
        </w:rPr>
        <w:t>The challenge of applying Massey’s conception of relational place to fair trade activism is to recognize how campaigns encourage new urban imaginations where the “outside of a place can be found within, but also part of the ‘inside’ of a place lies beyond” (Malpass et al., 2007: 638). Massey writes:</w:t>
      </w:r>
    </w:p>
    <w:p w:rsidR="00472B3A" w:rsidRDefault="00472B3A" w:rsidP="002135A6">
      <w:pPr>
        <w:spacing w:after="0" w:line="360" w:lineRule="auto"/>
        <w:jc w:val="both"/>
        <w:rPr>
          <w:rFonts w:ascii="Garamond" w:hAnsi="Garamond" w:cs="Times New Roman"/>
          <w:sz w:val="24"/>
          <w:szCs w:val="24"/>
        </w:rPr>
      </w:pPr>
    </w:p>
    <w:p w:rsidR="002135A6" w:rsidRDefault="00472B3A" w:rsidP="002135A6">
      <w:pPr>
        <w:spacing w:after="0" w:line="360" w:lineRule="auto"/>
        <w:ind w:left="284" w:right="284"/>
        <w:jc w:val="both"/>
        <w:rPr>
          <w:rStyle w:val="Emphasis"/>
        </w:rPr>
      </w:pPr>
      <w:r w:rsidRPr="007D56E4">
        <w:rPr>
          <w:rStyle w:val="Emphasis"/>
          <w:rFonts w:ascii="Garamond" w:hAnsi="Garamond"/>
          <w:i w:val="0"/>
          <w:color w:val="000000"/>
          <w:shd w:val="clear" w:color="auto" w:fill="FFFFFF"/>
        </w:rPr>
        <w:t xml:space="preserve">And this in turn allows </w:t>
      </w:r>
      <w:r>
        <w:rPr>
          <w:rStyle w:val="Emphasis"/>
          <w:rFonts w:ascii="Garamond" w:hAnsi="Garamond"/>
          <w:i w:val="0"/>
          <w:color w:val="000000"/>
          <w:shd w:val="clear" w:color="auto" w:fill="FFFFFF"/>
        </w:rPr>
        <w:t>a sense of place which is extra-</w:t>
      </w:r>
      <w:r w:rsidRPr="007D56E4">
        <w:rPr>
          <w:rStyle w:val="Emphasis"/>
          <w:rFonts w:ascii="Garamond" w:hAnsi="Garamond"/>
          <w:i w:val="0"/>
          <w:color w:val="000000"/>
          <w:shd w:val="clear" w:color="auto" w:fill="FFFFFF"/>
        </w:rPr>
        <w:t>verted, which includes a consciousness of its links with the wider world, which integrates in a positive way the global and the local.</w:t>
      </w:r>
      <w:r>
        <w:rPr>
          <w:rStyle w:val="Emphasis"/>
          <w:rFonts w:ascii="Garamond" w:hAnsi="Garamond"/>
          <w:i w:val="0"/>
          <w:color w:val="000000"/>
          <w:shd w:val="clear" w:color="auto" w:fill="FFFFFF"/>
        </w:rPr>
        <w:t xml:space="preserve"> (2005 [1993]: 64)</w:t>
      </w:r>
    </w:p>
    <w:p w:rsidR="00472B3A" w:rsidRPr="007D56E4" w:rsidRDefault="00472B3A" w:rsidP="002135A6">
      <w:pPr>
        <w:spacing w:after="0" w:line="360" w:lineRule="auto"/>
        <w:ind w:left="284" w:right="284"/>
        <w:jc w:val="both"/>
        <w:rPr>
          <w:rFonts w:ascii="Garamond" w:hAnsi="Garamond" w:cs="Times New Roman"/>
        </w:rPr>
      </w:pPr>
    </w:p>
    <w:p w:rsidR="002135A6" w:rsidRDefault="00472B3A" w:rsidP="002135A6">
      <w:pPr>
        <w:spacing w:after="0" w:line="360" w:lineRule="auto"/>
        <w:jc w:val="both"/>
        <w:rPr>
          <w:rFonts w:ascii="Garamond" w:hAnsi="Garamond" w:cs="Times New Roman"/>
          <w:sz w:val="24"/>
          <w:szCs w:val="24"/>
        </w:rPr>
      </w:pPr>
      <w:r>
        <w:rPr>
          <w:rFonts w:ascii="Garamond" w:hAnsi="Garamond" w:cs="Times New Roman"/>
          <w:sz w:val="24"/>
          <w:szCs w:val="24"/>
        </w:rPr>
        <w:t>For Darling (2010), Malpass et al.’s (2007) ‘fairtrade urbanism presents the most convincing application of ‘place beyond place’ in geographic scholarship. The prerogatives of ‘place beyond place’ are written into the conditions and marketing strategies of Fairtrade Towns. Local councils in Fairtrade Towns must pass resolutions supporting the FTF and enlist popular support and marketing for fair trade. FTF products must be available in local shops and be used by local businesses and services (Low and Davenport, 2007; Malpass et al., 2007). In other words, Fairtrade Towns are required to enlist the jurisdictional governance of local councils, a move that Malpass et al. argue marks the “</w:t>
      </w:r>
      <w:r w:rsidRPr="00494F63">
        <w:rPr>
          <w:rFonts w:ascii="Garamond" w:hAnsi="Garamond" w:cs="Times New Roman"/>
          <w:sz w:val="24"/>
          <w:szCs w:val="24"/>
        </w:rPr>
        <w:t>transformation of consumption practices prompted at an institutional level through the regulation of consumption through fixed systems of provisioning</w:t>
      </w:r>
      <w:r>
        <w:rPr>
          <w:rFonts w:ascii="Garamond" w:hAnsi="Garamond" w:cs="Times New Roman"/>
          <w:sz w:val="24"/>
          <w:szCs w:val="24"/>
        </w:rPr>
        <w:t>” (2007: 643)</w:t>
      </w:r>
      <w:r w:rsidRPr="00494F63">
        <w:rPr>
          <w:rFonts w:ascii="Garamond" w:hAnsi="Garamond" w:cs="Times New Roman"/>
          <w:sz w:val="24"/>
          <w:szCs w:val="24"/>
        </w:rPr>
        <w:t>.</w:t>
      </w:r>
      <w:r>
        <w:rPr>
          <w:rFonts w:ascii="Garamond" w:hAnsi="Garamond" w:cs="Times New Roman"/>
          <w:sz w:val="24"/>
          <w:szCs w:val="24"/>
        </w:rPr>
        <w:t xml:space="preserve"> Choice is withdrawn from the consumer as people are served with fair trade goods regardless of whether they know, or like, what they are consuming. This ‘fairtrade urbanism’ enables the institutionalization of fair trade provisioning. During the Outspan boycott of 1972-1974, the BOA also worked to shift consumption practices through jurisdictional governance in addition to persuading individual consumers. In order to move the decision making process of supplying Outspan up the chain of provisioning, the Dutch parliament and national trade union organizations were canvassed to stop serving apartheid citrus in workplace canteens. Stevedores in Rotterdam, The Hague and Antwerp were persuaded not to handle Outspan produce, and complete boycotts of the major Dutch supermarket retailers were threatened. The Dutch press and parliament were united in issuing statements condemning Outspan as ‘oranges of shame’, and alternative oranges were sourced from South America. So, what has changed? </w:t>
      </w:r>
    </w:p>
    <w:p w:rsidR="00472B3A" w:rsidRDefault="00472B3A" w:rsidP="002135A6">
      <w:pPr>
        <w:spacing w:after="0" w:line="360" w:lineRule="auto"/>
        <w:jc w:val="both"/>
        <w:rPr>
          <w:rFonts w:ascii="Garamond" w:hAnsi="Garamond" w:cs="Times New Roman"/>
          <w:sz w:val="24"/>
          <w:szCs w:val="24"/>
        </w:rPr>
      </w:pPr>
    </w:p>
    <w:p w:rsidR="002135A6" w:rsidRDefault="00472B3A" w:rsidP="002135A6">
      <w:pPr>
        <w:spacing w:after="0" w:line="360" w:lineRule="auto"/>
        <w:jc w:val="both"/>
        <w:rPr>
          <w:rFonts w:ascii="Garamond" w:hAnsi="Garamond" w:cs="Times New Roman"/>
          <w:sz w:val="24"/>
          <w:szCs w:val="24"/>
        </w:rPr>
      </w:pPr>
      <w:r>
        <w:rPr>
          <w:rFonts w:ascii="Garamond" w:hAnsi="Garamond" w:cs="Times New Roman"/>
          <w:sz w:val="24"/>
          <w:szCs w:val="24"/>
        </w:rPr>
        <w:lastRenderedPageBreak/>
        <w:t>To achieve similar results with non-fair trade chocolate, hard-hitting campaigns characteristic of the BOA have been replaced by the dispersal and delegation of aspects of boycotting and buycotting across various campaigning groups. Barnett et al. (2011) describe this process as the sharing of ethical responsibility among different stakeholders across systems of provisioning. In contradistinction to the BOA, the FTF do not advise how each Fairtrade Town campaign should persuade consumers to boycott non-fair trade products and buycott fair trade wares (whereas the BOA provided 50 town groups and 165 third world shops across Holland with boycotting blueprints and precise campaign materials). Methods of persuasion and mattering maps are constructed instead by local organizati</w:t>
      </w:r>
      <w:r w:rsidR="0091291A">
        <w:rPr>
          <w:rFonts w:ascii="Garamond" w:hAnsi="Garamond" w:cs="Times New Roman"/>
          <w:sz w:val="24"/>
          <w:szCs w:val="24"/>
        </w:rPr>
        <w:t xml:space="preserve">ons and other NGOs. This gap – </w:t>
      </w:r>
      <w:r>
        <w:rPr>
          <w:rFonts w:ascii="Garamond" w:hAnsi="Garamond" w:cs="Times New Roman"/>
          <w:sz w:val="24"/>
          <w:szCs w:val="24"/>
        </w:rPr>
        <w:t>between networks of fair trade provisioning and the politics of eth</w:t>
      </w:r>
      <w:r w:rsidR="0091291A">
        <w:rPr>
          <w:rFonts w:ascii="Garamond" w:hAnsi="Garamond" w:cs="Times New Roman"/>
          <w:sz w:val="24"/>
          <w:szCs w:val="24"/>
        </w:rPr>
        <w:t xml:space="preserve">ical persuasion and ‘caring’ – </w:t>
      </w:r>
      <w:r>
        <w:rPr>
          <w:rFonts w:ascii="Garamond" w:hAnsi="Garamond" w:cs="Times New Roman"/>
          <w:sz w:val="24"/>
          <w:szCs w:val="24"/>
        </w:rPr>
        <w:t>requires filling with imaginary geographies of consumption and production, with the stuff of grievances, affect and emotion. In the case of Tunbridge Wells, anti-trafficking and chocolate filled this gap as the steering committee took advice from STT.</w:t>
      </w:r>
      <w:r>
        <w:rPr>
          <w:rStyle w:val="FootnoteReference"/>
          <w:rFonts w:ascii="Garamond" w:hAnsi="Garamond"/>
          <w:sz w:val="24"/>
          <w:szCs w:val="24"/>
        </w:rPr>
        <w:footnoteReference w:id="134"/>
      </w:r>
      <w:r>
        <w:rPr>
          <w:rFonts w:ascii="Garamond" w:hAnsi="Garamond" w:cs="Times New Roman"/>
          <w:sz w:val="24"/>
          <w:szCs w:val="24"/>
        </w:rPr>
        <w:t xml:space="preserve"> Anti-trafficking and chocolate gave the Tunbridge Wells Fair Trade Town campaign a temporary cause, focus and mattering map.</w:t>
      </w:r>
    </w:p>
    <w:p w:rsidR="00472B3A" w:rsidRDefault="00472B3A" w:rsidP="002135A6">
      <w:pPr>
        <w:spacing w:after="0" w:line="360" w:lineRule="auto"/>
        <w:jc w:val="both"/>
        <w:rPr>
          <w:rFonts w:ascii="Garamond" w:hAnsi="Garamond" w:cs="Times New Roman"/>
          <w:sz w:val="24"/>
          <w:szCs w:val="24"/>
        </w:rPr>
      </w:pPr>
    </w:p>
    <w:p w:rsidR="002135A6" w:rsidRDefault="00472B3A" w:rsidP="002135A6">
      <w:pPr>
        <w:spacing w:after="0" w:line="360" w:lineRule="auto"/>
        <w:jc w:val="both"/>
        <w:rPr>
          <w:rFonts w:ascii="Garamond" w:hAnsi="Garamond" w:cs="Times New Roman"/>
          <w:sz w:val="24"/>
          <w:szCs w:val="24"/>
        </w:rPr>
      </w:pPr>
      <w:r>
        <w:rPr>
          <w:rFonts w:ascii="Garamond" w:hAnsi="Garamond" w:cs="Times New Roman"/>
          <w:sz w:val="24"/>
          <w:szCs w:val="24"/>
        </w:rPr>
        <w:t xml:space="preserve">For the TWFTG steering committee, STT thus fulfilled a similar role to that performed by the NGO </w:t>
      </w:r>
      <w:r>
        <w:rPr>
          <w:rFonts w:ascii="Garamond" w:hAnsi="Garamond" w:cs="Times New Roman"/>
          <w:i/>
          <w:sz w:val="24"/>
          <w:szCs w:val="24"/>
        </w:rPr>
        <w:t>Trai</w:t>
      </w:r>
      <w:r w:rsidRPr="00760445">
        <w:rPr>
          <w:rFonts w:ascii="Garamond" w:hAnsi="Garamond" w:cs="Times New Roman"/>
          <w:i/>
          <w:sz w:val="24"/>
          <w:szCs w:val="24"/>
        </w:rPr>
        <w:t>dcraft</w:t>
      </w:r>
      <w:r>
        <w:rPr>
          <w:rFonts w:ascii="Garamond" w:hAnsi="Garamond" w:cs="Times New Roman"/>
          <w:sz w:val="24"/>
          <w:szCs w:val="24"/>
        </w:rPr>
        <w:t xml:space="preserve"> in Bristol’s 2003 Fair Trade Town Campaign. In Barnett et al.’s account of ‘fairtrade urbanism’, </w:t>
      </w:r>
      <w:r>
        <w:rPr>
          <w:rFonts w:ascii="Garamond" w:hAnsi="Garamond" w:cs="Times New Roman"/>
          <w:i/>
          <w:sz w:val="24"/>
          <w:szCs w:val="24"/>
        </w:rPr>
        <w:t>Traidcraft</w:t>
      </w:r>
      <w:r>
        <w:rPr>
          <w:rFonts w:ascii="Garamond" w:hAnsi="Garamond" w:cs="Times New Roman"/>
          <w:sz w:val="24"/>
          <w:szCs w:val="24"/>
        </w:rPr>
        <w:t xml:space="preserve">  are positioned as an intermediary organization who enabled “local networks of global feeling” (2011: 153-180) in Bristol through encouraging individualistic activism (buying fair trade), contact activism (writing letters, petitions) and collective activism (demonstrations). In 2005 and 2006, members of the steering committee developed connections with schools in the area and co-ordinated two campaigns that centred on the production of individual and collective activisms by children:</w:t>
      </w:r>
    </w:p>
    <w:p w:rsidR="00472B3A" w:rsidRDefault="00472B3A" w:rsidP="002135A6">
      <w:pPr>
        <w:spacing w:after="0" w:line="360" w:lineRule="auto"/>
        <w:jc w:val="both"/>
        <w:rPr>
          <w:rFonts w:ascii="Garamond" w:hAnsi="Garamond" w:cs="Times New Roman"/>
          <w:sz w:val="24"/>
          <w:szCs w:val="24"/>
        </w:rPr>
      </w:pPr>
    </w:p>
    <w:p w:rsidR="00472B3A" w:rsidRPr="00980C14" w:rsidRDefault="00472B3A" w:rsidP="002135A6">
      <w:pPr>
        <w:spacing w:line="360" w:lineRule="auto"/>
        <w:ind w:left="284" w:right="284"/>
        <w:jc w:val="both"/>
        <w:rPr>
          <w:rFonts w:ascii="Garamond" w:hAnsi="Garamond" w:cs="Times New Roman"/>
          <w:szCs w:val="24"/>
        </w:rPr>
      </w:pPr>
      <w:r w:rsidRPr="00060AF1">
        <w:rPr>
          <w:rFonts w:ascii="Garamond" w:hAnsi="Garamond" w:cs="Times New Roman"/>
          <w:szCs w:val="24"/>
        </w:rPr>
        <w:t>MANDY: In 2005 we had a poetry, art and music competition for all the schools, and for the winners we would take them up to the houses of parliament. We took a coach-load of kids. We said we’d hand 1011 poems into 10 Downing Street.</w:t>
      </w:r>
    </w:p>
    <w:p w:rsidR="00472B3A" w:rsidRPr="00980C14" w:rsidRDefault="00472B3A" w:rsidP="002135A6">
      <w:pPr>
        <w:spacing w:line="360" w:lineRule="auto"/>
        <w:ind w:left="284" w:right="284"/>
        <w:rPr>
          <w:rFonts w:ascii="Garamond" w:hAnsi="Garamond" w:cs="Times New Roman"/>
          <w:szCs w:val="24"/>
        </w:rPr>
      </w:pPr>
      <w:r w:rsidRPr="00060AF1">
        <w:rPr>
          <w:rFonts w:ascii="Garamond" w:hAnsi="Garamond" w:cs="Times New Roman"/>
          <w:szCs w:val="24"/>
        </w:rPr>
        <w:t xml:space="preserve">JANE: It was a poetry competition for make poverty history. </w:t>
      </w:r>
    </w:p>
    <w:p w:rsidR="002135A6" w:rsidRDefault="00472B3A" w:rsidP="002135A6">
      <w:pPr>
        <w:spacing w:line="360" w:lineRule="auto"/>
        <w:ind w:left="284" w:right="284"/>
        <w:rPr>
          <w:rFonts w:ascii="Garamond" w:hAnsi="Garamond" w:cs="Times New Roman"/>
        </w:rPr>
      </w:pPr>
      <w:r>
        <w:rPr>
          <w:rFonts w:ascii="Garamond" w:hAnsi="Garamond" w:cs="Times New Roman"/>
        </w:rPr>
        <w:lastRenderedPageBreak/>
        <w:t>MANDY</w:t>
      </w:r>
      <w:r w:rsidRPr="00AE5D25">
        <w:rPr>
          <w:rFonts w:ascii="Garamond" w:hAnsi="Garamond" w:cs="Times New Roman"/>
        </w:rPr>
        <w:t>: Children have an innate sense of injustice. You can’t go in there and preach but you can give them information. If you don’t give them information they can’t work it out</w:t>
      </w:r>
      <w:r w:rsidR="002135A6">
        <w:rPr>
          <w:rFonts w:ascii="Garamond" w:hAnsi="Garamond" w:cs="Times New Roman"/>
        </w:rPr>
        <w:t>. (Interview, Mandy and Jane 2011)</w:t>
      </w:r>
    </w:p>
    <w:p w:rsidR="002135A6" w:rsidRDefault="002135A6" w:rsidP="002135A6">
      <w:pPr>
        <w:spacing w:after="0" w:line="360" w:lineRule="auto"/>
        <w:jc w:val="both"/>
        <w:rPr>
          <w:rFonts w:ascii="Garamond" w:hAnsi="Garamond" w:cs="Times New Roman"/>
          <w:sz w:val="24"/>
          <w:szCs w:val="24"/>
        </w:rPr>
      </w:pPr>
    </w:p>
    <w:p w:rsidR="00472B3A" w:rsidRDefault="00472B3A" w:rsidP="002135A6">
      <w:pPr>
        <w:spacing w:after="0" w:line="360" w:lineRule="auto"/>
        <w:jc w:val="both"/>
        <w:rPr>
          <w:rFonts w:ascii="Garamond" w:hAnsi="Garamond" w:cs="Times New Roman"/>
          <w:szCs w:val="24"/>
        </w:rPr>
      </w:pPr>
      <w:r>
        <w:rPr>
          <w:rFonts w:ascii="Garamond" w:hAnsi="Garamond" w:cs="Times New Roman"/>
          <w:sz w:val="24"/>
          <w:szCs w:val="24"/>
        </w:rPr>
        <w:t>The child-consumer chocolate topos in Tunbridge Wells was produced through synthesizing the local steering committee’s micro-politics of fair trade activism with STT’s organizational strategies of anti-trafficking. This bond was reinforced with a shared a-priori practical focus on ‘</w:t>
      </w:r>
      <w:r w:rsidRPr="00AE5D25">
        <w:rPr>
          <w:rFonts w:ascii="Garamond" w:hAnsi="Garamond" w:cs="Times New Roman"/>
          <w:sz w:val="24"/>
          <w:szCs w:val="24"/>
        </w:rPr>
        <w:t>children-as-activists</w:t>
      </w:r>
      <w:r>
        <w:rPr>
          <w:rFonts w:ascii="Garamond" w:hAnsi="Garamond" w:cs="Times New Roman"/>
          <w:sz w:val="24"/>
          <w:szCs w:val="24"/>
        </w:rPr>
        <w:t>’</w:t>
      </w:r>
      <w:r w:rsidRPr="00AE5D25">
        <w:rPr>
          <w:rFonts w:ascii="Garamond" w:hAnsi="Garamond" w:cs="Times New Roman"/>
          <w:sz w:val="24"/>
          <w:szCs w:val="24"/>
        </w:rPr>
        <w:t xml:space="preserve"> and </w:t>
      </w:r>
      <w:r>
        <w:rPr>
          <w:rFonts w:ascii="Garamond" w:hAnsi="Garamond" w:cs="Times New Roman"/>
          <w:sz w:val="24"/>
          <w:szCs w:val="24"/>
        </w:rPr>
        <w:t>‘</w:t>
      </w:r>
      <w:r w:rsidRPr="00AE5D25">
        <w:rPr>
          <w:rFonts w:ascii="Garamond" w:hAnsi="Garamond" w:cs="Times New Roman"/>
          <w:sz w:val="24"/>
          <w:szCs w:val="24"/>
        </w:rPr>
        <w:t>children-as-consumers</w:t>
      </w:r>
      <w:r>
        <w:rPr>
          <w:rFonts w:ascii="Garamond" w:hAnsi="Garamond" w:cs="Times New Roman"/>
          <w:sz w:val="24"/>
          <w:szCs w:val="24"/>
        </w:rPr>
        <w:t>’</w:t>
      </w:r>
      <w:r w:rsidRPr="00AE5D25">
        <w:rPr>
          <w:rFonts w:ascii="Garamond" w:hAnsi="Garamond" w:cs="Times New Roman"/>
          <w:sz w:val="24"/>
          <w:szCs w:val="24"/>
        </w:rPr>
        <w:t xml:space="preserve">. Children in Tunbridge Wells were seen as key to converting adults to fair trade: </w:t>
      </w:r>
      <w:r>
        <w:rPr>
          <w:rFonts w:ascii="Garamond" w:hAnsi="Garamond" w:cs="Times New Roman"/>
          <w:sz w:val="24"/>
          <w:szCs w:val="24"/>
        </w:rPr>
        <w:t>“</w:t>
      </w:r>
      <w:r w:rsidRPr="00AE5D25">
        <w:rPr>
          <w:rFonts w:ascii="Garamond" w:hAnsi="Garamond" w:cs="Times New Roman"/>
          <w:sz w:val="24"/>
          <w:szCs w:val="24"/>
        </w:rPr>
        <w:t>we started by targeting the churches, but then we started with the kids, because we realised that they would go home and tell their parents</w:t>
      </w:r>
      <w:r>
        <w:rPr>
          <w:rFonts w:ascii="Garamond" w:hAnsi="Garamond" w:cs="Times New Roman"/>
          <w:sz w:val="24"/>
          <w:szCs w:val="24"/>
        </w:rPr>
        <w:t>”</w:t>
      </w:r>
      <w:r w:rsidRPr="00AE5D25">
        <w:rPr>
          <w:rFonts w:ascii="Garamond" w:hAnsi="Garamond" w:cs="Times New Roman"/>
          <w:sz w:val="24"/>
          <w:szCs w:val="24"/>
        </w:rPr>
        <w:t xml:space="preserve"> (interview Jane, 2011). </w:t>
      </w:r>
      <w:r>
        <w:rPr>
          <w:rFonts w:ascii="Garamond" w:hAnsi="Garamond" w:cs="Times New Roman"/>
          <w:sz w:val="24"/>
          <w:szCs w:val="24"/>
        </w:rPr>
        <w:t>The Fairtrade Town campaign sought to engage the</w:t>
      </w:r>
      <w:r w:rsidRPr="00AE5D25">
        <w:rPr>
          <w:rFonts w:ascii="Garamond" w:hAnsi="Garamond" w:cs="Times New Roman"/>
          <w:sz w:val="24"/>
          <w:szCs w:val="24"/>
        </w:rPr>
        <w:t xml:space="preserve"> perceived</w:t>
      </w:r>
      <w:r>
        <w:rPr>
          <w:rFonts w:ascii="Garamond" w:hAnsi="Garamond" w:cs="Times New Roman"/>
          <w:sz w:val="24"/>
          <w:szCs w:val="24"/>
        </w:rPr>
        <w:t xml:space="preserve"> motivational attributes and moral </w:t>
      </w:r>
      <w:r w:rsidRPr="00AE5D25">
        <w:rPr>
          <w:rFonts w:ascii="Garamond" w:hAnsi="Garamond" w:cs="Times New Roman"/>
          <w:sz w:val="24"/>
          <w:szCs w:val="24"/>
        </w:rPr>
        <w:t>sense of injustice</w:t>
      </w:r>
      <w:r>
        <w:rPr>
          <w:rFonts w:ascii="Garamond" w:hAnsi="Garamond" w:cs="Times New Roman"/>
          <w:sz w:val="24"/>
          <w:szCs w:val="24"/>
        </w:rPr>
        <w:t xml:space="preserve"> embodied in childhood.</w:t>
      </w:r>
    </w:p>
    <w:p w:rsidR="00904423" w:rsidRDefault="00904423" w:rsidP="00304D0A">
      <w:pPr>
        <w:spacing w:after="0" w:line="360" w:lineRule="auto"/>
        <w:jc w:val="both"/>
        <w:rPr>
          <w:rFonts w:ascii="Garamond" w:hAnsi="Garamond" w:cs="Times New Roman"/>
          <w:szCs w:val="24"/>
        </w:rPr>
      </w:pPr>
    </w:p>
    <w:p w:rsidR="00304D0A" w:rsidRDefault="00304D0A" w:rsidP="00304D0A">
      <w:pPr>
        <w:spacing w:after="0" w:line="360" w:lineRule="auto"/>
        <w:jc w:val="both"/>
        <w:rPr>
          <w:rFonts w:ascii="Garamond" w:hAnsi="Garamond" w:cs="Times New Roman"/>
          <w:szCs w:val="24"/>
        </w:rPr>
      </w:pPr>
    </w:p>
    <w:p w:rsidR="00304D0A" w:rsidRDefault="00304D0A" w:rsidP="00682343">
      <w:pPr>
        <w:pStyle w:val="Heading2"/>
      </w:pPr>
      <w:bookmarkStart w:id="616" w:name="_Toc244508065"/>
      <w:bookmarkStart w:id="617" w:name="_Toc244535760"/>
      <w:bookmarkStart w:id="618" w:name="_Toc244578392"/>
      <w:bookmarkStart w:id="619" w:name="_Toc244578776"/>
      <w:bookmarkStart w:id="620" w:name="_Toc263452027"/>
      <w:bookmarkStart w:id="621" w:name="_Toc263510945"/>
      <w:r>
        <w:t>Conclusion</w:t>
      </w:r>
      <w:bookmarkEnd w:id="616"/>
      <w:bookmarkEnd w:id="617"/>
      <w:bookmarkEnd w:id="618"/>
      <w:bookmarkEnd w:id="619"/>
      <w:bookmarkEnd w:id="620"/>
      <w:bookmarkEnd w:id="621"/>
    </w:p>
    <w:p w:rsidR="00304D0A" w:rsidRPr="00472B3A" w:rsidRDefault="00304D0A" w:rsidP="00304D0A">
      <w:pPr>
        <w:spacing w:after="0" w:line="360" w:lineRule="auto"/>
        <w:jc w:val="both"/>
        <w:rPr>
          <w:rFonts w:ascii="Garamond" w:hAnsi="Garamond" w:cs="Times New Roman"/>
          <w:szCs w:val="24"/>
        </w:rPr>
      </w:pPr>
    </w:p>
    <w:p w:rsidR="00304D0A" w:rsidRDefault="00304D0A" w:rsidP="00304D0A">
      <w:pPr>
        <w:spacing w:after="0" w:line="360" w:lineRule="auto"/>
        <w:jc w:val="both"/>
        <w:rPr>
          <w:rFonts w:ascii="Garamond" w:hAnsi="Garamond" w:cs="Times New Roman"/>
          <w:sz w:val="24"/>
          <w:szCs w:val="24"/>
        </w:rPr>
      </w:pPr>
      <w:r>
        <w:rPr>
          <w:rFonts w:ascii="Garamond" w:hAnsi="Garamond"/>
          <w:sz w:val="24"/>
          <w:szCs w:val="24"/>
        </w:rPr>
        <w:t xml:space="preserve">In this chapter I have argued that </w:t>
      </w:r>
      <w:r w:rsidRPr="005D086E">
        <w:rPr>
          <w:rFonts w:ascii="Garamond" w:hAnsi="Garamond" w:cs="Times New Roman"/>
          <w:sz w:val="24"/>
          <w:szCs w:val="24"/>
        </w:rPr>
        <w:t>STT deploy two distinct child-chocolate topoi.</w:t>
      </w:r>
      <w:r>
        <w:rPr>
          <w:rFonts w:ascii="Garamond" w:hAnsi="Garamond" w:cs="Times New Roman"/>
          <w:sz w:val="24"/>
          <w:szCs w:val="24"/>
        </w:rPr>
        <w:t xml:space="preserve"> I showed that STT mobilize already established interactions between commonly held perceptions of chocolate, children and purity, and use them to give anti-trafficking urgency, legitimacy and relevance. I proposed that purity is materialized through chocolate in terms of innocence, instrumental quality, naturalness, indulgence and darkness. These socio-material bundles are the raw materials from which STT craft their two child topoi. STT are brilliant publicists and have made significant inroads in mainstreaming fai</w:t>
      </w:r>
      <w:r w:rsidR="00682343">
        <w:rPr>
          <w:rFonts w:ascii="Garamond" w:hAnsi="Garamond" w:cs="Times New Roman"/>
          <w:sz w:val="24"/>
          <w:szCs w:val="24"/>
        </w:rPr>
        <w:t>r trade chocolate through a two-</w:t>
      </w:r>
      <w:r>
        <w:rPr>
          <w:rFonts w:ascii="Garamond" w:hAnsi="Garamond" w:cs="Times New Roman"/>
          <w:sz w:val="24"/>
          <w:szCs w:val="24"/>
        </w:rPr>
        <w:t xml:space="preserve">pronged process of consumer engagement and stakeholder advocacy. This has been achieved through connecting consumers, trafficked victims, chocolate and industry stakeholders in ways that emote and create value. This activist bodywork centres around the deployment of two topoi. </w:t>
      </w:r>
    </w:p>
    <w:p w:rsidR="00304D0A" w:rsidRDefault="00304D0A" w:rsidP="00304D0A">
      <w:pPr>
        <w:spacing w:after="0" w:line="360" w:lineRule="auto"/>
        <w:jc w:val="both"/>
        <w:rPr>
          <w:rFonts w:ascii="Garamond" w:hAnsi="Garamond" w:cs="Times New Roman"/>
          <w:sz w:val="24"/>
          <w:szCs w:val="24"/>
        </w:rPr>
      </w:pPr>
    </w:p>
    <w:p w:rsidR="00304D0A" w:rsidRDefault="00304D0A" w:rsidP="00304D0A">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The first is a classic boycotting topos, a </w:t>
      </w:r>
      <w:r w:rsidRPr="005D086E">
        <w:rPr>
          <w:rFonts w:ascii="Garamond" w:hAnsi="Garamond" w:cs="Times New Roman"/>
          <w:i/>
          <w:sz w:val="24"/>
          <w:szCs w:val="24"/>
        </w:rPr>
        <w:t>child producer</w:t>
      </w:r>
      <w:r w:rsidRPr="005D086E">
        <w:rPr>
          <w:rFonts w:ascii="Garamond" w:hAnsi="Garamond" w:cs="Times New Roman"/>
          <w:sz w:val="24"/>
          <w:szCs w:val="24"/>
        </w:rPr>
        <w:t>-</w:t>
      </w:r>
      <w:r w:rsidRPr="005D086E">
        <w:rPr>
          <w:rFonts w:ascii="Garamond" w:hAnsi="Garamond" w:cs="Times New Roman"/>
          <w:i/>
          <w:sz w:val="24"/>
          <w:szCs w:val="24"/>
        </w:rPr>
        <w:t>chocolate</w:t>
      </w:r>
      <w:r w:rsidRPr="005D086E">
        <w:rPr>
          <w:rFonts w:ascii="Garamond" w:hAnsi="Garamond" w:cs="Times New Roman"/>
          <w:sz w:val="24"/>
          <w:szCs w:val="24"/>
        </w:rPr>
        <w:t xml:space="preserve"> relationship that reverses consumption of chocolate into the production of trafficking, and reproduces </w:t>
      </w:r>
      <w:r>
        <w:rPr>
          <w:rFonts w:ascii="Garamond" w:hAnsi="Garamond" w:cs="Times New Roman"/>
          <w:sz w:val="24"/>
          <w:szCs w:val="24"/>
        </w:rPr>
        <w:t>the trope of black anthropophagy</w:t>
      </w:r>
      <w:r w:rsidRPr="005D086E">
        <w:rPr>
          <w:rFonts w:ascii="Garamond" w:hAnsi="Garamond" w:cs="Times New Roman"/>
          <w:sz w:val="24"/>
          <w:szCs w:val="24"/>
        </w:rPr>
        <w:t xml:space="preserve"> in an attempt to unmake appetites for non-</w:t>
      </w:r>
      <w:r>
        <w:rPr>
          <w:rFonts w:ascii="Garamond" w:hAnsi="Garamond" w:cs="Times New Roman"/>
          <w:sz w:val="24"/>
          <w:szCs w:val="24"/>
        </w:rPr>
        <w:t>fair trade</w:t>
      </w:r>
      <w:r w:rsidRPr="005D086E">
        <w:rPr>
          <w:rFonts w:ascii="Garamond" w:hAnsi="Garamond" w:cs="Times New Roman"/>
          <w:sz w:val="24"/>
          <w:szCs w:val="24"/>
        </w:rPr>
        <w:t xml:space="preserve"> chocolate (Roe, 2006). Linking the flesh and mutilated bodies of trafficked children to chocolate, the topos shocks, appals and grabs attention. Here images and accounts of child abuse on chocolate farms dominate, and are linked to the visual and taste materiality of </w:t>
      </w:r>
      <w:r w:rsidRPr="005D086E">
        <w:rPr>
          <w:rFonts w:ascii="Garamond" w:hAnsi="Garamond" w:cs="Times New Roman"/>
          <w:sz w:val="24"/>
          <w:szCs w:val="24"/>
        </w:rPr>
        <w:lastRenderedPageBreak/>
        <w:t xml:space="preserve">chocolate. </w:t>
      </w:r>
      <w:r>
        <w:rPr>
          <w:rFonts w:ascii="Garamond" w:hAnsi="Garamond" w:cs="Times New Roman"/>
          <w:sz w:val="24"/>
          <w:szCs w:val="24"/>
        </w:rPr>
        <w:t xml:space="preserve">The topos manipulates producer subjectivities, produces pure topologies of victimhood, outlines heroism in hostile landscapes, uses race to distinguish between masculinity and childhood, and reproduces the trafficking meme. </w:t>
      </w:r>
      <w:r w:rsidRPr="005D086E">
        <w:rPr>
          <w:rFonts w:ascii="Garamond" w:hAnsi="Garamond" w:cs="Times New Roman"/>
          <w:sz w:val="24"/>
          <w:szCs w:val="24"/>
        </w:rPr>
        <w:t>If you look in</w:t>
      </w:r>
      <w:r>
        <w:rPr>
          <w:rFonts w:ascii="Garamond" w:hAnsi="Garamond" w:cs="Times New Roman"/>
          <w:sz w:val="24"/>
          <w:szCs w:val="24"/>
        </w:rPr>
        <w:t xml:space="preserve"> the right places, anthropophagy</w:t>
      </w:r>
      <w:r w:rsidRPr="005D086E">
        <w:rPr>
          <w:rFonts w:ascii="Garamond" w:hAnsi="Garamond" w:cs="Times New Roman"/>
          <w:sz w:val="24"/>
          <w:szCs w:val="24"/>
        </w:rPr>
        <w:t xml:space="preserve"> is surprisingly well developed given the level of dissociation STT activists expressed from it during interviews. But, in distinction to the B</w:t>
      </w:r>
      <w:r>
        <w:rPr>
          <w:rFonts w:ascii="Garamond" w:hAnsi="Garamond" w:cs="Times New Roman"/>
          <w:sz w:val="24"/>
          <w:szCs w:val="24"/>
        </w:rPr>
        <w:t>OA’s anti-apartheid blood-citrus</w:t>
      </w:r>
      <w:r w:rsidRPr="005D086E">
        <w:rPr>
          <w:rFonts w:ascii="Garamond" w:hAnsi="Garamond" w:cs="Times New Roman"/>
          <w:sz w:val="24"/>
          <w:szCs w:val="24"/>
        </w:rPr>
        <w:t xml:space="preserve"> topos</w:t>
      </w:r>
      <w:r>
        <w:rPr>
          <w:rFonts w:ascii="Garamond" w:hAnsi="Garamond" w:cs="Times New Roman"/>
          <w:sz w:val="24"/>
          <w:szCs w:val="24"/>
        </w:rPr>
        <w:t>,</w:t>
      </w:r>
      <w:r w:rsidRPr="005D086E">
        <w:rPr>
          <w:rFonts w:ascii="Garamond" w:hAnsi="Garamond" w:cs="Times New Roman"/>
          <w:sz w:val="24"/>
          <w:szCs w:val="24"/>
        </w:rPr>
        <w:t xml:space="preserve"> which thrust </w:t>
      </w:r>
      <w:r>
        <w:rPr>
          <w:rFonts w:ascii="Garamond" w:hAnsi="Garamond" w:cs="Times New Roman"/>
          <w:sz w:val="24"/>
          <w:szCs w:val="24"/>
        </w:rPr>
        <w:t>the threat of the</w:t>
      </w:r>
      <w:r w:rsidRPr="005D086E">
        <w:rPr>
          <w:rFonts w:ascii="Garamond" w:hAnsi="Garamond" w:cs="Times New Roman"/>
          <w:sz w:val="24"/>
          <w:szCs w:val="24"/>
        </w:rPr>
        <w:t xml:space="preserve"> contaminated self on to the Dutch public as a central method of political engagement, STT</w:t>
      </w:r>
      <w:r>
        <w:rPr>
          <w:rFonts w:ascii="Garamond" w:hAnsi="Garamond" w:cs="Times New Roman"/>
          <w:sz w:val="24"/>
          <w:szCs w:val="24"/>
        </w:rPr>
        <w:t>’</w:t>
      </w:r>
      <w:r w:rsidRPr="005D086E">
        <w:rPr>
          <w:rFonts w:ascii="Garamond" w:hAnsi="Garamond" w:cs="Times New Roman"/>
          <w:sz w:val="24"/>
          <w:szCs w:val="24"/>
        </w:rPr>
        <w:t>s anthropopha</w:t>
      </w:r>
      <w:r>
        <w:rPr>
          <w:rFonts w:ascii="Garamond" w:hAnsi="Garamond" w:cs="Times New Roman"/>
          <w:sz w:val="24"/>
          <w:szCs w:val="24"/>
        </w:rPr>
        <w:t>gic</w:t>
      </w:r>
      <w:r w:rsidRPr="005D086E">
        <w:rPr>
          <w:rFonts w:ascii="Garamond" w:hAnsi="Garamond" w:cs="Times New Roman"/>
          <w:sz w:val="24"/>
          <w:szCs w:val="24"/>
        </w:rPr>
        <w:t xml:space="preserve"> topos remains largely below the surface and is suspended in tension with a second child-chocolate topos. </w:t>
      </w:r>
    </w:p>
    <w:p w:rsidR="00304D0A" w:rsidRPr="00025785" w:rsidRDefault="00304D0A" w:rsidP="00304D0A">
      <w:pPr>
        <w:spacing w:after="0" w:line="360" w:lineRule="auto"/>
        <w:jc w:val="both"/>
        <w:rPr>
          <w:rFonts w:ascii="Garamond" w:hAnsi="Garamond" w:cs="Times New Roman"/>
          <w:sz w:val="24"/>
          <w:szCs w:val="24"/>
        </w:rPr>
      </w:pPr>
    </w:p>
    <w:p w:rsidR="00304D0A" w:rsidRDefault="00304D0A" w:rsidP="00304D0A">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The </w:t>
      </w:r>
      <w:r w:rsidRPr="005D086E">
        <w:rPr>
          <w:rFonts w:ascii="Garamond" w:hAnsi="Garamond" w:cs="Times New Roman"/>
          <w:i/>
          <w:sz w:val="24"/>
          <w:szCs w:val="24"/>
        </w:rPr>
        <w:t>childhood consumer</w:t>
      </w:r>
      <w:r w:rsidRPr="005D086E">
        <w:rPr>
          <w:rFonts w:ascii="Garamond" w:hAnsi="Garamond" w:cs="Times New Roman"/>
          <w:sz w:val="24"/>
          <w:szCs w:val="24"/>
        </w:rPr>
        <w:t>-</w:t>
      </w:r>
      <w:r w:rsidRPr="005D086E">
        <w:rPr>
          <w:rFonts w:ascii="Garamond" w:hAnsi="Garamond" w:cs="Times New Roman"/>
          <w:i/>
          <w:sz w:val="24"/>
          <w:szCs w:val="24"/>
        </w:rPr>
        <w:t>chocolate</w:t>
      </w:r>
      <w:r w:rsidRPr="005D086E">
        <w:rPr>
          <w:rFonts w:ascii="Garamond" w:hAnsi="Garamond" w:cs="Times New Roman"/>
          <w:sz w:val="24"/>
          <w:szCs w:val="24"/>
        </w:rPr>
        <w:t xml:space="preserve"> topos consists of a set of embodied relationships, routines, and grammars between child consumers and chocolate; it connects both children, and the idea of childhood to chocolate to present a series of alternative consumer hedonisms (Soper </w:t>
      </w:r>
      <w:r w:rsidR="00F152DB">
        <w:rPr>
          <w:rFonts w:ascii="Garamond" w:hAnsi="Garamond" w:cs="Times New Roman"/>
          <w:sz w:val="24"/>
          <w:szCs w:val="24"/>
        </w:rPr>
        <w:t>and</w:t>
      </w:r>
      <w:r w:rsidRPr="005D086E">
        <w:rPr>
          <w:rFonts w:ascii="Garamond" w:hAnsi="Garamond" w:cs="Times New Roman"/>
          <w:sz w:val="24"/>
          <w:szCs w:val="24"/>
        </w:rPr>
        <w:t xml:space="preserve"> Thomas 2007). </w:t>
      </w:r>
      <w:r>
        <w:rPr>
          <w:rFonts w:ascii="Garamond" w:hAnsi="Garamond" w:cs="Times New Roman"/>
          <w:sz w:val="24"/>
          <w:szCs w:val="24"/>
        </w:rPr>
        <w:t>The topos enables the entwining of pleasure and morality through consumption; t</w:t>
      </w:r>
      <w:r w:rsidRPr="005D086E">
        <w:rPr>
          <w:rFonts w:ascii="Garamond" w:hAnsi="Garamond" w:cs="Times New Roman"/>
          <w:sz w:val="24"/>
          <w:szCs w:val="24"/>
        </w:rPr>
        <w:t xml:space="preserve">hese hedonisms suggest that anti-consumption and anti-trafficking are individually and collectively fun, pleasurable and convivial. </w:t>
      </w:r>
      <w:r>
        <w:rPr>
          <w:rFonts w:ascii="Garamond" w:hAnsi="Garamond" w:cs="Times New Roman"/>
          <w:sz w:val="24"/>
          <w:szCs w:val="24"/>
        </w:rPr>
        <w:t xml:space="preserve">Buycotting fair trade chocolate allows STT to create platforms for consumers to perform and enact responsibility for child victims of trafficking, and chocolate activism gives their anti-trafficking brand value, </w:t>
      </w:r>
      <w:r w:rsidRPr="005D3BAD">
        <w:rPr>
          <w:rFonts w:ascii="Garamond" w:hAnsi="Garamond" w:cs="Arial"/>
          <w:bCs/>
          <w:iCs/>
          <w:sz w:val="24"/>
          <w:szCs w:val="24"/>
          <w:shd w:val="clear" w:color="auto" w:fill="FFFFFF"/>
        </w:rPr>
        <w:t>contemporaneity</w:t>
      </w:r>
      <w:r>
        <w:rPr>
          <w:rFonts w:ascii="Garamond" w:hAnsi="Garamond" w:cs="Arial"/>
          <w:bCs/>
          <w:iCs/>
          <w:sz w:val="24"/>
          <w:szCs w:val="24"/>
          <w:shd w:val="clear" w:color="auto" w:fill="FFFFFF"/>
        </w:rPr>
        <w:t xml:space="preserve"> and allure (Thrift, 2004)</w:t>
      </w:r>
      <w:r>
        <w:rPr>
          <w:rFonts w:ascii="Garamond" w:hAnsi="Garamond" w:cs="Times New Roman"/>
          <w:sz w:val="24"/>
          <w:szCs w:val="24"/>
        </w:rPr>
        <w:t>. The</w:t>
      </w:r>
      <w:r w:rsidRPr="00B43569">
        <w:rPr>
          <w:rFonts w:ascii="Garamond" w:hAnsi="Garamond" w:cs="Times New Roman"/>
          <w:sz w:val="24"/>
          <w:szCs w:val="24"/>
        </w:rPr>
        <w:t xml:space="preserve"> morals </w:t>
      </w:r>
      <w:r>
        <w:rPr>
          <w:rFonts w:ascii="Garamond" w:hAnsi="Garamond" w:cs="Times New Roman"/>
          <w:sz w:val="24"/>
          <w:szCs w:val="24"/>
        </w:rPr>
        <w:t xml:space="preserve">of anti-saccharites Clarkson and Wilberforce are revisited, polished, and modernized so that anti-trafficking becomes patriotic and heroic. From interviews with activists it is clear that this revisionism is not simply a branding technique but is engrained in the performance of passion; the perceived high standards and achievements of Wilberforce are the high standards by which the activists measure and assess their self-performance. Performing passion itself is a type of bodywork performed by STT activists. Being passionate requires the management of </w:t>
      </w:r>
      <w:r w:rsidRPr="003200E4">
        <w:rPr>
          <w:rFonts w:ascii="Garamond" w:hAnsi="Garamond" w:cs="Times New Roman"/>
          <w:sz w:val="24"/>
          <w:szCs w:val="24"/>
        </w:rPr>
        <w:t>feeling (</w:t>
      </w:r>
      <w:r w:rsidRPr="003200E4">
        <w:rPr>
          <w:rFonts w:ascii="Garamond" w:hAnsi="Garamond" w:cs="Times New Roman"/>
          <w:sz w:val="24"/>
          <w:szCs w:val="24"/>
          <w:lang w:val="en-US"/>
        </w:rPr>
        <w:t>Hoschchild, 1983),</w:t>
      </w:r>
      <w:r>
        <w:rPr>
          <w:rFonts w:ascii="Times New Roman" w:hAnsi="Times New Roman" w:cs="Times New Roman"/>
          <w:sz w:val="24"/>
          <w:szCs w:val="24"/>
          <w:lang w:val="en-US"/>
        </w:rPr>
        <w:t xml:space="preserve"> </w:t>
      </w:r>
      <w:r>
        <w:rPr>
          <w:rFonts w:ascii="Garamond" w:hAnsi="Garamond" w:cs="Times New Roman"/>
          <w:sz w:val="24"/>
          <w:szCs w:val="24"/>
        </w:rPr>
        <w:t xml:space="preserve">and at times requires 'deep' and 'surface' forms of </w:t>
      </w:r>
      <w:r w:rsidRPr="003200E4">
        <w:rPr>
          <w:rFonts w:ascii="Garamond" w:hAnsi="Garamond" w:cs="Times New Roman"/>
          <w:sz w:val="24"/>
          <w:szCs w:val="24"/>
        </w:rPr>
        <w:t xml:space="preserve">acting (Longhurst, 1997; </w:t>
      </w:r>
      <w:r w:rsidRPr="003200E4">
        <w:rPr>
          <w:rFonts w:ascii="Garamond" w:hAnsi="Garamond" w:cs="Times New Roman"/>
          <w:sz w:val="24"/>
          <w:szCs w:val="24"/>
          <w:lang w:val="en-US"/>
        </w:rPr>
        <w:t xml:space="preserve">Knights </w:t>
      </w:r>
      <w:r w:rsidR="00F152DB">
        <w:rPr>
          <w:rFonts w:ascii="Garamond" w:hAnsi="Garamond" w:cs="Times New Roman"/>
          <w:sz w:val="24"/>
          <w:szCs w:val="24"/>
          <w:lang w:val="en-US"/>
        </w:rPr>
        <w:t>and</w:t>
      </w:r>
      <w:r w:rsidRPr="003200E4">
        <w:rPr>
          <w:rFonts w:ascii="Garamond" w:hAnsi="Garamond" w:cs="Times New Roman"/>
          <w:sz w:val="24"/>
          <w:szCs w:val="24"/>
          <w:lang w:val="en-US"/>
        </w:rPr>
        <w:t xml:space="preserve"> Thanem, 2005)</w:t>
      </w:r>
      <w:r w:rsidRPr="003200E4">
        <w:rPr>
          <w:rFonts w:ascii="Garamond" w:hAnsi="Garamond" w:cs="Times New Roman"/>
          <w:sz w:val="24"/>
          <w:szCs w:val="24"/>
        </w:rPr>
        <w:t>.</w:t>
      </w:r>
    </w:p>
    <w:p w:rsidR="00304D0A" w:rsidRDefault="00304D0A" w:rsidP="00304D0A">
      <w:pPr>
        <w:spacing w:after="0" w:line="360" w:lineRule="auto"/>
        <w:jc w:val="both"/>
        <w:rPr>
          <w:rFonts w:ascii="Garamond" w:hAnsi="Garamond" w:cs="Times New Roman"/>
          <w:sz w:val="24"/>
          <w:szCs w:val="24"/>
        </w:rPr>
      </w:pPr>
    </w:p>
    <w:p w:rsidR="00304D0A" w:rsidRDefault="00304D0A" w:rsidP="00304D0A">
      <w:pPr>
        <w:spacing w:after="0" w:line="360" w:lineRule="auto"/>
        <w:jc w:val="both"/>
        <w:rPr>
          <w:rFonts w:ascii="Garamond" w:hAnsi="Garamond" w:cs="Times New Roman"/>
          <w:sz w:val="24"/>
          <w:szCs w:val="24"/>
        </w:rPr>
      </w:pPr>
      <w:r>
        <w:rPr>
          <w:rFonts w:ascii="Garamond" w:hAnsi="Garamond" w:cs="Times New Roman"/>
          <w:sz w:val="24"/>
          <w:szCs w:val="24"/>
        </w:rPr>
        <w:t xml:space="preserve">This chapter has shown how the child-consumer topos is deployed across social media and through coalescing with the Fairtrade Town movement. STT use celebrities to embody and personalize their activism, to create 'extimacies' with child activists (Thrift, 2004) and to differently situate meanings of legitimacy, accountability, and conviviality. STT's ability to siphon off bits and pieces of consumer routines and practices and add them incrementally to the larger collective of anti-trafficking is facilitated by their use of social networks and crowd sourcing. In 2007 the child-consumer chocolate topos </w:t>
      </w:r>
      <w:r>
        <w:rPr>
          <w:rFonts w:ascii="Garamond" w:hAnsi="Garamond" w:cs="Times New Roman"/>
          <w:sz w:val="24"/>
          <w:szCs w:val="24"/>
        </w:rPr>
        <w:lastRenderedPageBreak/>
        <w:t>materialized in Tunbridge Wells through TWFTG's use of STT's frameworks for chocolate activism in tandem with a public art project. The Fairtrade Town campaign developed a sense of Tunbridge Wells as an 'extra-verted' place that made conscious its connections with and dependence on the wider world (Massey, 2005).</w:t>
      </w:r>
    </w:p>
    <w:p w:rsidR="00304D0A" w:rsidRDefault="00304D0A" w:rsidP="00304D0A">
      <w:pPr>
        <w:spacing w:after="0" w:line="360" w:lineRule="auto"/>
        <w:jc w:val="both"/>
        <w:rPr>
          <w:rFonts w:ascii="Garamond" w:hAnsi="Garamond" w:cs="Times New Roman"/>
          <w:sz w:val="24"/>
          <w:szCs w:val="24"/>
        </w:rPr>
      </w:pPr>
    </w:p>
    <w:p w:rsidR="00304D0A" w:rsidRDefault="00304D0A" w:rsidP="00304D0A">
      <w:pPr>
        <w:spacing w:after="0" w:line="360" w:lineRule="auto"/>
        <w:jc w:val="both"/>
        <w:rPr>
          <w:rFonts w:ascii="Garamond" w:hAnsi="Garamond" w:cs="Times New Roman"/>
          <w:sz w:val="24"/>
          <w:szCs w:val="24"/>
        </w:rPr>
      </w:pPr>
      <w:r w:rsidRPr="005D086E">
        <w:rPr>
          <w:rFonts w:ascii="Garamond" w:hAnsi="Garamond" w:cs="Times New Roman"/>
          <w:sz w:val="24"/>
          <w:szCs w:val="24"/>
        </w:rPr>
        <w:t xml:space="preserve">Both topoi lend themselves to </w:t>
      </w:r>
      <w:r>
        <w:rPr>
          <w:rFonts w:ascii="Garamond" w:hAnsi="Garamond" w:cs="Times New Roman"/>
          <w:sz w:val="24"/>
          <w:szCs w:val="24"/>
        </w:rPr>
        <w:t xml:space="preserve">the </w:t>
      </w:r>
      <w:r w:rsidRPr="005D086E">
        <w:rPr>
          <w:rFonts w:ascii="Garamond" w:hAnsi="Garamond" w:cs="Times New Roman"/>
          <w:sz w:val="24"/>
          <w:szCs w:val="24"/>
        </w:rPr>
        <w:t>popular discourses on anti-trafficking, chocolate, purity and childhood that I analysed in the first section, and are easily siphoned into the chocolate binaries of guilt and pleasure, bitter and sweet, and light and dark. The child anthropophagi topos is preva</w:t>
      </w:r>
      <w:r>
        <w:rPr>
          <w:rFonts w:ascii="Garamond" w:hAnsi="Garamond" w:cs="Times New Roman"/>
          <w:sz w:val="24"/>
          <w:szCs w:val="24"/>
        </w:rPr>
        <w:t>lent in populariz</w:t>
      </w:r>
      <w:r w:rsidRPr="005D086E">
        <w:rPr>
          <w:rFonts w:ascii="Garamond" w:hAnsi="Garamond" w:cs="Times New Roman"/>
          <w:sz w:val="24"/>
          <w:szCs w:val="24"/>
        </w:rPr>
        <w:t>ed campaign material (</w:t>
      </w:r>
      <w:r>
        <w:rPr>
          <w:rFonts w:ascii="Garamond" w:hAnsi="Garamond" w:cs="Times New Roman"/>
          <w:sz w:val="24"/>
          <w:szCs w:val="24"/>
        </w:rPr>
        <w:t xml:space="preserve">in the STT handbook and across </w:t>
      </w:r>
      <w:r w:rsidRPr="005D086E">
        <w:rPr>
          <w:rFonts w:ascii="Garamond" w:hAnsi="Garamond" w:cs="Times New Roman"/>
          <w:sz w:val="24"/>
          <w:szCs w:val="24"/>
        </w:rPr>
        <w:t>pamphlets)</w:t>
      </w:r>
      <w:r>
        <w:rPr>
          <w:rFonts w:ascii="Garamond" w:hAnsi="Garamond" w:cs="Times New Roman"/>
          <w:sz w:val="24"/>
          <w:szCs w:val="24"/>
        </w:rPr>
        <w:t>.</w:t>
      </w:r>
      <w:r w:rsidRPr="005D086E">
        <w:rPr>
          <w:rFonts w:ascii="Garamond" w:hAnsi="Garamond" w:cs="Times New Roman"/>
          <w:sz w:val="24"/>
          <w:szCs w:val="24"/>
        </w:rPr>
        <w:t xml:space="preserve"> </w:t>
      </w:r>
      <w:r>
        <w:rPr>
          <w:rFonts w:ascii="Garamond" w:hAnsi="Garamond" w:cs="Times New Roman"/>
          <w:sz w:val="24"/>
          <w:szCs w:val="24"/>
        </w:rPr>
        <w:t>T</w:t>
      </w:r>
      <w:r w:rsidRPr="005D086E">
        <w:rPr>
          <w:rFonts w:ascii="Garamond" w:hAnsi="Garamond" w:cs="Times New Roman"/>
          <w:sz w:val="24"/>
          <w:szCs w:val="24"/>
        </w:rPr>
        <w:t xml:space="preserve">he convivial childhood topos is usually outlined in educational tools, and was much more apparent during interviews with STT activists. The topoi present alternative methods, situated knowledges, and strategies </w:t>
      </w:r>
      <w:r>
        <w:rPr>
          <w:rFonts w:ascii="Garamond" w:hAnsi="Garamond" w:cs="Times New Roman"/>
          <w:sz w:val="24"/>
          <w:szCs w:val="24"/>
        </w:rPr>
        <w:t>for</w:t>
      </w:r>
      <w:r w:rsidRPr="005D086E">
        <w:rPr>
          <w:rFonts w:ascii="Garamond" w:hAnsi="Garamond" w:cs="Times New Roman"/>
          <w:sz w:val="24"/>
          <w:szCs w:val="24"/>
        </w:rPr>
        <w:t xml:space="preserve"> STT</w:t>
      </w:r>
      <w:r>
        <w:rPr>
          <w:rFonts w:ascii="Garamond" w:hAnsi="Garamond" w:cs="Times New Roman"/>
          <w:sz w:val="24"/>
          <w:szCs w:val="24"/>
        </w:rPr>
        <w:t xml:space="preserve">. They </w:t>
      </w:r>
      <w:r w:rsidRPr="005D086E">
        <w:rPr>
          <w:rFonts w:ascii="Garamond" w:hAnsi="Garamond" w:cs="Times New Roman"/>
          <w:sz w:val="24"/>
          <w:szCs w:val="24"/>
        </w:rPr>
        <w:t>work as a dialectical force for reforming consumer habits and the chocolate industry, and for enlarging the scope and following of anti-trafficking. The convivial child-chocolate topos sublima</w:t>
      </w:r>
      <w:r>
        <w:rPr>
          <w:rFonts w:ascii="Garamond" w:hAnsi="Garamond" w:cs="Times New Roman"/>
          <w:sz w:val="24"/>
          <w:szCs w:val="24"/>
        </w:rPr>
        <w:t>tes the rawness of anthropophagy</w:t>
      </w:r>
      <w:r w:rsidRPr="005D086E">
        <w:rPr>
          <w:rFonts w:ascii="Garamond" w:hAnsi="Garamond" w:cs="Times New Roman"/>
          <w:sz w:val="24"/>
          <w:szCs w:val="24"/>
        </w:rPr>
        <w:t xml:space="preserve"> and sex trafficking, and is the default globalizing responsibility face of STT (as a primary connective device between governing organizations, activists, </w:t>
      </w:r>
      <w:r>
        <w:rPr>
          <w:rFonts w:ascii="Garamond" w:hAnsi="Garamond" w:cs="Times New Roman"/>
          <w:sz w:val="24"/>
          <w:szCs w:val="24"/>
        </w:rPr>
        <w:t>fair trade</w:t>
      </w:r>
      <w:r w:rsidRPr="005D086E">
        <w:rPr>
          <w:rFonts w:ascii="Garamond" w:hAnsi="Garamond" w:cs="Times New Roman"/>
          <w:sz w:val="24"/>
          <w:szCs w:val="24"/>
        </w:rPr>
        <w:t xml:space="preserve"> and child consumers)</w:t>
      </w:r>
      <w:r>
        <w:rPr>
          <w:rFonts w:ascii="Garamond" w:hAnsi="Garamond" w:cs="Times New Roman"/>
          <w:sz w:val="24"/>
          <w:szCs w:val="24"/>
        </w:rPr>
        <w:t>.</w:t>
      </w:r>
      <w:r w:rsidRPr="005D086E">
        <w:rPr>
          <w:rFonts w:ascii="Garamond" w:hAnsi="Garamond" w:cs="Times New Roman"/>
          <w:sz w:val="24"/>
          <w:szCs w:val="24"/>
        </w:rPr>
        <w:t xml:space="preserve"> </w:t>
      </w:r>
      <w:r>
        <w:rPr>
          <w:rFonts w:ascii="Garamond" w:hAnsi="Garamond" w:cs="Times New Roman"/>
          <w:sz w:val="24"/>
          <w:szCs w:val="24"/>
        </w:rPr>
        <w:t>B</w:t>
      </w:r>
      <w:r w:rsidRPr="005D086E">
        <w:rPr>
          <w:rFonts w:ascii="Garamond" w:hAnsi="Garamond" w:cs="Times New Roman"/>
          <w:sz w:val="24"/>
          <w:szCs w:val="24"/>
        </w:rPr>
        <w:t xml:space="preserve">ut the child anthropophagi topos is ever-present in the background. It has crude power to shock and disgust by taking the initiative as a concentrated reminder of the horrific embodied violence of cocoa trafficking, by mobilizing a moral </w:t>
      </w:r>
      <w:r w:rsidRPr="005D086E">
        <w:rPr>
          <w:rFonts w:ascii="Garamond" w:hAnsi="Garamond" w:cs="Times New Roman"/>
          <w:i/>
          <w:sz w:val="24"/>
          <w:szCs w:val="24"/>
        </w:rPr>
        <w:t>requirement</w:t>
      </w:r>
      <w:r w:rsidRPr="005D086E">
        <w:rPr>
          <w:rFonts w:ascii="Garamond" w:hAnsi="Garamond" w:cs="Times New Roman"/>
          <w:sz w:val="24"/>
          <w:szCs w:val="24"/>
        </w:rPr>
        <w:t xml:space="preserve"> to eat </w:t>
      </w:r>
      <w:r>
        <w:rPr>
          <w:rFonts w:ascii="Garamond" w:hAnsi="Garamond" w:cs="Times New Roman"/>
          <w:sz w:val="24"/>
          <w:szCs w:val="24"/>
        </w:rPr>
        <w:t>fair trade</w:t>
      </w:r>
      <w:r w:rsidRPr="005D086E">
        <w:rPr>
          <w:rFonts w:ascii="Garamond" w:hAnsi="Garamond" w:cs="Times New Roman"/>
          <w:sz w:val="24"/>
          <w:szCs w:val="24"/>
        </w:rPr>
        <w:t xml:space="preserve">, and by providing a potent deconstructive threat to ‘rude’ or ‘un-negotiable’ brands in the chocolate industry. </w:t>
      </w:r>
    </w:p>
    <w:p w:rsidR="00304D0A" w:rsidRDefault="00304D0A" w:rsidP="00304D0A">
      <w:pPr>
        <w:spacing w:after="0" w:line="360" w:lineRule="auto"/>
        <w:jc w:val="both"/>
        <w:rPr>
          <w:rFonts w:ascii="Garamond" w:hAnsi="Garamond" w:cs="Times New Roman"/>
          <w:sz w:val="24"/>
          <w:szCs w:val="24"/>
        </w:rPr>
      </w:pPr>
    </w:p>
    <w:p w:rsidR="00A05ED2" w:rsidRDefault="00304D0A" w:rsidP="00304D0A">
      <w:pPr>
        <w:spacing w:after="0" w:line="360" w:lineRule="auto"/>
        <w:jc w:val="both"/>
        <w:rPr>
          <w:rFonts w:ascii="Garamond" w:hAnsi="Garamond" w:cs="Times New Roman"/>
          <w:sz w:val="24"/>
          <w:szCs w:val="24"/>
        </w:rPr>
      </w:pPr>
      <w:r>
        <w:rPr>
          <w:rFonts w:ascii="Garamond" w:hAnsi="Garamond" w:cs="Times New Roman"/>
          <w:sz w:val="24"/>
          <w:szCs w:val="24"/>
        </w:rPr>
        <w:t>This chapter raises</w:t>
      </w:r>
      <w:r w:rsidRPr="00892C30">
        <w:rPr>
          <w:rFonts w:ascii="Garamond" w:hAnsi="Garamond" w:cs="Times New Roman"/>
          <w:sz w:val="24"/>
          <w:szCs w:val="24"/>
        </w:rPr>
        <w:t xml:space="preserve"> questions about </w:t>
      </w:r>
      <w:r>
        <w:rPr>
          <w:rFonts w:ascii="Garamond" w:hAnsi="Garamond" w:cs="Times New Roman"/>
          <w:sz w:val="24"/>
          <w:szCs w:val="24"/>
        </w:rPr>
        <w:t>the types</w:t>
      </w:r>
      <w:r w:rsidRPr="00892C30">
        <w:rPr>
          <w:rFonts w:ascii="Garamond" w:hAnsi="Garamond" w:cs="Times New Roman"/>
          <w:sz w:val="24"/>
          <w:szCs w:val="24"/>
        </w:rPr>
        <w:t xml:space="preserve"> of communication used by STT</w:t>
      </w:r>
      <w:r>
        <w:rPr>
          <w:rFonts w:ascii="Garamond" w:hAnsi="Garamond" w:cs="Times New Roman"/>
          <w:sz w:val="24"/>
          <w:szCs w:val="24"/>
        </w:rPr>
        <w:t>,</w:t>
      </w:r>
      <w:r w:rsidRPr="00892C30">
        <w:rPr>
          <w:rFonts w:ascii="Garamond" w:hAnsi="Garamond" w:cs="Times New Roman"/>
          <w:sz w:val="24"/>
          <w:szCs w:val="24"/>
        </w:rPr>
        <w:t xml:space="preserve"> and how they intervene within th</w:t>
      </w:r>
      <w:r>
        <w:rPr>
          <w:rFonts w:ascii="Garamond" w:hAnsi="Garamond" w:cs="Times New Roman"/>
          <w:sz w:val="24"/>
          <w:szCs w:val="24"/>
        </w:rPr>
        <w:t>e cultural and political economies</w:t>
      </w:r>
      <w:r w:rsidRPr="00892C30">
        <w:rPr>
          <w:rFonts w:ascii="Garamond" w:hAnsi="Garamond" w:cs="Times New Roman"/>
          <w:sz w:val="24"/>
          <w:szCs w:val="24"/>
        </w:rPr>
        <w:t xml:space="preserve"> of c</w:t>
      </w:r>
      <w:r>
        <w:rPr>
          <w:rFonts w:ascii="Garamond" w:hAnsi="Garamond" w:cs="Times New Roman"/>
          <w:sz w:val="24"/>
          <w:szCs w:val="24"/>
        </w:rPr>
        <w:t>ocoa. In Chapter Five I pursue these</w:t>
      </w:r>
      <w:r w:rsidRPr="00892C30">
        <w:rPr>
          <w:rFonts w:ascii="Garamond" w:hAnsi="Garamond" w:cs="Times New Roman"/>
          <w:sz w:val="24"/>
          <w:szCs w:val="24"/>
        </w:rPr>
        <w:t xml:space="preserve"> questions through the lens of racial</w:t>
      </w:r>
      <w:r>
        <w:rPr>
          <w:rFonts w:ascii="Garamond" w:hAnsi="Garamond" w:cs="Times New Roman"/>
          <w:sz w:val="24"/>
          <w:szCs w:val="24"/>
        </w:rPr>
        <w:t>ization. Expanding from this analysis of STT's</w:t>
      </w:r>
      <w:r w:rsidRPr="00892C30">
        <w:rPr>
          <w:rFonts w:ascii="Garamond" w:hAnsi="Garamond" w:cs="Times New Roman"/>
          <w:sz w:val="24"/>
          <w:szCs w:val="24"/>
        </w:rPr>
        <w:t xml:space="preserve"> </w:t>
      </w:r>
      <w:r>
        <w:rPr>
          <w:rFonts w:ascii="Garamond" w:hAnsi="Garamond" w:cs="Times New Roman"/>
          <w:sz w:val="24"/>
          <w:szCs w:val="24"/>
        </w:rPr>
        <w:t>bodywork</w:t>
      </w:r>
      <w:r w:rsidRPr="00892C30">
        <w:rPr>
          <w:rFonts w:ascii="Garamond" w:hAnsi="Garamond" w:cs="Times New Roman"/>
          <w:sz w:val="24"/>
          <w:szCs w:val="24"/>
        </w:rPr>
        <w:t>, I</w:t>
      </w:r>
      <w:r>
        <w:rPr>
          <w:rFonts w:ascii="Garamond" w:hAnsi="Garamond" w:cs="Times New Roman"/>
          <w:sz w:val="24"/>
          <w:szCs w:val="24"/>
        </w:rPr>
        <w:t xml:space="preserve"> critically</w:t>
      </w:r>
      <w:r w:rsidRPr="00892C30">
        <w:rPr>
          <w:rFonts w:ascii="Garamond" w:hAnsi="Garamond" w:cs="Times New Roman"/>
          <w:sz w:val="24"/>
          <w:szCs w:val="24"/>
        </w:rPr>
        <w:t xml:space="preserve"> </w:t>
      </w:r>
      <w:r>
        <w:rPr>
          <w:rFonts w:ascii="Garamond" w:hAnsi="Garamond" w:cs="Times New Roman"/>
          <w:sz w:val="24"/>
          <w:szCs w:val="24"/>
        </w:rPr>
        <w:t>investigate the racializations worked into and across the communicative devices of anti-trafficking and the pol</w:t>
      </w:r>
      <w:r w:rsidR="00A05ED2">
        <w:rPr>
          <w:rFonts w:ascii="Garamond" w:hAnsi="Garamond" w:cs="Times New Roman"/>
          <w:sz w:val="24"/>
          <w:szCs w:val="24"/>
        </w:rPr>
        <w:t>itical economies of chocolate.</w:t>
      </w:r>
    </w:p>
    <w:p w:rsidR="00904423" w:rsidRDefault="00904423" w:rsidP="00904423">
      <w:pPr>
        <w:pStyle w:val="Heading1"/>
        <w:spacing w:before="0" w:line="360" w:lineRule="auto"/>
        <w:rPr>
          <w:rFonts w:ascii="Garamond" w:hAnsi="Garamond"/>
          <w:color w:val="auto"/>
          <w:sz w:val="28"/>
        </w:rPr>
        <w:sectPr w:rsidR="00904423">
          <w:pgSz w:w="11900" w:h="16840"/>
          <w:pgMar w:top="1440" w:right="1800" w:bottom="1134" w:left="1800" w:header="708" w:footer="708" w:gutter="0"/>
          <w:cols w:space="708"/>
        </w:sectPr>
      </w:pPr>
    </w:p>
    <w:p w:rsidR="00A05ED2" w:rsidRPr="00293D4C" w:rsidRDefault="00A05ED2" w:rsidP="00904423">
      <w:pPr>
        <w:pStyle w:val="Heading1"/>
        <w:spacing w:before="0" w:line="360" w:lineRule="auto"/>
        <w:jc w:val="right"/>
        <w:rPr>
          <w:rFonts w:ascii="Garamond" w:hAnsi="Garamond"/>
          <w:color w:val="auto"/>
          <w:sz w:val="28"/>
        </w:rPr>
      </w:pPr>
      <w:bookmarkStart w:id="622" w:name="_Toc244535761"/>
      <w:bookmarkStart w:id="623" w:name="_Toc244578393"/>
      <w:bookmarkStart w:id="624" w:name="_Toc244578777"/>
      <w:bookmarkStart w:id="625" w:name="_Toc263452028"/>
      <w:bookmarkStart w:id="626" w:name="_Toc263510946"/>
      <w:r w:rsidRPr="00293D4C">
        <w:rPr>
          <w:rFonts w:ascii="Garamond" w:hAnsi="Garamond"/>
          <w:color w:val="auto"/>
          <w:sz w:val="28"/>
        </w:rPr>
        <w:lastRenderedPageBreak/>
        <w:t>Chapter Five</w:t>
      </w:r>
      <w:bookmarkEnd w:id="622"/>
      <w:bookmarkEnd w:id="623"/>
      <w:bookmarkEnd w:id="624"/>
      <w:bookmarkEnd w:id="625"/>
      <w:bookmarkEnd w:id="626"/>
    </w:p>
    <w:p w:rsidR="00A05ED2" w:rsidRPr="00293D4C" w:rsidRDefault="00A05ED2" w:rsidP="00293D4C">
      <w:pPr>
        <w:pStyle w:val="Heading1"/>
        <w:spacing w:before="0" w:line="360" w:lineRule="auto"/>
        <w:rPr>
          <w:rFonts w:ascii="Garamond" w:hAnsi="Garamond"/>
          <w:color w:val="auto"/>
          <w:sz w:val="28"/>
        </w:rPr>
      </w:pPr>
    </w:p>
    <w:p w:rsidR="00A05ED2" w:rsidRPr="00293D4C" w:rsidRDefault="00A05ED2" w:rsidP="00293D4C">
      <w:pPr>
        <w:pStyle w:val="Heading1"/>
        <w:spacing w:before="0" w:line="360" w:lineRule="auto"/>
        <w:rPr>
          <w:rFonts w:ascii="Garamond" w:hAnsi="Garamond"/>
          <w:color w:val="auto"/>
          <w:sz w:val="28"/>
        </w:rPr>
      </w:pPr>
    </w:p>
    <w:p w:rsidR="00A05ED2" w:rsidRPr="00293D4C" w:rsidRDefault="00A05ED2" w:rsidP="00293D4C">
      <w:pPr>
        <w:pStyle w:val="Heading1"/>
        <w:spacing w:before="0" w:line="360" w:lineRule="auto"/>
        <w:rPr>
          <w:rFonts w:ascii="Garamond" w:hAnsi="Garamond"/>
          <w:color w:val="auto"/>
          <w:sz w:val="28"/>
        </w:rPr>
      </w:pPr>
      <w:bookmarkStart w:id="627" w:name="_Toc244535762"/>
      <w:bookmarkStart w:id="628" w:name="_Toc244578394"/>
      <w:bookmarkStart w:id="629" w:name="_Toc244578778"/>
      <w:bookmarkStart w:id="630" w:name="_Toc263452029"/>
      <w:bookmarkStart w:id="631" w:name="_Toc263510947"/>
      <w:r w:rsidRPr="00293D4C">
        <w:rPr>
          <w:rFonts w:ascii="Garamond" w:hAnsi="Garamond"/>
          <w:color w:val="auto"/>
          <w:sz w:val="28"/>
        </w:rPr>
        <w:t>The production of race in the bodywork and campaigns of Stop The Traffik (2006-Present)</w:t>
      </w:r>
      <w:bookmarkEnd w:id="627"/>
      <w:bookmarkEnd w:id="628"/>
      <w:bookmarkEnd w:id="629"/>
      <w:bookmarkEnd w:id="630"/>
      <w:bookmarkEnd w:id="631"/>
    </w:p>
    <w:p w:rsidR="00A05ED2" w:rsidRPr="00473B8C" w:rsidRDefault="00A05ED2" w:rsidP="00293D4C">
      <w:pPr>
        <w:spacing w:after="0" w:line="360" w:lineRule="auto"/>
        <w:rPr>
          <w:rFonts w:ascii="Garamond" w:hAnsi="Garamond"/>
          <w:b/>
          <w:sz w:val="24"/>
          <w:szCs w:val="24"/>
        </w:rPr>
      </w:pPr>
    </w:p>
    <w:p w:rsidR="00A05ED2" w:rsidRDefault="00A05ED2" w:rsidP="00293D4C">
      <w:pPr>
        <w:pStyle w:val="Heading2"/>
        <w:rPr>
          <w:rFonts w:cs="Times New Roman"/>
        </w:rPr>
      </w:pPr>
      <w:bookmarkStart w:id="632" w:name="_Toc244535763"/>
      <w:bookmarkStart w:id="633" w:name="_Toc244578395"/>
      <w:bookmarkStart w:id="634" w:name="_Toc244578779"/>
      <w:bookmarkStart w:id="635" w:name="_Toc263452030"/>
      <w:bookmarkStart w:id="636" w:name="_Toc263510948"/>
      <w:r w:rsidRPr="00473B8C">
        <w:t>Introduction</w:t>
      </w:r>
      <w:bookmarkEnd w:id="632"/>
      <w:bookmarkEnd w:id="633"/>
      <w:bookmarkEnd w:id="634"/>
      <w:bookmarkEnd w:id="635"/>
      <w:bookmarkEnd w:id="636"/>
    </w:p>
    <w:p w:rsidR="00A05ED2" w:rsidRPr="001C14C1" w:rsidRDefault="00A05ED2" w:rsidP="00A05ED2">
      <w:pPr>
        <w:spacing w:after="0" w:line="360" w:lineRule="auto"/>
        <w:jc w:val="both"/>
        <w:rPr>
          <w:rFonts w:ascii="Garamond" w:hAnsi="Garamond"/>
          <w:b/>
          <w:sz w:val="24"/>
          <w:szCs w:val="24"/>
        </w:rPr>
      </w:pPr>
    </w:p>
    <w:p w:rsidR="00A05ED2" w:rsidRPr="00473B8C" w:rsidRDefault="00A05ED2" w:rsidP="00A05ED2">
      <w:pPr>
        <w:spacing w:line="360" w:lineRule="auto"/>
        <w:ind w:left="284" w:right="284"/>
        <w:jc w:val="both"/>
        <w:rPr>
          <w:rFonts w:ascii="Garamond" w:hAnsi="Garamond" w:cs="Times New Roman"/>
        </w:rPr>
      </w:pPr>
      <w:r>
        <w:rPr>
          <w:rFonts w:ascii="Garamond" w:hAnsi="Garamond" w:cs="Times New Roman"/>
        </w:rPr>
        <w:t>HUGH</w:t>
      </w:r>
      <w:r w:rsidRPr="00473B8C">
        <w:rPr>
          <w:rFonts w:ascii="Garamond" w:hAnsi="Garamond" w:cs="Times New Roman"/>
        </w:rPr>
        <w:t>: How much of a part does race play in trafficking?</w:t>
      </w:r>
    </w:p>
    <w:p w:rsidR="00A05ED2" w:rsidRPr="00473B8C" w:rsidRDefault="00A05ED2" w:rsidP="00A05ED2">
      <w:pPr>
        <w:spacing w:line="360" w:lineRule="auto"/>
        <w:ind w:left="284" w:right="284"/>
        <w:jc w:val="both"/>
        <w:rPr>
          <w:rFonts w:ascii="Garamond" w:hAnsi="Garamond" w:cs="Times New Roman"/>
        </w:rPr>
      </w:pPr>
      <w:r>
        <w:rPr>
          <w:rFonts w:ascii="Garamond" w:hAnsi="Garamond" w:cs="Times New Roman"/>
        </w:rPr>
        <w:t>ANTONIE</w:t>
      </w:r>
      <w:r w:rsidRPr="00473B8C">
        <w:rPr>
          <w:rFonts w:ascii="Garamond" w:hAnsi="Garamond" w:cs="Times New Roman"/>
        </w:rPr>
        <w:t xml:space="preserve">: I would say it’s not a racist issue. </w:t>
      </w:r>
    </w:p>
    <w:p w:rsidR="00A05ED2" w:rsidRPr="00473B8C" w:rsidRDefault="00A05ED2" w:rsidP="00A05ED2">
      <w:pPr>
        <w:tabs>
          <w:tab w:val="center" w:pos="4513"/>
        </w:tabs>
        <w:spacing w:line="360" w:lineRule="auto"/>
        <w:ind w:left="284" w:right="284"/>
        <w:rPr>
          <w:rFonts w:ascii="Garamond" w:hAnsi="Garamond" w:cs="Times New Roman"/>
        </w:rPr>
      </w:pPr>
      <w:r>
        <w:rPr>
          <w:rFonts w:ascii="Garamond" w:hAnsi="Garamond" w:cs="Times New Roman"/>
        </w:rPr>
        <w:t>HUGH</w:t>
      </w:r>
      <w:r w:rsidRPr="00473B8C">
        <w:rPr>
          <w:rFonts w:ascii="Garamond" w:hAnsi="Garamond" w:cs="Times New Roman"/>
        </w:rPr>
        <w:t>: But alongside trafficking we have border anxietie</w:t>
      </w:r>
      <w:r>
        <w:rPr>
          <w:rFonts w:ascii="Garamond" w:hAnsi="Garamond" w:cs="Times New Roman"/>
        </w:rPr>
        <w:t>s that seem to be fuelling anti-</w:t>
      </w:r>
      <w:r w:rsidRPr="00473B8C">
        <w:rPr>
          <w:rFonts w:ascii="Garamond" w:hAnsi="Garamond" w:cs="Times New Roman"/>
        </w:rPr>
        <w:t>trafficking debates?</w:t>
      </w:r>
    </w:p>
    <w:p w:rsidR="00A05ED2" w:rsidRDefault="00A05ED2" w:rsidP="00A05ED2">
      <w:pPr>
        <w:spacing w:line="360" w:lineRule="auto"/>
        <w:ind w:left="284" w:right="284"/>
        <w:jc w:val="both"/>
        <w:rPr>
          <w:rFonts w:ascii="Garamond" w:hAnsi="Garamond" w:cs="Times New Roman"/>
        </w:rPr>
      </w:pPr>
      <w:r>
        <w:rPr>
          <w:rFonts w:ascii="Garamond" w:hAnsi="Garamond" w:cs="Times New Roman"/>
        </w:rPr>
        <w:t>ANTONIE: The anti</w:t>
      </w:r>
      <w:r w:rsidRPr="00473B8C">
        <w:rPr>
          <w:rFonts w:ascii="Garamond" w:hAnsi="Garamond" w:cs="Times New Roman"/>
        </w:rPr>
        <w:t>slavery movement in Europe has sometimes become xenophobic, and immigration based. That’s a shocking shame. We should be talking about the rights of victims, not whether or not we are creating a pull factor if you just start treating trafficking victims as victims instead of illegal migrants. That’s one of the arguments that comes to us, you know, if you’re too lenient to victims of trafficking then, you know, other people are going to try to get trafficked here. And I’m like what the hell are you on about. But that is a dialogue, and that is a discussion which is being raised on a regular basis, much to my chagrin, because yeah, I think we should be talking about the human rights aspect, and the duties as a society to fulfil some basic needs here.</w:t>
      </w:r>
    </w:p>
    <w:p w:rsidR="00A05ED2" w:rsidRDefault="00A05ED2" w:rsidP="00A05ED2">
      <w:pPr>
        <w:spacing w:line="360" w:lineRule="auto"/>
        <w:ind w:left="284" w:right="284"/>
        <w:jc w:val="both"/>
        <w:rPr>
          <w:rFonts w:ascii="Garamond" w:hAnsi="Garamond" w:cs="Times New Roman"/>
        </w:rPr>
      </w:pPr>
      <w:r>
        <w:rPr>
          <w:rFonts w:ascii="Garamond" w:hAnsi="Garamond" w:cs="Times New Roman"/>
        </w:rPr>
        <w:t>(Interview Fountain 2011)</w:t>
      </w:r>
    </w:p>
    <w:p w:rsidR="00A05ED2" w:rsidRDefault="00A05ED2" w:rsidP="00A05ED2">
      <w:pPr>
        <w:spacing w:after="0" w:line="360" w:lineRule="auto"/>
        <w:jc w:val="both"/>
        <w:rPr>
          <w:rFonts w:ascii="Garamond" w:hAnsi="Garamond" w:cs="Times New Roman"/>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A racial analy</w:t>
      </w:r>
      <w:r w:rsidRPr="00473B8C">
        <w:rPr>
          <w:rFonts w:ascii="Garamond" w:hAnsi="Garamond" w:cs="Times New Roman"/>
          <w:sz w:val="24"/>
          <w:szCs w:val="24"/>
        </w:rPr>
        <w:t>sis of STT’s anti-trafficking work across the chocolate industry is overdue. As a global coalition against trafficking, a grassroots consum</w:t>
      </w:r>
      <w:r>
        <w:rPr>
          <w:rFonts w:ascii="Garamond" w:hAnsi="Garamond" w:cs="Times New Roman"/>
          <w:sz w:val="24"/>
          <w:szCs w:val="24"/>
        </w:rPr>
        <w:t>er movement, and an industrial-</w:t>
      </w:r>
      <w:r w:rsidRPr="00473B8C">
        <w:rPr>
          <w:rFonts w:ascii="Garamond" w:hAnsi="Garamond" w:cs="Times New Roman"/>
          <w:sz w:val="24"/>
          <w:szCs w:val="24"/>
        </w:rPr>
        <w:t>political l</w:t>
      </w:r>
      <w:r>
        <w:rPr>
          <w:rFonts w:ascii="Garamond" w:hAnsi="Garamond" w:cs="Times New Roman"/>
          <w:sz w:val="24"/>
          <w:szCs w:val="24"/>
        </w:rPr>
        <w:t>obbying organization (Dearnley and</w:t>
      </w:r>
      <w:r w:rsidRPr="00473B8C">
        <w:rPr>
          <w:rFonts w:ascii="Garamond" w:hAnsi="Garamond" w:cs="Times New Roman"/>
          <w:sz w:val="24"/>
          <w:szCs w:val="24"/>
        </w:rPr>
        <w:t xml:space="preserve"> Fountain interview, 2011), STT hold an influential position in the ‘thirdspace’ between governments and the market (Rose, 1999).</w:t>
      </w:r>
      <w:r>
        <w:rPr>
          <w:rFonts w:ascii="Garamond" w:hAnsi="Garamond" w:cs="Times New Roman"/>
          <w:sz w:val="24"/>
          <w:szCs w:val="24"/>
        </w:rPr>
        <w:t xml:space="preserve"> </w:t>
      </w:r>
      <w:r w:rsidRPr="00473B8C">
        <w:rPr>
          <w:rFonts w:ascii="Garamond" w:hAnsi="Garamond" w:cs="Times New Roman"/>
          <w:sz w:val="24"/>
          <w:szCs w:val="24"/>
        </w:rPr>
        <w:t>Steve Chalke, STT</w:t>
      </w:r>
      <w:r>
        <w:rPr>
          <w:rFonts w:ascii="Garamond" w:hAnsi="Garamond" w:cs="Times New Roman"/>
          <w:sz w:val="24"/>
          <w:szCs w:val="24"/>
        </w:rPr>
        <w:t xml:space="preserve">’s founder, is chair of the </w:t>
      </w:r>
      <w:r w:rsidRPr="0003198D">
        <w:rPr>
          <w:rFonts w:ascii="Garamond" w:hAnsi="Garamond" w:cs="Times New Roman"/>
          <w:i/>
          <w:sz w:val="24"/>
          <w:szCs w:val="24"/>
        </w:rPr>
        <w:t>UN Commission For Anti-Trafficking</w:t>
      </w:r>
      <w:r w:rsidRPr="00473B8C">
        <w:rPr>
          <w:rFonts w:ascii="Garamond" w:hAnsi="Garamond" w:cs="Times New Roman"/>
          <w:sz w:val="24"/>
          <w:szCs w:val="24"/>
        </w:rPr>
        <w:t>. Their role is split between advocacy, policy and surveillance work on anti-trafficking, and educating a range of publics as a</w:t>
      </w:r>
      <w:r>
        <w:rPr>
          <w:rFonts w:ascii="Garamond" w:hAnsi="Garamond" w:cs="Times New Roman"/>
          <w:sz w:val="24"/>
          <w:szCs w:val="24"/>
        </w:rPr>
        <w:t xml:space="preserve"> producer of what Giroux (2004)</w:t>
      </w:r>
      <w:r w:rsidRPr="00473B8C">
        <w:rPr>
          <w:rFonts w:ascii="Garamond" w:hAnsi="Garamond" w:cs="Times New Roman"/>
          <w:sz w:val="24"/>
          <w:szCs w:val="24"/>
        </w:rPr>
        <w:t xml:space="preserve"> has widely termed ‘public pedagogy’. In short, STT currently hold what academics might describe as a ‘high impact factor’ in the production of</w:t>
      </w:r>
      <w:r>
        <w:rPr>
          <w:rFonts w:ascii="Garamond" w:hAnsi="Garamond" w:cs="Times New Roman"/>
          <w:sz w:val="24"/>
          <w:szCs w:val="24"/>
        </w:rPr>
        <w:t xml:space="preserve"> knowledge on trafficking. But, </w:t>
      </w:r>
      <w:r w:rsidRPr="00473B8C">
        <w:rPr>
          <w:rFonts w:ascii="Garamond" w:hAnsi="Garamond" w:cs="Times New Roman"/>
          <w:sz w:val="24"/>
          <w:szCs w:val="24"/>
        </w:rPr>
        <w:t xml:space="preserve">returning to the opening statement, why is a racial analysis of their work overdue? As the </w:t>
      </w:r>
      <w:r w:rsidRPr="00473B8C">
        <w:rPr>
          <w:rFonts w:ascii="Garamond" w:hAnsi="Garamond" w:cs="Times New Roman"/>
          <w:sz w:val="24"/>
          <w:szCs w:val="24"/>
        </w:rPr>
        <w:lastRenderedPageBreak/>
        <w:t>director of STT’s chocolate campaigns pointedly remarks above, STT do</w:t>
      </w:r>
      <w:r>
        <w:rPr>
          <w:rFonts w:ascii="Garamond" w:hAnsi="Garamond" w:cs="Times New Roman"/>
          <w:sz w:val="24"/>
          <w:szCs w:val="24"/>
        </w:rPr>
        <w:t xml:space="preserve"> </w:t>
      </w:r>
      <w:r w:rsidRPr="00473B8C">
        <w:rPr>
          <w:rFonts w:ascii="Garamond" w:hAnsi="Garamond" w:cs="Times New Roman"/>
          <w:sz w:val="24"/>
          <w:szCs w:val="24"/>
        </w:rPr>
        <w:t>n</w:t>
      </w:r>
      <w:r>
        <w:rPr>
          <w:rFonts w:ascii="Garamond" w:hAnsi="Garamond" w:cs="Times New Roman"/>
          <w:sz w:val="24"/>
          <w:szCs w:val="24"/>
        </w:rPr>
        <w:t>o</w:t>
      </w:r>
      <w:r w:rsidRPr="00473B8C">
        <w:rPr>
          <w:rFonts w:ascii="Garamond" w:hAnsi="Garamond" w:cs="Times New Roman"/>
          <w:sz w:val="24"/>
          <w:szCs w:val="24"/>
        </w:rPr>
        <w:t xml:space="preserve">t view their work as being explicitly about race or racisms. Nobody who I interviewed from STT so much as mentioned race, racism or </w:t>
      </w:r>
      <w:r>
        <w:rPr>
          <w:rFonts w:ascii="Garamond" w:hAnsi="Garamond" w:cs="Times New Roman"/>
          <w:sz w:val="24"/>
          <w:szCs w:val="24"/>
        </w:rPr>
        <w:t>antiracism. So why should I?</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short answer is because race is a largely absent presence (Nayak, 2006) that cuts a swathe across anti-trafficking discourse and policy, the chocolate industry, and STT’s global anti-trafficking campaigns. If we narrow the focus to chocolate activism, STT’s campaigns deal fundamentally with </w:t>
      </w:r>
      <w:r w:rsidRPr="00473B8C">
        <w:rPr>
          <w:rFonts w:ascii="Garamond" w:hAnsi="Garamond" w:cs="Times New Roman"/>
          <w:i/>
          <w:sz w:val="24"/>
          <w:szCs w:val="24"/>
        </w:rPr>
        <w:t>perceiving</w:t>
      </w:r>
      <w:r w:rsidRPr="00473B8C">
        <w:rPr>
          <w:rFonts w:ascii="Garamond" w:hAnsi="Garamond" w:cs="Times New Roman"/>
          <w:sz w:val="24"/>
          <w:szCs w:val="24"/>
        </w:rPr>
        <w:t xml:space="preserve"> visual and cultural difference between bodies and situating their relative positions of su</w:t>
      </w:r>
      <w:r>
        <w:rPr>
          <w:rFonts w:ascii="Garamond" w:hAnsi="Garamond" w:cs="Times New Roman"/>
          <w:sz w:val="24"/>
          <w:szCs w:val="24"/>
        </w:rPr>
        <w:t xml:space="preserve">ffering and contentedness. As Chapter Four explains, </w:t>
      </w:r>
      <w:r w:rsidRPr="00473B8C">
        <w:rPr>
          <w:rFonts w:ascii="Garamond" w:hAnsi="Garamond" w:cs="Times New Roman"/>
          <w:sz w:val="24"/>
          <w:szCs w:val="24"/>
        </w:rPr>
        <w:t>campaigns</w:t>
      </w:r>
      <w:r>
        <w:rPr>
          <w:rFonts w:ascii="Garamond" w:hAnsi="Garamond" w:cs="Times New Roman"/>
          <w:sz w:val="24"/>
          <w:szCs w:val="24"/>
        </w:rPr>
        <w:t xml:space="preserve"> based on the child-producer topos</w:t>
      </w:r>
      <w:r w:rsidRPr="00473B8C">
        <w:rPr>
          <w:rFonts w:ascii="Garamond" w:hAnsi="Garamond" w:cs="Times New Roman"/>
          <w:sz w:val="24"/>
          <w:szCs w:val="24"/>
        </w:rPr>
        <w:t xml:space="preserve"> </w:t>
      </w:r>
      <w:r>
        <w:rPr>
          <w:rFonts w:ascii="Garamond" w:hAnsi="Garamond" w:cs="Times New Roman"/>
          <w:sz w:val="24"/>
          <w:szCs w:val="24"/>
        </w:rPr>
        <w:t xml:space="preserve">tend to uncritically reveal </w:t>
      </w:r>
      <w:r w:rsidRPr="00473B8C">
        <w:rPr>
          <w:rFonts w:ascii="Garamond" w:hAnsi="Garamond" w:cs="Times New Roman"/>
          <w:sz w:val="24"/>
          <w:szCs w:val="24"/>
        </w:rPr>
        <w:t>objective truths about child slavery</w:t>
      </w:r>
      <w:r>
        <w:rPr>
          <w:rFonts w:ascii="Garamond" w:hAnsi="Garamond" w:cs="Times New Roman"/>
          <w:sz w:val="24"/>
          <w:szCs w:val="24"/>
        </w:rPr>
        <w:t>, drawing upon</w:t>
      </w:r>
      <w:r w:rsidRPr="00473B8C">
        <w:rPr>
          <w:rFonts w:ascii="Garamond" w:hAnsi="Garamond" w:cs="Times New Roman"/>
          <w:sz w:val="24"/>
          <w:szCs w:val="24"/>
        </w:rPr>
        <w:t xml:space="preserve"> master narratives that must be complicated and questioned (Lambert, 2011). Colourlines are highly pronounced in the chocolate industry, and STT intervene in the cultural production of</w:t>
      </w:r>
      <w:r>
        <w:rPr>
          <w:rFonts w:ascii="Garamond" w:hAnsi="Garamond" w:cs="Times New Roman"/>
          <w:sz w:val="24"/>
          <w:szCs w:val="24"/>
        </w:rPr>
        <w:t xml:space="preserve"> these racialized boundaries. </w:t>
      </w:r>
      <w:r w:rsidRPr="00473B8C">
        <w:rPr>
          <w:rFonts w:ascii="Garamond" w:hAnsi="Garamond" w:cs="Times New Roman"/>
          <w:sz w:val="24"/>
          <w:szCs w:val="24"/>
        </w:rPr>
        <w:t xml:space="preserve">Campaigns </w:t>
      </w:r>
      <w:r>
        <w:rPr>
          <w:rFonts w:ascii="Garamond" w:hAnsi="Garamond" w:cs="Times New Roman"/>
          <w:sz w:val="24"/>
          <w:szCs w:val="24"/>
        </w:rPr>
        <w:t xml:space="preserve">both </w:t>
      </w:r>
      <w:r w:rsidRPr="00473B8C">
        <w:rPr>
          <w:rFonts w:ascii="Garamond" w:hAnsi="Garamond" w:cs="Times New Roman"/>
          <w:sz w:val="24"/>
          <w:szCs w:val="24"/>
        </w:rPr>
        <w:t>rework the connective abilities of bodies across regional and national boundaries, and effect the distribution of</w:t>
      </w:r>
      <w:r w:rsidRPr="00473B8C">
        <w:rPr>
          <w:rFonts w:ascii="Garamond" w:hAnsi="Garamond" w:cs="Times New Roman"/>
          <w:i/>
          <w:sz w:val="24"/>
          <w:szCs w:val="24"/>
        </w:rPr>
        <w:t xml:space="preserve"> </w:t>
      </w:r>
      <w:r w:rsidRPr="00473B8C">
        <w:rPr>
          <w:rFonts w:ascii="Garamond" w:hAnsi="Garamond" w:cs="Times New Roman"/>
          <w:sz w:val="24"/>
          <w:szCs w:val="24"/>
        </w:rPr>
        <w:t>wealth across the chocolate industry. As a ‘gateway’ into global anti-</w:t>
      </w:r>
      <w:r w:rsidR="00293D4C">
        <w:rPr>
          <w:rFonts w:ascii="Garamond" w:hAnsi="Garamond" w:cs="Times New Roman"/>
          <w:sz w:val="24"/>
          <w:szCs w:val="24"/>
        </w:rPr>
        <w:t>trafficking activism (Interview</w:t>
      </w:r>
      <w:r>
        <w:rPr>
          <w:rFonts w:ascii="Garamond" w:hAnsi="Garamond" w:cs="Times New Roman"/>
          <w:sz w:val="24"/>
          <w:szCs w:val="24"/>
        </w:rPr>
        <w:t xml:space="preserve"> Rachel</w:t>
      </w:r>
      <w:r w:rsidRPr="00473B8C">
        <w:rPr>
          <w:rFonts w:ascii="Garamond" w:hAnsi="Garamond" w:cs="Times New Roman"/>
          <w:sz w:val="24"/>
          <w:szCs w:val="24"/>
        </w:rPr>
        <w:t xml:space="preserve"> 2011), STT’s core choco</w:t>
      </w:r>
      <w:r>
        <w:rPr>
          <w:rFonts w:ascii="Garamond" w:hAnsi="Garamond" w:cs="Times New Roman"/>
          <w:sz w:val="24"/>
          <w:szCs w:val="24"/>
        </w:rPr>
        <w:t>late terminology contains place-</w:t>
      </w:r>
      <w:r w:rsidRPr="00473B8C">
        <w:rPr>
          <w:rFonts w:ascii="Garamond" w:hAnsi="Garamond" w:cs="Times New Roman"/>
          <w:sz w:val="24"/>
          <w:szCs w:val="24"/>
        </w:rPr>
        <w:t xml:space="preserve">based judgements of inclusion and exclusion, legality and illegality that are given meaning by race (e.g., community, culture, trafficking, smuggling). Once ‘through the gateway’, it becomes an urgent matter to analyse how race </w:t>
      </w:r>
      <w:r>
        <w:rPr>
          <w:rFonts w:ascii="Garamond" w:hAnsi="Garamond" w:cs="Times New Roman"/>
          <w:sz w:val="24"/>
          <w:szCs w:val="24"/>
        </w:rPr>
        <w:t xml:space="preserve">is the ‘dark matter’ – </w:t>
      </w:r>
      <w:r w:rsidRPr="00473B8C">
        <w:rPr>
          <w:rFonts w:ascii="Garamond" w:hAnsi="Garamond" w:cs="Times New Roman"/>
          <w:sz w:val="24"/>
          <w:szCs w:val="24"/>
        </w:rPr>
        <w:t>“the often invisible substance that in many ways structures the universe of</w:t>
      </w:r>
      <w:r>
        <w:rPr>
          <w:rFonts w:ascii="Garamond" w:hAnsi="Garamond" w:cs="Times New Roman"/>
          <w:sz w:val="24"/>
          <w:szCs w:val="24"/>
        </w:rPr>
        <w:t xml:space="preserve"> modernity” (Winant, 2011: 6) – that prompts and informs</w:t>
      </w:r>
      <w:r w:rsidRPr="00473B8C">
        <w:rPr>
          <w:rFonts w:ascii="Garamond" w:hAnsi="Garamond" w:cs="Times New Roman"/>
          <w:sz w:val="24"/>
          <w:szCs w:val="24"/>
        </w:rPr>
        <w:t xml:space="preserve"> the coalition’s Wilberforcian branding exercises, its partnerships with (Western) national and global security organizations, and its investments in the policing of ‘deviant’ types of migration. In similarity to the majority of organizations interested in anti-trafficking activities, STT do not communicate through explicitly racial or antiracist terms. However, the absence of racial language or antiracist agenda does not </w:t>
      </w:r>
      <w:r>
        <w:rPr>
          <w:rFonts w:ascii="Garamond" w:hAnsi="Garamond" w:cs="Times New Roman"/>
          <w:sz w:val="24"/>
          <w:szCs w:val="24"/>
        </w:rPr>
        <w:t>produce</w:t>
      </w:r>
      <w:r w:rsidRPr="00473B8C">
        <w:rPr>
          <w:rFonts w:ascii="Garamond" w:hAnsi="Garamond" w:cs="Times New Roman"/>
          <w:sz w:val="24"/>
          <w:szCs w:val="24"/>
        </w:rPr>
        <w:t xml:space="preserve"> the absence of race. On the contrary, ‘racial assemblages’ (Saldan</w:t>
      </w:r>
      <w:r>
        <w:rPr>
          <w:rFonts w:ascii="Garamond" w:hAnsi="Garamond" w:cs="Times New Roman"/>
          <w:sz w:val="24"/>
          <w:szCs w:val="24"/>
        </w:rPr>
        <w:t>ha 2006, Swanton 2010, Amin, 2010</w:t>
      </w:r>
      <w:r w:rsidRPr="00473B8C">
        <w:rPr>
          <w:rFonts w:ascii="Garamond" w:hAnsi="Garamond" w:cs="Times New Roman"/>
          <w:sz w:val="24"/>
          <w:szCs w:val="24"/>
        </w:rPr>
        <w:t>) are crucial to the framing and functioning of STT’s anti-trafficking campaigns</w:t>
      </w:r>
      <w:r>
        <w:rPr>
          <w:rFonts w:ascii="Garamond" w:hAnsi="Garamond" w:cs="Times New Roman"/>
          <w:sz w:val="24"/>
          <w:szCs w:val="24"/>
        </w:rPr>
        <w:t>.</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sz w:val="24"/>
          <w:szCs w:val="24"/>
        </w:rPr>
        <w:t xml:space="preserve">This chapter considers how STT intervene in the production of race across different contexts. </w:t>
      </w:r>
      <w:r w:rsidRPr="00473B8C">
        <w:rPr>
          <w:rFonts w:ascii="Garamond" w:hAnsi="Garamond" w:cs="Times New Roman"/>
          <w:sz w:val="24"/>
          <w:szCs w:val="24"/>
        </w:rPr>
        <w:t>The largely absent presence of race is demanding and telling in equal measure. As a consequence, I examine how race can be made to talk in STT’s chocolate campaigns, and analyse what race talks about and how it is given utility (Harve</w:t>
      </w:r>
      <w:r>
        <w:rPr>
          <w:rFonts w:ascii="Garamond" w:hAnsi="Garamond" w:cs="Times New Roman"/>
          <w:sz w:val="24"/>
          <w:szCs w:val="24"/>
        </w:rPr>
        <w:t>y, 2003; Hartsock, 2006; Murji and</w:t>
      </w:r>
      <w:r w:rsidRPr="00473B8C">
        <w:rPr>
          <w:rFonts w:ascii="Garamond" w:hAnsi="Garamond" w:cs="Times New Roman"/>
          <w:sz w:val="24"/>
          <w:szCs w:val="24"/>
        </w:rPr>
        <w:t xml:space="preserve"> Solomos, 2005; Alcoff, 2006). Recent ‘black geographies’ by</w:t>
      </w:r>
      <w:r>
        <w:rPr>
          <w:rFonts w:ascii="Garamond" w:hAnsi="Garamond" w:cs="Times New Roman"/>
          <w:sz w:val="24"/>
          <w:szCs w:val="24"/>
        </w:rPr>
        <w:t xml:space="preserve"> </w:t>
      </w:r>
      <w:r>
        <w:rPr>
          <w:rFonts w:ascii="Garamond" w:hAnsi="Garamond" w:cs="Times New Roman"/>
          <w:sz w:val="24"/>
          <w:szCs w:val="24"/>
        </w:rPr>
        <w:lastRenderedPageBreak/>
        <w:t>McKittrick (2006), Pulido (2006</w:t>
      </w:r>
      <w:r w:rsidRPr="00473B8C">
        <w:rPr>
          <w:rFonts w:ascii="Garamond" w:hAnsi="Garamond" w:cs="Times New Roman"/>
          <w:sz w:val="24"/>
          <w:szCs w:val="24"/>
        </w:rPr>
        <w:t xml:space="preserve">), </w:t>
      </w:r>
      <w:r>
        <w:rPr>
          <w:rFonts w:ascii="Garamond" w:hAnsi="Garamond" w:cs="Times New Roman"/>
          <w:sz w:val="24"/>
          <w:szCs w:val="24"/>
        </w:rPr>
        <w:t>Gilmore (2006) and Lipsitz (2011</w:t>
      </w:r>
      <w:r w:rsidRPr="00473B8C">
        <w:rPr>
          <w:rFonts w:ascii="Garamond" w:hAnsi="Garamond" w:cs="Times New Roman"/>
          <w:sz w:val="24"/>
          <w:szCs w:val="24"/>
        </w:rPr>
        <w:t>) have argued that race is a key organizing principle of society that is mad</w:t>
      </w:r>
      <w:r>
        <w:rPr>
          <w:rFonts w:ascii="Garamond" w:hAnsi="Garamond" w:cs="Times New Roman"/>
          <w:sz w:val="24"/>
          <w:szCs w:val="24"/>
        </w:rPr>
        <w:t>e ‘crushingly real’ (Smith, 1984</w:t>
      </w:r>
      <w:r w:rsidRPr="00473B8C">
        <w:rPr>
          <w:rFonts w:ascii="Garamond" w:hAnsi="Garamond" w:cs="Times New Roman"/>
          <w:sz w:val="24"/>
          <w:szCs w:val="24"/>
        </w:rPr>
        <w:t>) in the social and economic production of space. Taking this assertion literally, th</w:t>
      </w:r>
      <w:r>
        <w:rPr>
          <w:rFonts w:ascii="Garamond" w:hAnsi="Garamond" w:cs="Times New Roman"/>
          <w:sz w:val="24"/>
          <w:szCs w:val="24"/>
        </w:rPr>
        <w:t xml:space="preserve">e </w:t>
      </w:r>
      <w:r w:rsidRPr="00473B8C">
        <w:rPr>
          <w:rFonts w:ascii="Garamond" w:hAnsi="Garamond" w:cs="Times New Roman"/>
          <w:sz w:val="24"/>
          <w:szCs w:val="24"/>
        </w:rPr>
        <w:t xml:space="preserve">chapter has two distinct </w:t>
      </w:r>
      <w:r>
        <w:rPr>
          <w:rFonts w:ascii="Garamond" w:hAnsi="Garamond" w:cs="Times New Roman"/>
          <w:sz w:val="24"/>
          <w:szCs w:val="24"/>
        </w:rPr>
        <w:t>parts.</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first </w:t>
      </w:r>
      <w:r>
        <w:rPr>
          <w:rFonts w:ascii="Garamond" w:hAnsi="Garamond" w:cs="Times New Roman"/>
          <w:sz w:val="24"/>
          <w:szCs w:val="24"/>
        </w:rPr>
        <w:t>part of the chapter</w:t>
      </w:r>
      <w:r w:rsidRPr="00473B8C">
        <w:rPr>
          <w:rFonts w:ascii="Garamond" w:hAnsi="Garamond" w:cs="Times New Roman"/>
          <w:sz w:val="24"/>
          <w:szCs w:val="24"/>
        </w:rPr>
        <w:t xml:space="preserve"> examines how race is a key dynamic of ethical communication between Stop The Traffik, consumers, governments and civil society</w:t>
      </w:r>
      <w:r>
        <w:rPr>
          <w:rFonts w:ascii="Garamond" w:hAnsi="Garamond" w:cs="Times New Roman"/>
          <w:sz w:val="24"/>
          <w:szCs w:val="24"/>
        </w:rPr>
        <w:t xml:space="preserve"> around questions of anti-trafficking</w:t>
      </w:r>
      <w:r w:rsidRPr="00473B8C">
        <w:rPr>
          <w:rFonts w:ascii="Garamond" w:hAnsi="Garamond" w:cs="Times New Roman"/>
          <w:sz w:val="24"/>
          <w:szCs w:val="24"/>
        </w:rPr>
        <w:t xml:space="preserve">. </w:t>
      </w:r>
      <w:r>
        <w:rPr>
          <w:rFonts w:ascii="Garamond" w:hAnsi="Garamond" w:cs="Times New Roman"/>
          <w:sz w:val="24"/>
          <w:szCs w:val="24"/>
        </w:rPr>
        <w:t>It</w:t>
      </w:r>
      <w:r w:rsidRPr="00473B8C">
        <w:rPr>
          <w:rFonts w:ascii="Garamond" w:hAnsi="Garamond" w:cs="Times New Roman"/>
          <w:sz w:val="24"/>
          <w:szCs w:val="24"/>
        </w:rPr>
        <w:t xml:space="preserve"> examines how</w:t>
      </w:r>
      <w:r>
        <w:rPr>
          <w:rFonts w:ascii="Garamond" w:hAnsi="Garamond"/>
          <w:sz w:val="24"/>
          <w:szCs w:val="24"/>
        </w:rPr>
        <w:t xml:space="preserve"> the racial assemblages </w:t>
      </w:r>
      <w:r w:rsidRPr="00473B8C">
        <w:rPr>
          <w:rFonts w:ascii="Garamond" w:hAnsi="Garamond"/>
          <w:sz w:val="24"/>
          <w:szCs w:val="24"/>
        </w:rPr>
        <w:t>of STT’s two child topo</w:t>
      </w:r>
      <w:r>
        <w:rPr>
          <w:rFonts w:ascii="Garamond" w:hAnsi="Garamond"/>
          <w:sz w:val="24"/>
          <w:szCs w:val="24"/>
        </w:rPr>
        <w:t xml:space="preserve">i intervene in and impact upon </w:t>
      </w:r>
      <w:r w:rsidRPr="00473B8C">
        <w:rPr>
          <w:rFonts w:ascii="Garamond" w:hAnsi="Garamond"/>
          <w:sz w:val="24"/>
          <w:szCs w:val="24"/>
        </w:rPr>
        <w:t xml:space="preserve">the production of race. Identifying a range of embodied and mediated communication paradigms for structuring affect and engagement with a ‘chocolate ethics’ (liberal humanitarianism, mainstream developmental discourse, ethico-politics), I argue that </w:t>
      </w:r>
      <w:r>
        <w:rPr>
          <w:rFonts w:ascii="Garamond" w:hAnsi="Garamond"/>
          <w:sz w:val="24"/>
          <w:szCs w:val="24"/>
        </w:rPr>
        <w:t xml:space="preserve">STT </w:t>
      </w:r>
      <w:r w:rsidRPr="00473B8C">
        <w:rPr>
          <w:rFonts w:ascii="Garamond" w:hAnsi="Garamond"/>
          <w:sz w:val="24"/>
          <w:szCs w:val="24"/>
        </w:rPr>
        <w:t xml:space="preserve">deploy forms of racial production, consumption and denial at a variety of scales. I consider how these assemblages reinforce racial stereotypes and work in </w:t>
      </w:r>
      <w:r>
        <w:rPr>
          <w:rFonts w:ascii="Garamond" w:hAnsi="Garamond"/>
          <w:sz w:val="24"/>
          <w:szCs w:val="24"/>
        </w:rPr>
        <w:t xml:space="preserve">unreflexive </w:t>
      </w:r>
      <w:r w:rsidRPr="00473B8C">
        <w:rPr>
          <w:rFonts w:ascii="Garamond" w:hAnsi="Garamond"/>
          <w:sz w:val="24"/>
          <w:szCs w:val="24"/>
        </w:rPr>
        <w:t>ways</w:t>
      </w:r>
      <w:r>
        <w:rPr>
          <w:rFonts w:ascii="Garamond" w:hAnsi="Garamond"/>
          <w:sz w:val="24"/>
          <w:szCs w:val="24"/>
        </w:rPr>
        <w:t>.</w:t>
      </w:r>
      <w:r w:rsidRPr="00473B8C">
        <w:rPr>
          <w:rFonts w:ascii="Garamond" w:hAnsi="Garamond"/>
          <w:sz w:val="24"/>
          <w:szCs w:val="24"/>
        </w:rPr>
        <w:t xml:space="preserve"> In varying contexts</w:t>
      </w:r>
      <w:r>
        <w:rPr>
          <w:rFonts w:ascii="Garamond" w:hAnsi="Garamond"/>
          <w:sz w:val="24"/>
          <w:szCs w:val="24"/>
        </w:rPr>
        <w:t>,</w:t>
      </w:r>
      <w:r w:rsidRPr="00473B8C">
        <w:rPr>
          <w:rFonts w:ascii="Garamond" w:hAnsi="Garamond"/>
          <w:sz w:val="24"/>
          <w:szCs w:val="24"/>
        </w:rPr>
        <w:t xml:space="preserve"> STT’s mediated and embodied to</w:t>
      </w:r>
      <w:r>
        <w:rPr>
          <w:rFonts w:ascii="Garamond" w:hAnsi="Garamond"/>
          <w:sz w:val="24"/>
          <w:szCs w:val="24"/>
        </w:rPr>
        <w:t xml:space="preserve">poi make a spectacle from race that </w:t>
      </w:r>
      <w:r w:rsidRPr="00473B8C">
        <w:rPr>
          <w:rFonts w:ascii="Garamond" w:hAnsi="Garamond"/>
          <w:sz w:val="24"/>
          <w:szCs w:val="24"/>
        </w:rPr>
        <w:t>intensify ex</w:t>
      </w:r>
      <w:r>
        <w:rPr>
          <w:rFonts w:ascii="Garamond" w:hAnsi="Garamond"/>
          <w:sz w:val="24"/>
          <w:szCs w:val="24"/>
        </w:rPr>
        <w:t>isting forms of white privilege and</w:t>
      </w:r>
      <w:r w:rsidRPr="00473B8C">
        <w:rPr>
          <w:rFonts w:ascii="Garamond" w:hAnsi="Garamond"/>
          <w:sz w:val="24"/>
          <w:szCs w:val="24"/>
        </w:rPr>
        <w:t xml:space="preserve"> </w:t>
      </w:r>
      <w:r>
        <w:rPr>
          <w:rFonts w:ascii="Garamond" w:hAnsi="Garamond"/>
          <w:sz w:val="24"/>
          <w:szCs w:val="24"/>
        </w:rPr>
        <w:t>silence</w:t>
      </w:r>
      <w:r w:rsidRPr="00473B8C">
        <w:rPr>
          <w:rFonts w:ascii="Garamond" w:hAnsi="Garamond"/>
          <w:sz w:val="24"/>
          <w:szCs w:val="24"/>
        </w:rPr>
        <w:t xml:space="preserve"> race in favou</w:t>
      </w:r>
      <w:r>
        <w:rPr>
          <w:rFonts w:ascii="Garamond" w:hAnsi="Garamond"/>
          <w:sz w:val="24"/>
          <w:szCs w:val="24"/>
        </w:rPr>
        <w:t>r of</w:t>
      </w:r>
      <w:r w:rsidRPr="00473B8C">
        <w:rPr>
          <w:rFonts w:ascii="Garamond" w:hAnsi="Garamond"/>
          <w:sz w:val="24"/>
          <w:szCs w:val="24"/>
        </w:rPr>
        <w:t xml:space="preserve"> whitened post-humanitarian communication (Chouliaraki, 2009) and </w:t>
      </w:r>
      <w:r>
        <w:rPr>
          <w:rFonts w:ascii="Garamond" w:hAnsi="Garamond"/>
          <w:sz w:val="24"/>
          <w:szCs w:val="24"/>
        </w:rPr>
        <w:t xml:space="preserve">celebritized </w:t>
      </w:r>
      <w:r w:rsidRPr="00473B8C">
        <w:rPr>
          <w:rFonts w:ascii="Garamond" w:hAnsi="Garamond"/>
          <w:sz w:val="24"/>
          <w:szCs w:val="24"/>
        </w:rPr>
        <w:t xml:space="preserve">developmental consumption </w:t>
      </w:r>
      <w:r>
        <w:rPr>
          <w:rFonts w:ascii="Garamond" w:hAnsi="Garamond"/>
          <w:sz w:val="24"/>
          <w:szCs w:val="24"/>
        </w:rPr>
        <w:t>(Goodman, 2010</w:t>
      </w:r>
      <w:r w:rsidRPr="00473B8C">
        <w:rPr>
          <w:rFonts w:ascii="Garamond" w:hAnsi="Garamond"/>
          <w:sz w:val="24"/>
          <w:szCs w:val="24"/>
        </w:rPr>
        <w:t>). A</w:t>
      </w:r>
      <w:r>
        <w:rPr>
          <w:rFonts w:ascii="Garamond" w:hAnsi="Garamond"/>
          <w:sz w:val="24"/>
          <w:szCs w:val="24"/>
        </w:rPr>
        <w:t>nti-</w:t>
      </w:r>
      <w:r w:rsidRPr="00473B8C">
        <w:rPr>
          <w:rFonts w:ascii="Garamond" w:hAnsi="Garamond"/>
          <w:sz w:val="24"/>
          <w:szCs w:val="24"/>
        </w:rPr>
        <w:t>trafficking and anti-racialism</w:t>
      </w:r>
      <w:r>
        <w:rPr>
          <w:rFonts w:ascii="Garamond" w:hAnsi="Garamond"/>
          <w:sz w:val="24"/>
          <w:szCs w:val="24"/>
        </w:rPr>
        <w:t xml:space="preserve"> (denying the salience of racializations)</w:t>
      </w:r>
      <w:r w:rsidRPr="00473B8C">
        <w:rPr>
          <w:rFonts w:ascii="Garamond" w:hAnsi="Garamond"/>
          <w:sz w:val="24"/>
          <w:szCs w:val="24"/>
        </w:rPr>
        <w:t>, I argue, work in similar ways.</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sz w:val="24"/>
          <w:szCs w:val="24"/>
        </w:rPr>
      </w:pPr>
      <w:r w:rsidRPr="00473B8C">
        <w:rPr>
          <w:rFonts w:ascii="Garamond" w:hAnsi="Garamond"/>
          <w:sz w:val="24"/>
          <w:szCs w:val="24"/>
        </w:rPr>
        <w:t xml:space="preserve">The second </w:t>
      </w:r>
      <w:r>
        <w:rPr>
          <w:rFonts w:ascii="Garamond" w:hAnsi="Garamond"/>
          <w:sz w:val="24"/>
          <w:szCs w:val="24"/>
        </w:rPr>
        <w:t>part of the chapter</w:t>
      </w:r>
      <w:r w:rsidRPr="00473B8C">
        <w:rPr>
          <w:rFonts w:ascii="Garamond" w:hAnsi="Garamond"/>
          <w:sz w:val="24"/>
          <w:szCs w:val="24"/>
        </w:rPr>
        <w:t xml:space="preserve"> focuses on an alternative and more productive reading of the racializations of the chocolate industry. Utilizing a historical materialist framework, I discern between multiple forms of racializations in the political economy of chocolate. Here</w:t>
      </w:r>
      <w:r>
        <w:rPr>
          <w:rFonts w:ascii="Garamond" w:hAnsi="Garamond"/>
          <w:sz w:val="24"/>
          <w:szCs w:val="24"/>
        </w:rPr>
        <w:t>, I argue that</w:t>
      </w:r>
      <w:r w:rsidRPr="00473B8C">
        <w:rPr>
          <w:rFonts w:ascii="Garamond" w:hAnsi="Garamond"/>
          <w:sz w:val="24"/>
          <w:szCs w:val="24"/>
        </w:rPr>
        <w:t xml:space="preserve"> the A</w:t>
      </w:r>
      <w:r>
        <w:rPr>
          <w:rFonts w:ascii="Garamond" w:hAnsi="Garamond"/>
          <w:sz w:val="24"/>
          <w:szCs w:val="24"/>
        </w:rPr>
        <w:t>msterdam branch of STT perform</w:t>
      </w:r>
      <w:r w:rsidRPr="00473B8C">
        <w:rPr>
          <w:rFonts w:ascii="Garamond" w:hAnsi="Garamond"/>
          <w:sz w:val="24"/>
          <w:szCs w:val="24"/>
        </w:rPr>
        <w:t xml:space="preserve"> activism with potentially powerful antiracist affects as they use grassroots activism in unison with trade unions and consumer agitation to apply concerted pressure to the chocolate industry </w:t>
      </w:r>
      <w:r>
        <w:rPr>
          <w:rFonts w:ascii="Garamond" w:hAnsi="Garamond"/>
          <w:sz w:val="24"/>
          <w:szCs w:val="24"/>
        </w:rPr>
        <w:t>with the aim of</w:t>
      </w:r>
      <w:r w:rsidRPr="00473B8C">
        <w:rPr>
          <w:rFonts w:ascii="Garamond" w:hAnsi="Garamond"/>
          <w:sz w:val="24"/>
          <w:szCs w:val="24"/>
        </w:rPr>
        <w:t xml:space="preserve"> shift</w:t>
      </w:r>
      <w:r>
        <w:rPr>
          <w:rFonts w:ascii="Garamond" w:hAnsi="Garamond"/>
          <w:sz w:val="24"/>
          <w:szCs w:val="24"/>
        </w:rPr>
        <w:t>ing</w:t>
      </w:r>
      <w:r w:rsidRPr="00473B8C">
        <w:rPr>
          <w:rFonts w:ascii="Garamond" w:hAnsi="Garamond"/>
          <w:sz w:val="24"/>
          <w:szCs w:val="24"/>
        </w:rPr>
        <w:t xml:space="preserve"> the structural boundaries of the cocoa industry. I illustrate how STT’s Amsterdam operations act autonomously from STT’s anti-t</w:t>
      </w:r>
      <w:r>
        <w:rPr>
          <w:rFonts w:ascii="Garamond" w:hAnsi="Garamond"/>
          <w:sz w:val="24"/>
          <w:szCs w:val="24"/>
        </w:rPr>
        <w:t>rafficking campaigns in the UK. In recent years the Netherlands branch has diversified STT's approach to various stakeholders in the chocolate industry and formed coalitions with grassroots activist organizations concerned with cocoa production and chocolate processing in E</w:t>
      </w:r>
      <w:r w:rsidR="00293D4C">
        <w:rPr>
          <w:rFonts w:ascii="Garamond" w:hAnsi="Garamond"/>
          <w:sz w:val="24"/>
          <w:szCs w:val="24"/>
        </w:rPr>
        <w:t xml:space="preserve">urope (e.g. the VOICE network – </w:t>
      </w:r>
      <w:r>
        <w:rPr>
          <w:rFonts w:ascii="Garamond" w:hAnsi="Garamond"/>
          <w:sz w:val="24"/>
          <w:szCs w:val="24"/>
        </w:rPr>
        <w:t xml:space="preserve">see Chapter Four). STT Amsterdam work in close dialogue with </w:t>
      </w:r>
      <w:r w:rsidRPr="00473B8C">
        <w:rPr>
          <w:rFonts w:ascii="Garamond" w:hAnsi="Garamond"/>
          <w:sz w:val="24"/>
          <w:szCs w:val="24"/>
        </w:rPr>
        <w:t>chocolate companies</w:t>
      </w:r>
      <w:r>
        <w:rPr>
          <w:rFonts w:ascii="Garamond" w:hAnsi="Garamond"/>
          <w:sz w:val="24"/>
          <w:szCs w:val="24"/>
        </w:rPr>
        <w:t xml:space="preserve">, exerting pressure upon them to take </w:t>
      </w:r>
      <w:r w:rsidRPr="00473B8C">
        <w:rPr>
          <w:rFonts w:ascii="Garamond" w:hAnsi="Garamond"/>
          <w:sz w:val="24"/>
          <w:szCs w:val="24"/>
        </w:rPr>
        <w:t>care a</w:t>
      </w:r>
      <w:r>
        <w:rPr>
          <w:rFonts w:ascii="Garamond" w:hAnsi="Garamond"/>
          <w:sz w:val="24"/>
          <w:szCs w:val="24"/>
        </w:rPr>
        <w:t xml:space="preserve">nd responsibility for producers. They demand that chocolate companies invest more money </w:t>
      </w:r>
      <w:r w:rsidRPr="001757AC">
        <w:rPr>
          <w:rFonts w:ascii="Garamond" w:hAnsi="Garamond" w:cs="HelveticaNeueLTStd-Lt"/>
          <w:sz w:val="24"/>
          <w:szCs w:val="24"/>
        </w:rPr>
        <w:t>Côte</w:t>
      </w:r>
      <w:r>
        <w:rPr>
          <w:rFonts w:ascii="Garamond" w:hAnsi="Garamond"/>
          <w:sz w:val="24"/>
          <w:szCs w:val="24"/>
        </w:rPr>
        <w:t xml:space="preserve"> D’Ivoire </w:t>
      </w:r>
      <w:r w:rsidRPr="00473B8C">
        <w:rPr>
          <w:rFonts w:ascii="Garamond" w:hAnsi="Garamond"/>
          <w:sz w:val="24"/>
          <w:szCs w:val="24"/>
        </w:rPr>
        <w:lastRenderedPageBreak/>
        <w:t>farms</w:t>
      </w:r>
      <w:r>
        <w:rPr>
          <w:rFonts w:ascii="Garamond" w:hAnsi="Garamond"/>
          <w:sz w:val="24"/>
          <w:szCs w:val="24"/>
        </w:rPr>
        <w:t xml:space="preserve"> and communities</w:t>
      </w:r>
      <w:r w:rsidRPr="00473B8C">
        <w:rPr>
          <w:rFonts w:ascii="Garamond" w:hAnsi="Garamond"/>
          <w:sz w:val="24"/>
          <w:szCs w:val="24"/>
        </w:rPr>
        <w:t xml:space="preserve"> and cocoa collectives</w:t>
      </w:r>
      <w:r>
        <w:rPr>
          <w:rFonts w:ascii="Garamond" w:hAnsi="Garamond"/>
          <w:sz w:val="24"/>
          <w:szCs w:val="24"/>
        </w:rPr>
        <w:t>, and share profits</w:t>
      </w:r>
      <w:r w:rsidRPr="00473B8C">
        <w:rPr>
          <w:rFonts w:ascii="Garamond" w:hAnsi="Garamond"/>
          <w:sz w:val="24"/>
          <w:szCs w:val="24"/>
        </w:rPr>
        <w:t xml:space="preserve"> more equal</w:t>
      </w:r>
      <w:r>
        <w:rPr>
          <w:rFonts w:ascii="Garamond" w:hAnsi="Garamond"/>
          <w:sz w:val="24"/>
          <w:szCs w:val="24"/>
        </w:rPr>
        <w:t>ly across the colourline of the supply chain.</w:t>
      </w:r>
    </w:p>
    <w:p w:rsidR="00A05ED2" w:rsidRDefault="00A05ED2" w:rsidP="00A05ED2">
      <w:pPr>
        <w:spacing w:after="0" w:line="360" w:lineRule="auto"/>
        <w:jc w:val="both"/>
        <w:rPr>
          <w:rFonts w:ascii="Garamond" w:hAnsi="Garamond"/>
          <w:sz w:val="24"/>
          <w:szCs w:val="24"/>
        </w:rPr>
      </w:pPr>
    </w:p>
    <w:p w:rsidR="00A05ED2" w:rsidRDefault="00A05ED2" w:rsidP="00A05ED2">
      <w:pPr>
        <w:spacing w:after="0" w:line="360" w:lineRule="auto"/>
        <w:jc w:val="both"/>
        <w:rPr>
          <w:rFonts w:ascii="Garamond" w:hAnsi="Garamond" w:cs="Times New Roman"/>
          <w:sz w:val="24"/>
          <w:szCs w:val="24"/>
        </w:rPr>
      </w:pPr>
      <w:r>
        <w:rPr>
          <w:rFonts w:ascii="Garamond" w:hAnsi="Garamond"/>
          <w:sz w:val="24"/>
          <w:szCs w:val="24"/>
        </w:rPr>
        <w:t>In sum</w:t>
      </w:r>
      <w:r w:rsidR="00293D4C">
        <w:rPr>
          <w:rFonts w:ascii="Garamond" w:hAnsi="Garamond"/>
          <w:sz w:val="24"/>
          <w:szCs w:val="24"/>
        </w:rPr>
        <w:t>,</w:t>
      </w:r>
      <w:r>
        <w:rPr>
          <w:rFonts w:ascii="Garamond" w:hAnsi="Garamond"/>
          <w:sz w:val="24"/>
          <w:szCs w:val="24"/>
        </w:rPr>
        <w:t xml:space="preserve"> this chapter offers </w:t>
      </w:r>
      <w:r>
        <w:rPr>
          <w:rFonts w:ascii="Garamond" w:hAnsi="Garamond"/>
          <w:sz w:val="24"/>
          <w:szCs w:val="20"/>
        </w:rPr>
        <w:t>a critical</w:t>
      </w:r>
      <w:r w:rsidRPr="006425DB">
        <w:rPr>
          <w:rFonts w:ascii="Garamond" w:hAnsi="Garamond"/>
          <w:sz w:val="24"/>
          <w:szCs w:val="20"/>
        </w:rPr>
        <w:t xml:space="preserve"> investigation into the racializations </w:t>
      </w:r>
      <w:r>
        <w:rPr>
          <w:rFonts w:ascii="Garamond" w:hAnsi="Garamond"/>
          <w:sz w:val="24"/>
          <w:szCs w:val="20"/>
        </w:rPr>
        <w:t>implicated in both the</w:t>
      </w:r>
      <w:r w:rsidRPr="006425DB">
        <w:rPr>
          <w:rFonts w:ascii="Garamond" w:hAnsi="Garamond"/>
          <w:sz w:val="24"/>
          <w:szCs w:val="20"/>
        </w:rPr>
        <w:t xml:space="preserve"> communicative de</w:t>
      </w:r>
      <w:r>
        <w:rPr>
          <w:rFonts w:ascii="Garamond" w:hAnsi="Garamond"/>
          <w:sz w:val="24"/>
          <w:szCs w:val="20"/>
        </w:rPr>
        <w:t xml:space="preserve">vices of anti-trafficking and the political economy of cocoa production; in both cases via the lens of </w:t>
      </w:r>
      <w:r w:rsidRPr="006425DB">
        <w:rPr>
          <w:rFonts w:ascii="Garamond" w:hAnsi="Garamond"/>
          <w:sz w:val="24"/>
          <w:szCs w:val="20"/>
        </w:rPr>
        <w:t>STT</w:t>
      </w:r>
      <w:r>
        <w:rPr>
          <w:rFonts w:ascii="Garamond" w:hAnsi="Garamond"/>
          <w:sz w:val="24"/>
          <w:szCs w:val="20"/>
        </w:rPr>
        <w:t>. In doing this, it builds from the empirical materials presented in Chapter Four to broaden the analysis of the child-chocolate topoi.</w:t>
      </w:r>
    </w:p>
    <w:p w:rsidR="00293D4C" w:rsidRDefault="00293D4C"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p>
    <w:p w:rsidR="00A05ED2" w:rsidRDefault="00A05ED2" w:rsidP="00293D4C">
      <w:pPr>
        <w:pStyle w:val="Heading2"/>
      </w:pPr>
      <w:bookmarkStart w:id="637" w:name="_Toc244535764"/>
      <w:bookmarkStart w:id="638" w:name="_Toc244578396"/>
      <w:bookmarkStart w:id="639" w:name="_Toc244578780"/>
      <w:bookmarkStart w:id="640" w:name="_Toc263452031"/>
      <w:bookmarkStart w:id="641" w:name="_Toc263510949"/>
      <w:r w:rsidRPr="00DC6A06">
        <w:t>Racial Assemblages of STT</w:t>
      </w:r>
      <w:r>
        <w:t>’</w:t>
      </w:r>
      <w:r w:rsidRPr="00DC6A06">
        <w:t>s Communicative Paradigms</w:t>
      </w:r>
      <w:bookmarkEnd w:id="637"/>
      <w:bookmarkEnd w:id="638"/>
      <w:bookmarkEnd w:id="639"/>
      <w:bookmarkEnd w:id="640"/>
      <w:bookmarkEnd w:id="641"/>
    </w:p>
    <w:p w:rsidR="00A05ED2" w:rsidRDefault="00A05ED2" w:rsidP="00A05ED2">
      <w:pPr>
        <w:spacing w:after="0" w:line="360" w:lineRule="auto"/>
        <w:jc w:val="both"/>
        <w:rPr>
          <w:rFonts w:ascii="Garamond" w:hAnsi="Garamond" w:cs="Times New Roman"/>
          <w:b/>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Race is a key dynamic of ethical communication between Stop The Traffik, consumers, governments and civil society. This section examines how</w:t>
      </w:r>
      <w:r>
        <w:rPr>
          <w:rFonts w:ascii="Garamond" w:hAnsi="Garamond"/>
          <w:sz w:val="24"/>
          <w:szCs w:val="24"/>
        </w:rPr>
        <w:t xml:space="preserve"> the racial assemblages </w:t>
      </w:r>
      <w:r w:rsidRPr="00473B8C">
        <w:rPr>
          <w:rFonts w:ascii="Garamond" w:hAnsi="Garamond"/>
          <w:sz w:val="24"/>
          <w:szCs w:val="24"/>
        </w:rPr>
        <w:t>of STT’s two child top</w:t>
      </w:r>
      <w:r>
        <w:rPr>
          <w:rFonts w:ascii="Garamond" w:hAnsi="Garamond"/>
          <w:sz w:val="24"/>
          <w:szCs w:val="24"/>
        </w:rPr>
        <w:t>oi intervene in and impact upon</w:t>
      </w:r>
      <w:r w:rsidRPr="00473B8C">
        <w:rPr>
          <w:rFonts w:ascii="Garamond" w:hAnsi="Garamond"/>
          <w:sz w:val="24"/>
          <w:szCs w:val="24"/>
        </w:rPr>
        <w:t xml:space="preserve"> the production of race. Identifying a range of communicative paradigms for structuring affect and engagement with a ‘chocolate ethics’ (liberal humanitarianism, mainstream developmentalism, ethico-politics</w:t>
      </w:r>
      <w:r>
        <w:rPr>
          <w:rFonts w:ascii="Garamond" w:hAnsi="Garamond"/>
          <w:sz w:val="24"/>
          <w:szCs w:val="24"/>
        </w:rPr>
        <w:t>), I argue these communications</w:t>
      </w:r>
      <w:r w:rsidRPr="00473B8C">
        <w:rPr>
          <w:rFonts w:ascii="Garamond" w:hAnsi="Garamond"/>
          <w:sz w:val="24"/>
          <w:szCs w:val="24"/>
        </w:rPr>
        <w:t xml:space="preserve"> suggest distinct forms of racial production, consumption and denial at a variety of scales. I examine how these assemblages reinforce racial stereotypes and work in anti-racialist ways. STT’s mediated and embodied topoi make a spectacle from race, intensify existing forms of white privilege, act as a means for silencing race in favour of a whitened post-humanitarian </w:t>
      </w:r>
      <w:r>
        <w:rPr>
          <w:rFonts w:ascii="Garamond" w:hAnsi="Garamond"/>
          <w:sz w:val="24"/>
          <w:szCs w:val="24"/>
        </w:rPr>
        <w:t>communication (Chouliaraki, 2010</w:t>
      </w:r>
      <w:r w:rsidRPr="00473B8C">
        <w:rPr>
          <w:rFonts w:ascii="Garamond" w:hAnsi="Garamond"/>
          <w:sz w:val="24"/>
          <w:szCs w:val="24"/>
        </w:rPr>
        <w:t>) and developmental consumption that forwards the cult of celebri</w:t>
      </w:r>
      <w:r>
        <w:rPr>
          <w:rFonts w:ascii="Garamond" w:hAnsi="Garamond"/>
          <w:sz w:val="24"/>
          <w:szCs w:val="24"/>
        </w:rPr>
        <w:t>ty (Goodman, 2009). Here, anti-</w:t>
      </w:r>
      <w:r w:rsidRPr="00473B8C">
        <w:rPr>
          <w:rFonts w:ascii="Garamond" w:hAnsi="Garamond"/>
          <w:sz w:val="24"/>
          <w:szCs w:val="24"/>
        </w:rPr>
        <w:t>trafficking and anti-racialism, I argue, work in similar ways.</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As an advocacy and political lobbying coalition, STT’s anti-trafficking work is about wielding soft power in public and private arenas. The organi</w:t>
      </w:r>
      <w:r>
        <w:rPr>
          <w:rFonts w:ascii="Garamond" w:hAnsi="Garamond" w:cs="Times New Roman"/>
          <w:sz w:val="24"/>
          <w:szCs w:val="24"/>
        </w:rPr>
        <w:t>zation persuades general publics</w:t>
      </w:r>
      <w:r w:rsidRPr="00473B8C">
        <w:rPr>
          <w:rFonts w:ascii="Garamond" w:hAnsi="Garamond" w:cs="Times New Roman"/>
          <w:sz w:val="24"/>
          <w:szCs w:val="24"/>
        </w:rPr>
        <w:t xml:space="preserve"> and influential </w:t>
      </w:r>
      <w:r>
        <w:rPr>
          <w:rFonts w:ascii="Garamond" w:hAnsi="Garamond" w:cs="Times New Roman"/>
          <w:sz w:val="24"/>
          <w:szCs w:val="24"/>
        </w:rPr>
        <w:t>actors</w:t>
      </w:r>
      <w:r w:rsidRPr="00473B8C">
        <w:rPr>
          <w:rFonts w:ascii="Garamond" w:hAnsi="Garamond" w:cs="Times New Roman"/>
          <w:sz w:val="24"/>
          <w:szCs w:val="24"/>
        </w:rPr>
        <w:t xml:space="preserve"> </w:t>
      </w:r>
      <w:r>
        <w:rPr>
          <w:rFonts w:ascii="Garamond" w:hAnsi="Garamond" w:cs="Times New Roman"/>
          <w:sz w:val="24"/>
          <w:szCs w:val="24"/>
        </w:rPr>
        <w:t xml:space="preserve">of the importance of their work – forming </w:t>
      </w:r>
      <w:r w:rsidRPr="00473B8C">
        <w:rPr>
          <w:rFonts w:ascii="Garamond" w:hAnsi="Garamond" w:cs="Times New Roman"/>
          <w:sz w:val="24"/>
          <w:szCs w:val="24"/>
        </w:rPr>
        <w:t>coalitions with organiza</w:t>
      </w:r>
      <w:r>
        <w:rPr>
          <w:rFonts w:ascii="Garamond" w:hAnsi="Garamond" w:cs="Times New Roman"/>
          <w:sz w:val="24"/>
          <w:szCs w:val="24"/>
        </w:rPr>
        <w:t xml:space="preserve">tions that yield harder power, rebuffing </w:t>
      </w:r>
      <w:r w:rsidRPr="00473B8C">
        <w:rPr>
          <w:rFonts w:ascii="Garamond" w:hAnsi="Garamond" w:cs="Times New Roman"/>
          <w:sz w:val="24"/>
          <w:szCs w:val="24"/>
        </w:rPr>
        <w:t>critic</w:t>
      </w:r>
      <w:r>
        <w:rPr>
          <w:rFonts w:ascii="Garamond" w:hAnsi="Garamond" w:cs="Times New Roman"/>
          <w:sz w:val="24"/>
          <w:szCs w:val="24"/>
        </w:rPr>
        <w:t>s of anti-trafficking discourse, and using</w:t>
      </w:r>
      <w:r w:rsidRPr="00473B8C">
        <w:rPr>
          <w:rFonts w:ascii="Garamond" w:hAnsi="Garamond" w:cs="Times New Roman"/>
          <w:sz w:val="24"/>
          <w:szCs w:val="24"/>
        </w:rPr>
        <w:t xml:space="preserve"> denunciation and shame as potential corporate weapons. This requires communicating with powerful people across many industries, and then using their public image as a vehicle for the anti-trafficking message. While the BOA hijacked the commodity distribution networks of Outspan as a means of bringing anti-apartheid into homes through mundane but universal practices (juicing and eating oranges), STT’s anti-trafficking m</w:t>
      </w:r>
      <w:r>
        <w:rPr>
          <w:rFonts w:ascii="Garamond" w:hAnsi="Garamond" w:cs="Times New Roman"/>
          <w:sz w:val="24"/>
          <w:szCs w:val="24"/>
        </w:rPr>
        <w:t>essage hijacks non-</w:t>
      </w:r>
      <w:r w:rsidRPr="00473B8C">
        <w:rPr>
          <w:rFonts w:ascii="Garamond" w:hAnsi="Garamond" w:cs="Times New Roman"/>
          <w:sz w:val="24"/>
          <w:szCs w:val="24"/>
        </w:rPr>
        <w:t>certified chocolate (t</w:t>
      </w:r>
      <w:r>
        <w:rPr>
          <w:rFonts w:ascii="Garamond" w:hAnsi="Garamond" w:cs="Times New Roman"/>
          <w:sz w:val="24"/>
          <w:szCs w:val="24"/>
        </w:rPr>
        <w:t>o a lesser extent than the BOA).</w:t>
      </w:r>
      <w:r w:rsidRPr="00473B8C">
        <w:rPr>
          <w:rFonts w:ascii="Garamond" w:hAnsi="Garamond" w:cs="Times New Roman"/>
          <w:sz w:val="24"/>
          <w:szCs w:val="24"/>
        </w:rPr>
        <w:t xml:space="preserve"> </w:t>
      </w:r>
      <w:r>
        <w:rPr>
          <w:rFonts w:ascii="Garamond" w:hAnsi="Garamond" w:cs="Times New Roman"/>
          <w:sz w:val="24"/>
          <w:szCs w:val="24"/>
        </w:rPr>
        <w:t>Their message is</w:t>
      </w:r>
      <w:r w:rsidRPr="00473B8C">
        <w:rPr>
          <w:rFonts w:ascii="Garamond" w:hAnsi="Garamond" w:cs="Times New Roman"/>
          <w:sz w:val="24"/>
          <w:szCs w:val="24"/>
        </w:rPr>
        <w:t xml:space="preserve"> carried into homes</w:t>
      </w:r>
      <w:r>
        <w:rPr>
          <w:rFonts w:ascii="Garamond" w:hAnsi="Garamond" w:cs="Times New Roman"/>
          <w:sz w:val="24"/>
          <w:szCs w:val="24"/>
        </w:rPr>
        <w:t>, not through juicers or oranges, but</w:t>
      </w:r>
      <w:r w:rsidRPr="00473B8C">
        <w:rPr>
          <w:rFonts w:ascii="Garamond" w:hAnsi="Garamond" w:cs="Times New Roman"/>
          <w:sz w:val="24"/>
          <w:szCs w:val="24"/>
        </w:rPr>
        <w:t xml:space="preserve"> on the back of </w:t>
      </w:r>
      <w:r w:rsidRPr="00473B8C">
        <w:rPr>
          <w:rFonts w:ascii="Garamond" w:hAnsi="Garamond" w:cs="Times New Roman"/>
          <w:sz w:val="24"/>
          <w:szCs w:val="24"/>
        </w:rPr>
        <w:lastRenderedPageBreak/>
        <w:t>YouTube, Facebook</w:t>
      </w:r>
      <w:r>
        <w:rPr>
          <w:rFonts w:ascii="Garamond" w:hAnsi="Garamond" w:cs="Times New Roman"/>
          <w:sz w:val="24"/>
          <w:szCs w:val="24"/>
        </w:rPr>
        <w:t xml:space="preserve"> and T</w:t>
      </w:r>
      <w:r w:rsidRPr="00473B8C">
        <w:rPr>
          <w:rFonts w:ascii="Garamond" w:hAnsi="Garamond" w:cs="Times New Roman"/>
          <w:sz w:val="24"/>
          <w:szCs w:val="24"/>
        </w:rPr>
        <w:t>witter endorseme</w:t>
      </w:r>
      <w:r>
        <w:rPr>
          <w:rFonts w:ascii="Garamond" w:hAnsi="Garamond" w:cs="Times New Roman"/>
          <w:sz w:val="24"/>
          <w:szCs w:val="24"/>
        </w:rPr>
        <w:t xml:space="preserve">nts by celebrities. The ease with </w:t>
      </w:r>
      <w:r w:rsidRPr="00473B8C">
        <w:rPr>
          <w:rFonts w:ascii="Garamond" w:hAnsi="Garamond" w:cs="Times New Roman"/>
          <w:sz w:val="24"/>
          <w:szCs w:val="24"/>
        </w:rPr>
        <w:t>which this is achieved is dependent on</w:t>
      </w:r>
      <w:r>
        <w:rPr>
          <w:rFonts w:ascii="Garamond" w:hAnsi="Garamond" w:cs="Times New Roman"/>
          <w:sz w:val="24"/>
          <w:szCs w:val="24"/>
        </w:rPr>
        <w:t xml:space="preserve"> both</w:t>
      </w:r>
      <w:r w:rsidRPr="00473B8C">
        <w:rPr>
          <w:rFonts w:ascii="Garamond" w:hAnsi="Garamond" w:cs="Times New Roman"/>
          <w:sz w:val="24"/>
          <w:szCs w:val="24"/>
        </w:rPr>
        <w:t xml:space="preserve"> the sort of trafficking knowledge that STT and</w:t>
      </w:r>
      <w:r>
        <w:rPr>
          <w:rFonts w:ascii="Garamond" w:hAnsi="Garamond" w:cs="Times New Roman"/>
          <w:sz w:val="24"/>
          <w:szCs w:val="24"/>
        </w:rPr>
        <w:t xml:space="preserve"> their partners produce and </w:t>
      </w:r>
      <w:r w:rsidRPr="00473B8C">
        <w:rPr>
          <w:rFonts w:ascii="Garamond" w:hAnsi="Garamond" w:cs="Times New Roman"/>
          <w:sz w:val="24"/>
          <w:szCs w:val="24"/>
        </w:rPr>
        <w:t xml:space="preserve">the level of authority </w:t>
      </w:r>
      <w:r>
        <w:rPr>
          <w:rFonts w:ascii="Garamond" w:hAnsi="Garamond" w:cs="Times New Roman"/>
          <w:sz w:val="24"/>
          <w:szCs w:val="24"/>
        </w:rPr>
        <w:t>with which this knowledge is communicated. As I discussed in Chapter Five,</w:t>
      </w:r>
      <w:r w:rsidRPr="00473B8C">
        <w:rPr>
          <w:rFonts w:ascii="Garamond" w:hAnsi="Garamond" w:cs="Times New Roman"/>
          <w:sz w:val="24"/>
          <w:szCs w:val="24"/>
        </w:rPr>
        <w:t xml:space="preserve"> the groundwork for STT’s authority on anti-traffickin</w:t>
      </w:r>
      <w:r>
        <w:rPr>
          <w:rFonts w:ascii="Garamond" w:hAnsi="Garamond" w:cs="Times New Roman"/>
          <w:sz w:val="24"/>
          <w:szCs w:val="24"/>
        </w:rPr>
        <w:t>g is internationally ratified by</w:t>
      </w:r>
      <w:r w:rsidRPr="00473B8C">
        <w:rPr>
          <w:rFonts w:ascii="Garamond" w:hAnsi="Garamond" w:cs="Times New Roman"/>
          <w:sz w:val="24"/>
          <w:szCs w:val="24"/>
        </w:rPr>
        <w:t xml:space="preserve"> the United Nations Palermo Protocols. When I asked Ruth Dearnley, the CEO of STT, about the ambiguity between trafficking and smuggling it was easy for her to reply:</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ind w:left="284" w:right="284"/>
        <w:jc w:val="both"/>
        <w:rPr>
          <w:rFonts w:ascii="Garamond" w:eastAsia="Times New Roman" w:hAnsi="Garamond" w:cs="Times New Roman"/>
          <w:color w:val="000000"/>
          <w:shd w:val="clear" w:color="auto" w:fill="FFFFFF"/>
          <w:lang w:eastAsia="en-GB"/>
        </w:rPr>
      </w:pPr>
      <w:r w:rsidRPr="00473B8C">
        <w:rPr>
          <w:rFonts w:ascii="Garamond" w:eastAsia="Times New Roman" w:hAnsi="Garamond" w:cs="Times New Roman"/>
          <w:color w:val="000000"/>
          <w:shd w:val="clear" w:color="auto" w:fill="FFFFFF"/>
          <w:lang w:eastAsia="en-GB"/>
        </w:rPr>
        <w:t>We adhere to the definition in the P</w:t>
      </w:r>
      <w:r>
        <w:rPr>
          <w:rFonts w:ascii="Garamond" w:eastAsia="Times New Roman" w:hAnsi="Garamond" w:cs="Times New Roman"/>
          <w:color w:val="000000"/>
          <w:shd w:val="clear" w:color="auto" w:fill="FFFFFF"/>
          <w:lang w:eastAsia="en-GB"/>
        </w:rPr>
        <w:t>a</w:t>
      </w:r>
      <w:r w:rsidRPr="00473B8C">
        <w:rPr>
          <w:rFonts w:ascii="Garamond" w:eastAsia="Times New Roman" w:hAnsi="Garamond" w:cs="Times New Roman"/>
          <w:color w:val="000000"/>
          <w:shd w:val="clear" w:color="auto" w:fill="FFFFFF"/>
          <w:lang w:eastAsia="en-GB"/>
        </w:rPr>
        <w:t>le</w:t>
      </w:r>
      <w:r>
        <w:rPr>
          <w:rFonts w:ascii="Garamond" w:eastAsia="Times New Roman" w:hAnsi="Garamond" w:cs="Times New Roman"/>
          <w:color w:val="000000"/>
          <w:shd w:val="clear" w:color="auto" w:fill="FFFFFF"/>
          <w:lang w:eastAsia="en-GB"/>
        </w:rPr>
        <w:t>r</w:t>
      </w:r>
      <w:r w:rsidRPr="00473B8C">
        <w:rPr>
          <w:rFonts w:ascii="Garamond" w:eastAsia="Times New Roman" w:hAnsi="Garamond" w:cs="Times New Roman"/>
          <w:color w:val="000000"/>
          <w:shd w:val="clear" w:color="auto" w:fill="FFFFFF"/>
          <w:lang w:eastAsia="en-GB"/>
        </w:rPr>
        <w:t>mo Protocol as set out in our book… The key for us is that it is not our role to spend time arguing the parameters but raising awareness of this crime an</w:t>
      </w:r>
      <w:r>
        <w:rPr>
          <w:rFonts w:ascii="Garamond" w:eastAsia="Times New Roman" w:hAnsi="Garamond" w:cs="Times New Roman"/>
          <w:color w:val="000000"/>
          <w:shd w:val="clear" w:color="auto" w:fill="FFFFFF"/>
          <w:lang w:eastAsia="en-GB"/>
        </w:rPr>
        <w:t xml:space="preserve">d empowering people to stop it. </w:t>
      </w:r>
      <w:r w:rsidRPr="00473B8C">
        <w:rPr>
          <w:rFonts w:ascii="Garamond" w:eastAsia="Times New Roman" w:hAnsi="Garamond" w:cs="Times New Roman"/>
          <w:color w:val="000000"/>
          <w:shd w:val="clear" w:color="auto" w:fill="FFFFFF"/>
          <w:lang w:eastAsia="en-GB"/>
        </w:rPr>
        <w:t>(</w:t>
      </w:r>
      <w:r w:rsidR="00293D4C">
        <w:rPr>
          <w:rFonts w:ascii="Garamond" w:eastAsia="Times New Roman" w:hAnsi="Garamond" w:cs="Times New Roman"/>
          <w:color w:val="000000"/>
          <w:shd w:val="clear" w:color="auto" w:fill="FFFFFF"/>
          <w:lang w:eastAsia="en-GB"/>
        </w:rPr>
        <w:t>Interview Dearnley</w:t>
      </w:r>
      <w:r w:rsidRPr="00473B8C">
        <w:rPr>
          <w:rFonts w:ascii="Garamond" w:eastAsia="Times New Roman" w:hAnsi="Garamond" w:cs="Times New Roman"/>
          <w:color w:val="000000"/>
          <w:shd w:val="clear" w:color="auto" w:fill="FFFFFF"/>
          <w:lang w:eastAsia="en-GB"/>
        </w:rPr>
        <w:t xml:space="preserve"> 2011)</w:t>
      </w:r>
    </w:p>
    <w:p w:rsidR="00A05ED2" w:rsidRPr="00473B8C" w:rsidRDefault="00A05ED2" w:rsidP="00A05ED2">
      <w:pPr>
        <w:spacing w:after="0" w:line="360" w:lineRule="auto"/>
        <w:ind w:left="284" w:right="284"/>
        <w:jc w:val="both"/>
        <w:rPr>
          <w:rFonts w:ascii="Garamond" w:hAnsi="Garamond" w:cs="Times New Roman"/>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With a concrete and legally binding definition of the crime of trafficking in place, anti-trafficking in chocolate is packaged across a range of cultural products, buttressed with tradition, integrated with corporate ethics and multicultural and national ideologies. In this respect</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 xml:space="preserve">the crux of STT’s work is marketing and </w:t>
      </w:r>
      <w:r w:rsidRPr="00473B8C">
        <w:rPr>
          <w:rFonts w:ascii="Garamond" w:hAnsi="Garamond" w:cs="Times New Roman"/>
          <w:sz w:val="24"/>
          <w:szCs w:val="24"/>
        </w:rPr>
        <w:t>their daily problematic is communication</w:t>
      </w:r>
      <w:r>
        <w:rPr>
          <w:rFonts w:ascii="Garamond" w:hAnsi="Garamond" w:cs="Times New Roman"/>
          <w:sz w:val="24"/>
          <w:szCs w:val="24"/>
        </w:rPr>
        <w:t xml:space="preserve"> – </w:t>
      </w:r>
      <w:r w:rsidRPr="00473B8C">
        <w:rPr>
          <w:rFonts w:ascii="Garamond" w:hAnsi="Garamond" w:cs="Times New Roman"/>
          <w:sz w:val="24"/>
          <w:szCs w:val="24"/>
        </w:rPr>
        <w:t xml:space="preserve"> 'telling the story'. Chocolate is essential to STT’s purpose </w:t>
      </w:r>
      <w:r>
        <w:rPr>
          <w:rFonts w:ascii="Garamond" w:hAnsi="Garamond" w:cs="Times New Roman"/>
          <w:sz w:val="24"/>
          <w:szCs w:val="24"/>
        </w:rPr>
        <w:t>as it allows a unification of</w:t>
      </w:r>
      <w:r w:rsidRPr="00473B8C">
        <w:rPr>
          <w:rFonts w:ascii="Garamond" w:hAnsi="Garamond" w:cs="Times New Roman"/>
          <w:sz w:val="24"/>
          <w:szCs w:val="24"/>
        </w:rPr>
        <w:t xml:space="preserve"> the trafficking message across a range of industries</w:t>
      </w:r>
      <w:r>
        <w:rPr>
          <w:rFonts w:ascii="Garamond" w:hAnsi="Garamond" w:cs="Times New Roman"/>
          <w:sz w:val="24"/>
          <w:szCs w:val="24"/>
        </w:rPr>
        <w:t>. With this in mind,</w:t>
      </w:r>
      <w:r w:rsidRPr="00B72A55">
        <w:rPr>
          <w:rFonts w:ascii="Garamond" w:hAnsi="Garamond" w:cs="Times New Roman"/>
          <w:sz w:val="24"/>
          <w:szCs w:val="24"/>
        </w:rPr>
        <w:t xml:space="preserve"> </w:t>
      </w:r>
      <w:r>
        <w:rPr>
          <w:rFonts w:ascii="Garamond" w:hAnsi="Garamond"/>
          <w:sz w:val="24"/>
          <w:szCs w:val="24"/>
        </w:rPr>
        <w:t>I</w:t>
      </w:r>
      <w:r w:rsidRPr="00B72A55">
        <w:rPr>
          <w:rFonts w:ascii="Garamond" w:hAnsi="Garamond"/>
          <w:sz w:val="24"/>
          <w:szCs w:val="24"/>
        </w:rPr>
        <w:t xml:space="preserve"> now explore three broad types of</w:t>
      </w:r>
      <w:r>
        <w:rPr>
          <w:rFonts w:ascii="Garamond" w:hAnsi="Garamond"/>
          <w:sz w:val="24"/>
          <w:szCs w:val="24"/>
        </w:rPr>
        <w:t xml:space="preserve"> globalized politics that are enacted in STT’s communicative work</w:t>
      </w:r>
      <w:r w:rsidRPr="00B72A55">
        <w:rPr>
          <w:rFonts w:ascii="Garamond" w:hAnsi="Garamond"/>
          <w:sz w:val="24"/>
          <w:szCs w:val="24"/>
        </w:rPr>
        <w:t>: ‘The liberal human paradigm’; ‘Mainstream developmental discourse’; and ‘Post-humanitarian ethico-politics’</w:t>
      </w:r>
      <w:r w:rsidRPr="00B72A55">
        <w:rPr>
          <w:sz w:val="24"/>
          <w:szCs w:val="24"/>
        </w:rPr>
        <w:t>.</w:t>
      </w:r>
      <w:r w:rsidRPr="00B72A55">
        <w:rPr>
          <w:rFonts w:ascii="Garamond" w:hAnsi="Garamond" w:cs="Times New Roman"/>
          <w:sz w:val="24"/>
          <w:szCs w:val="24"/>
        </w:rPr>
        <w:t xml:space="preserve"> </w:t>
      </w:r>
      <w:r w:rsidRPr="00473B8C">
        <w:rPr>
          <w:rFonts w:ascii="Garamond" w:hAnsi="Garamond" w:cs="Times New Roman"/>
          <w:sz w:val="24"/>
          <w:szCs w:val="24"/>
        </w:rPr>
        <w:t>Each type is replete with communicative obstacles that when addressed pr</w:t>
      </w:r>
      <w:r>
        <w:rPr>
          <w:rFonts w:ascii="Garamond" w:hAnsi="Garamond" w:cs="Times New Roman"/>
          <w:sz w:val="24"/>
          <w:szCs w:val="24"/>
        </w:rPr>
        <w:t xml:space="preserve">oduce distinct racial effects. In others words, </w:t>
      </w:r>
      <w:r w:rsidRPr="00473B8C">
        <w:rPr>
          <w:rFonts w:ascii="Garamond" w:hAnsi="Garamond" w:cs="Times New Roman"/>
          <w:sz w:val="24"/>
          <w:szCs w:val="24"/>
        </w:rPr>
        <w:t>racial assemblages are an ever-present dynamic in addressing these communicative problems.</w:t>
      </w:r>
    </w:p>
    <w:p w:rsidR="004A7172" w:rsidRDefault="004A7172" w:rsidP="00A05ED2">
      <w:pPr>
        <w:spacing w:after="0" w:line="360" w:lineRule="auto"/>
        <w:jc w:val="both"/>
        <w:rPr>
          <w:rFonts w:ascii="Garamond" w:hAnsi="Garamond" w:cs="Times New Roman"/>
          <w:b/>
          <w:i/>
          <w:szCs w:val="24"/>
        </w:rPr>
      </w:pPr>
    </w:p>
    <w:p w:rsidR="00A05ED2" w:rsidRPr="00737910" w:rsidRDefault="00A05ED2" w:rsidP="00A05ED2">
      <w:pPr>
        <w:spacing w:after="0" w:line="360" w:lineRule="auto"/>
        <w:jc w:val="both"/>
        <w:rPr>
          <w:rFonts w:ascii="Garamond" w:hAnsi="Garamond" w:cs="Times New Roman"/>
          <w:b/>
          <w:szCs w:val="24"/>
        </w:rPr>
      </w:pPr>
      <w:r w:rsidRPr="00737910">
        <w:rPr>
          <w:rFonts w:ascii="Garamond" w:hAnsi="Garamond" w:cs="Times New Roman"/>
          <w:b/>
          <w:i/>
          <w:szCs w:val="24"/>
        </w:rPr>
        <w:t>The liberal humanitarian paradigm</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STT frequently communicate to consumers through the language and grammar of liberal humanitarianism. In the </w:t>
      </w:r>
      <w:r>
        <w:rPr>
          <w:rFonts w:ascii="Garamond" w:hAnsi="Garamond" w:cs="Times New Roman"/>
          <w:sz w:val="24"/>
          <w:szCs w:val="24"/>
        </w:rPr>
        <w:t xml:space="preserve">second part of the </w:t>
      </w:r>
      <w:r w:rsidRPr="00473B8C">
        <w:rPr>
          <w:rFonts w:ascii="Garamond" w:hAnsi="Garamond" w:cs="Times New Roman"/>
          <w:sz w:val="24"/>
          <w:szCs w:val="24"/>
        </w:rPr>
        <w:t xml:space="preserve">previous </w:t>
      </w:r>
      <w:r>
        <w:rPr>
          <w:rFonts w:ascii="Garamond" w:hAnsi="Garamond" w:cs="Times New Roman"/>
          <w:sz w:val="24"/>
          <w:szCs w:val="24"/>
        </w:rPr>
        <w:t>chapter</w:t>
      </w:r>
      <w:r w:rsidRPr="00473B8C">
        <w:rPr>
          <w:rFonts w:ascii="Garamond" w:hAnsi="Garamond" w:cs="Times New Roman"/>
          <w:sz w:val="24"/>
          <w:szCs w:val="24"/>
        </w:rPr>
        <w:t>, I argued that</w:t>
      </w:r>
      <w:r>
        <w:rPr>
          <w:rFonts w:ascii="Garamond" w:hAnsi="Garamond" w:cs="Times New Roman"/>
          <w:sz w:val="24"/>
          <w:szCs w:val="24"/>
        </w:rPr>
        <w:t xml:space="preserve"> STT chocolate campaigns often focus on the child consumer as a means to produce a</w:t>
      </w:r>
      <w:r w:rsidRPr="00473B8C">
        <w:rPr>
          <w:rFonts w:ascii="Garamond" w:hAnsi="Garamond" w:cs="Times New Roman"/>
          <w:sz w:val="24"/>
          <w:szCs w:val="24"/>
        </w:rPr>
        <w:t xml:space="preserve"> wider global politics of responsibility. The politics of responsibility, I ar</w:t>
      </w:r>
      <w:r>
        <w:rPr>
          <w:rFonts w:ascii="Garamond" w:hAnsi="Garamond" w:cs="Times New Roman"/>
          <w:sz w:val="24"/>
          <w:szCs w:val="24"/>
        </w:rPr>
        <w:t>gued, tends to replace face-to-</w:t>
      </w:r>
      <w:r w:rsidRPr="00473B8C">
        <w:rPr>
          <w:rFonts w:ascii="Garamond" w:hAnsi="Garamond" w:cs="Times New Roman"/>
          <w:sz w:val="24"/>
          <w:szCs w:val="24"/>
        </w:rPr>
        <w:t>face communication between members of the subjugated group and interested activists with campaigns that repr</w:t>
      </w:r>
      <w:r>
        <w:rPr>
          <w:rFonts w:ascii="Garamond" w:hAnsi="Garamond" w:cs="Times New Roman"/>
          <w:sz w:val="24"/>
          <w:szCs w:val="24"/>
        </w:rPr>
        <w:t xml:space="preserve">esent suffering from a distance, focussing on </w:t>
      </w:r>
      <w:r w:rsidRPr="00473B8C">
        <w:rPr>
          <w:rFonts w:ascii="Garamond" w:hAnsi="Garamond" w:cs="Times New Roman"/>
          <w:sz w:val="24"/>
          <w:szCs w:val="24"/>
        </w:rPr>
        <w:t>individual philanthropist motivations. Whereas a politics of solidarity requires sacrifices on both sides (which</w:t>
      </w:r>
      <w:r>
        <w:rPr>
          <w:rFonts w:ascii="Garamond" w:hAnsi="Garamond" w:cs="Times New Roman"/>
          <w:sz w:val="24"/>
          <w:szCs w:val="24"/>
        </w:rPr>
        <w:t>,</w:t>
      </w:r>
      <w:r w:rsidRPr="00473B8C">
        <w:rPr>
          <w:rFonts w:ascii="Garamond" w:hAnsi="Garamond" w:cs="Times New Roman"/>
          <w:sz w:val="24"/>
          <w:szCs w:val="24"/>
        </w:rPr>
        <w:t xml:space="preserve"> during apartheid, was epitomized by the sacrifices of black labourers </w:t>
      </w:r>
      <w:r w:rsidRPr="00473B8C">
        <w:rPr>
          <w:rFonts w:ascii="Garamond" w:hAnsi="Garamond" w:cs="Times New Roman"/>
          <w:sz w:val="24"/>
          <w:szCs w:val="24"/>
        </w:rPr>
        <w:lastRenderedPageBreak/>
        <w:t>sanctioned by both SACTU and the ANC), the politics of global responsibility starts from the position that the subjugated other has literally nothi</w:t>
      </w:r>
      <w:r w:rsidRPr="00473B8C">
        <w:rPr>
          <w:rFonts w:ascii="Garamond" w:hAnsi="Garamond" w:cs="Times New Roman"/>
        </w:rPr>
        <w:t>n</w:t>
      </w:r>
      <w:r w:rsidRPr="00473B8C">
        <w:rPr>
          <w:rFonts w:ascii="Garamond" w:hAnsi="Garamond" w:cs="Times New Roman"/>
          <w:sz w:val="24"/>
          <w:szCs w:val="24"/>
        </w:rPr>
        <w:t>g to sacrifice and therefore actions must be made on behalf of, rather than with</w:t>
      </w:r>
      <w:r>
        <w:rPr>
          <w:rFonts w:ascii="Garamond" w:hAnsi="Garamond" w:cs="Times New Roman"/>
          <w:sz w:val="24"/>
          <w:szCs w:val="24"/>
        </w:rPr>
        <w:t>,</w:t>
      </w:r>
      <w:r w:rsidRPr="00473B8C">
        <w:rPr>
          <w:rFonts w:ascii="Garamond" w:hAnsi="Garamond" w:cs="Times New Roman"/>
          <w:sz w:val="24"/>
          <w:szCs w:val="24"/>
        </w:rPr>
        <w:t xml:space="preserve"> the suffering group. </w:t>
      </w:r>
      <w:r>
        <w:rPr>
          <w:rFonts w:ascii="Garamond" w:hAnsi="Garamond" w:cs="Times New Roman"/>
          <w:sz w:val="24"/>
          <w:szCs w:val="24"/>
        </w:rPr>
        <w:t>A distinction needs to be made, then, between responsibility and solidarity.</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My conception of solidarity differs from many contemporary analyses in communication theory and geographies of consumption which, I believe, tend to problematically conflate the notion of solidarity with philanthropy and pity</w:t>
      </w:r>
      <w:r>
        <w:rPr>
          <w:rFonts w:ascii="Garamond" w:hAnsi="Garamond" w:cs="Times New Roman"/>
          <w:sz w:val="24"/>
          <w:szCs w:val="24"/>
        </w:rPr>
        <w:t>.</w:t>
      </w:r>
      <w:r w:rsidRPr="00473B8C">
        <w:rPr>
          <w:rFonts w:ascii="Garamond" w:hAnsi="Garamond" w:cs="Times New Roman"/>
          <w:sz w:val="24"/>
          <w:szCs w:val="24"/>
        </w:rPr>
        <w:t xml:space="preserve"> For example, in describing the mediation of humanitarianism, Chouliaraki (2011</w:t>
      </w:r>
      <w:r>
        <w:rPr>
          <w:rFonts w:ascii="Garamond" w:hAnsi="Garamond" w:cs="Times New Roman"/>
          <w:sz w:val="24"/>
          <w:szCs w:val="24"/>
        </w:rPr>
        <w:t>b</w:t>
      </w:r>
      <w:r w:rsidRPr="00473B8C">
        <w:rPr>
          <w:rFonts w:ascii="Garamond" w:hAnsi="Garamond" w:cs="Times New Roman"/>
          <w:sz w:val="24"/>
          <w:szCs w:val="24"/>
        </w:rPr>
        <w:t>) goes so far as</w:t>
      </w:r>
      <w:r>
        <w:rPr>
          <w:rFonts w:ascii="Garamond" w:hAnsi="Garamond" w:cs="Times New Roman"/>
          <w:sz w:val="24"/>
          <w:szCs w:val="24"/>
        </w:rPr>
        <w:t xml:space="preserve"> to</w:t>
      </w:r>
      <w:r w:rsidRPr="00473B8C">
        <w:rPr>
          <w:rFonts w:ascii="Garamond" w:hAnsi="Garamond" w:cs="Times New Roman"/>
          <w:sz w:val="24"/>
          <w:szCs w:val="24"/>
        </w:rPr>
        <w:t xml:space="preserve"> describ</w:t>
      </w:r>
      <w:r>
        <w:rPr>
          <w:rFonts w:ascii="Garamond" w:hAnsi="Garamond" w:cs="Times New Roman"/>
          <w:sz w:val="24"/>
          <w:szCs w:val="24"/>
        </w:rPr>
        <w:t>e</w:t>
      </w:r>
      <w:r w:rsidRPr="00473B8C">
        <w:rPr>
          <w:rFonts w:ascii="Garamond" w:hAnsi="Garamond" w:cs="Times New Roman"/>
          <w:sz w:val="24"/>
          <w:szCs w:val="24"/>
        </w:rPr>
        <w:t xml:space="preserve"> pity, irony, and agonism as different paradigms of solidarity, “highlighting the different ways in which their particular articulations of proximity</w:t>
      </w:r>
      <w:r w:rsidRPr="00473B8C">
        <w:rPr>
          <w:rFonts w:ascii="Cambria Math" w:hAnsi="Cambria Math" w:cs="Cambria Math"/>
          <w:sz w:val="24"/>
          <w:szCs w:val="24"/>
        </w:rPr>
        <w:t>‐</w:t>
      </w:r>
      <w:r w:rsidRPr="00473B8C">
        <w:rPr>
          <w:rFonts w:ascii="Garamond" w:hAnsi="Garamond" w:cs="Times New Roman"/>
          <w:sz w:val="24"/>
          <w:szCs w:val="24"/>
        </w:rPr>
        <w:t>distance” create “distinct proposals for solidarity towards vulnerable others” (2011: 363). I believe this confusion has proliferated because the common use of the statement ‘to show solidarity with’ is morphed into dialogue on ‘solidarity networks’ w</w:t>
      </w:r>
      <w:r>
        <w:rPr>
          <w:rFonts w:ascii="Garamond" w:hAnsi="Garamond" w:cs="Times New Roman"/>
          <w:sz w:val="24"/>
          <w:szCs w:val="24"/>
        </w:rPr>
        <w:t>ithout sufficient critical reflexivity.</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This conversion is demonstrated in Goodman’s lucid (2004) paper, </w:t>
      </w:r>
      <w:r w:rsidRPr="00473B8C">
        <w:rPr>
          <w:rFonts w:ascii="Garamond" w:hAnsi="Garamond" w:cs="Times New Roman"/>
          <w:i/>
          <w:sz w:val="24"/>
          <w:szCs w:val="24"/>
        </w:rPr>
        <w:t xml:space="preserve">Reading fair trade: political ecological imaginary and the moral economy of fair trade foods. </w:t>
      </w:r>
      <w:r w:rsidRPr="00473B8C">
        <w:rPr>
          <w:rFonts w:ascii="Garamond" w:hAnsi="Garamond" w:cs="Times New Roman"/>
          <w:sz w:val="24"/>
          <w:szCs w:val="24"/>
        </w:rPr>
        <w:t>At the outset</w:t>
      </w:r>
      <w:r>
        <w:rPr>
          <w:rFonts w:ascii="Garamond" w:hAnsi="Garamond" w:cs="Times New Roman"/>
          <w:sz w:val="24"/>
          <w:szCs w:val="24"/>
        </w:rPr>
        <w:t>,</w:t>
      </w:r>
      <w:r w:rsidRPr="00473B8C">
        <w:rPr>
          <w:rFonts w:ascii="Garamond" w:hAnsi="Garamond" w:cs="Times New Roman"/>
          <w:sz w:val="24"/>
          <w:szCs w:val="24"/>
        </w:rPr>
        <w:t xml:space="preserve"> Goodman identifies several racialized ways in which fair</w:t>
      </w:r>
      <w:r>
        <w:rPr>
          <w:rFonts w:ascii="Garamond" w:hAnsi="Garamond" w:cs="Times New Roman"/>
          <w:sz w:val="24"/>
          <w:szCs w:val="24"/>
        </w:rPr>
        <w:t xml:space="preserve"> </w:t>
      </w:r>
      <w:r w:rsidRPr="00473B8C">
        <w:rPr>
          <w:rFonts w:ascii="Garamond" w:hAnsi="Garamond" w:cs="Times New Roman"/>
          <w:sz w:val="24"/>
          <w:szCs w:val="24"/>
        </w:rPr>
        <w:t>trade food companies create fetishized meanings that “Northern consumers can achieve solidarity by helping to save” (2004:</w:t>
      </w:r>
      <w:r>
        <w:rPr>
          <w:rFonts w:ascii="Garamond" w:hAnsi="Garamond" w:cs="Times New Roman"/>
          <w:sz w:val="24"/>
          <w:szCs w:val="24"/>
        </w:rPr>
        <w:t xml:space="preserve"> </w:t>
      </w:r>
      <w:r w:rsidRPr="00473B8C">
        <w:rPr>
          <w:rFonts w:ascii="Garamond" w:hAnsi="Garamond" w:cs="Times New Roman"/>
          <w:sz w:val="24"/>
          <w:szCs w:val="24"/>
        </w:rPr>
        <w:t>902). In the latter half of the paper, the author identifies the fair</w:t>
      </w:r>
      <w:r>
        <w:rPr>
          <w:rFonts w:ascii="Garamond" w:hAnsi="Garamond" w:cs="Times New Roman"/>
          <w:sz w:val="24"/>
          <w:szCs w:val="24"/>
        </w:rPr>
        <w:t xml:space="preserve"> </w:t>
      </w:r>
      <w:r w:rsidRPr="00473B8C">
        <w:rPr>
          <w:rFonts w:ascii="Garamond" w:hAnsi="Garamond" w:cs="Times New Roman"/>
          <w:sz w:val="24"/>
          <w:szCs w:val="24"/>
        </w:rPr>
        <w:t xml:space="preserve">trade idea of ‘solidarity in difference’ as a moral connective device between southern producers and northern consumers: “at the heart of this expansive relational ethics is a recognition and promotion of </w:t>
      </w:r>
      <w:r w:rsidRPr="00473B8C">
        <w:rPr>
          <w:rFonts w:ascii="Garamond" w:hAnsi="Garamond" w:cs="Times New Roman"/>
          <w:i/>
          <w:sz w:val="24"/>
          <w:szCs w:val="24"/>
        </w:rPr>
        <w:t>solidarity in difference</w:t>
      </w:r>
      <w:r w:rsidRPr="00473B8C">
        <w:rPr>
          <w:rFonts w:ascii="Garamond" w:hAnsi="Garamond" w:cs="Times New Roman"/>
          <w:sz w:val="24"/>
          <w:szCs w:val="24"/>
        </w:rPr>
        <w:t>”. Fair</w:t>
      </w:r>
      <w:r>
        <w:rPr>
          <w:rFonts w:ascii="Garamond" w:hAnsi="Garamond" w:cs="Times New Roman"/>
          <w:sz w:val="24"/>
          <w:szCs w:val="24"/>
        </w:rPr>
        <w:t xml:space="preserve"> </w:t>
      </w:r>
      <w:r w:rsidRPr="00473B8C">
        <w:rPr>
          <w:rFonts w:ascii="Garamond" w:hAnsi="Garamond" w:cs="Times New Roman"/>
          <w:sz w:val="24"/>
          <w:szCs w:val="24"/>
        </w:rPr>
        <w:t>trade can overcome these differences with “a move toward a more social justice-like vision of equality in ‘the good life’” (2004: 906)</w:t>
      </w:r>
      <w:r>
        <w:rPr>
          <w:rFonts w:ascii="Garamond" w:hAnsi="Garamond" w:cs="Times New Roman"/>
          <w:sz w:val="24"/>
          <w:szCs w:val="24"/>
        </w:rPr>
        <w:t>. Clarke et al. (2007b</w:t>
      </w:r>
      <w:r w:rsidRPr="00473B8C">
        <w:rPr>
          <w:rFonts w:ascii="Garamond" w:hAnsi="Garamond" w:cs="Times New Roman"/>
          <w:sz w:val="24"/>
          <w:szCs w:val="24"/>
        </w:rPr>
        <w:t>) contribute to a consumer</w:t>
      </w:r>
      <w:r>
        <w:rPr>
          <w:rFonts w:ascii="Garamond" w:hAnsi="Garamond" w:cs="Times New Roman"/>
          <w:sz w:val="24"/>
          <w:szCs w:val="24"/>
        </w:rPr>
        <w:t>-based</w:t>
      </w:r>
      <w:r w:rsidRPr="00473B8C">
        <w:rPr>
          <w:rFonts w:ascii="Garamond" w:hAnsi="Garamond" w:cs="Times New Roman"/>
          <w:sz w:val="24"/>
          <w:szCs w:val="24"/>
        </w:rPr>
        <w:t xml:space="preserve"> solidarity politics by arguing that certification devices such as purchasing indices and shopping guides can de-territorialize the solidarities of ethical consumption.</w:t>
      </w:r>
      <w:r>
        <w:rPr>
          <w:rFonts w:ascii="Garamond" w:hAnsi="Garamond" w:cs="Times New Roman"/>
          <w:sz w:val="24"/>
          <w:szCs w:val="24"/>
        </w:rPr>
        <w:t xml:space="preserve"> </w:t>
      </w:r>
      <w:r w:rsidRPr="00473B8C">
        <w:rPr>
          <w:rFonts w:ascii="Garamond" w:hAnsi="Garamond" w:cs="Times New Roman"/>
          <w:sz w:val="24"/>
          <w:szCs w:val="24"/>
        </w:rPr>
        <w:t>In effect, solidarity becomes a fetishized discurs</w:t>
      </w:r>
      <w:r>
        <w:rPr>
          <w:rFonts w:ascii="Garamond" w:hAnsi="Garamond" w:cs="Times New Roman"/>
          <w:sz w:val="24"/>
          <w:szCs w:val="24"/>
        </w:rPr>
        <w:t>ive site ‘of the good life’ for consumers to buy into. Although this democraticizes solidarity so that it becomes available to all who choose (and can afford) to buy fair trade, there is a danger here. Potentially, such</w:t>
      </w:r>
      <w:r w:rsidRPr="00473B8C">
        <w:rPr>
          <w:rFonts w:ascii="Garamond" w:hAnsi="Garamond" w:cs="Times New Roman"/>
          <w:sz w:val="24"/>
          <w:szCs w:val="24"/>
        </w:rPr>
        <w:t xml:space="preserve"> conceptions of </w:t>
      </w:r>
      <w:r>
        <w:rPr>
          <w:rFonts w:ascii="Garamond" w:hAnsi="Garamond" w:cs="Times New Roman"/>
          <w:sz w:val="24"/>
          <w:szCs w:val="24"/>
        </w:rPr>
        <w:t xml:space="preserve">the politics of </w:t>
      </w:r>
      <w:r w:rsidRPr="00473B8C">
        <w:rPr>
          <w:rFonts w:ascii="Garamond" w:hAnsi="Garamond" w:cs="Times New Roman"/>
          <w:sz w:val="24"/>
          <w:szCs w:val="24"/>
        </w:rPr>
        <w:t xml:space="preserve">solidarity give too much agency to the consumer at the expense of the producer. Consumer philanthropy is dressed up as solidarity – and shoppers are presented with the chance to </w:t>
      </w:r>
      <w:r>
        <w:rPr>
          <w:rFonts w:ascii="Garamond" w:hAnsi="Garamond" w:cs="Times New Roman"/>
          <w:i/>
          <w:sz w:val="24"/>
          <w:szCs w:val="24"/>
        </w:rPr>
        <w:t>buy</w:t>
      </w:r>
      <w:r w:rsidRPr="00473B8C">
        <w:rPr>
          <w:rFonts w:ascii="Garamond" w:hAnsi="Garamond" w:cs="Times New Roman"/>
          <w:sz w:val="24"/>
          <w:szCs w:val="24"/>
        </w:rPr>
        <w:t xml:space="preserve"> solidarity. As </w:t>
      </w:r>
      <w:r>
        <w:rPr>
          <w:rFonts w:ascii="Garamond" w:hAnsi="Garamond" w:cs="Times New Roman"/>
          <w:sz w:val="24"/>
          <w:szCs w:val="24"/>
        </w:rPr>
        <w:t xml:space="preserve">Losurdo (2011) </w:t>
      </w:r>
      <w:r w:rsidRPr="00473B8C">
        <w:rPr>
          <w:rFonts w:ascii="Garamond" w:hAnsi="Garamond" w:cs="Times New Roman"/>
          <w:sz w:val="24"/>
          <w:szCs w:val="24"/>
        </w:rPr>
        <w:t xml:space="preserve">posits in his counter-history of liberalism, the ‘good life’ of individual liberty and egalitarianism was often made at the expense of the </w:t>
      </w:r>
      <w:r>
        <w:rPr>
          <w:rFonts w:ascii="Garamond" w:hAnsi="Garamond" w:cs="Times New Roman"/>
          <w:sz w:val="24"/>
          <w:szCs w:val="24"/>
        </w:rPr>
        <w:t>unemancipated. P</w:t>
      </w:r>
      <w:r w:rsidRPr="00473B8C">
        <w:rPr>
          <w:rFonts w:ascii="Garamond" w:hAnsi="Garamond" w:cs="Times New Roman"/>
          <w:sz w:val="24"/>
          <w:szCs w:val="24"/>
        </w:rPr>
        <w:t xml:space="preserve">hilanthropy in the guise of a politics of solidarity risks continuing this </w:t>
      </w:r>
      <w:r w:rsidRPr="00473B8C">
        <w:rPr>
          <w:rFonts w:ascii="Garamond" w:hAnsi="Garamond" w:cs="Times New Roman"/>
          <w:sz w:val="24"/>
          <w:szCs w:val="24"/>
        </w:rPr>
        <w:lastRenderedPageBreak/>
        <w:t>dialectic. Solidarity here is a neoliberal type of “expert social admi</w:t>
      </w:r>
      <w:r>
        <w:rPr>
          <w:rFonts w:ascii="Garamond" w:hAnsi="Garamond" w:cs="Times New Roman"/>
          <w:sz w:val="24"/>
          <w:szCs w:val="24"/>
        </w:rPr>
        <w:t>nistration” (Zi</w:t>
      </w:r>
      <w:r w:rsidRPr="008E1016">
        <w:rPr>
          <w:rFonts w:ascii="Times New Roman" w:hAnsi="Times New Roman" w:cs="Times New Roman"/>
          <w:sz w:val="20"/>
          <w:szCs w:val="24"/>
        </w:rPr>
        <w:t>ž</w:t>
      </w:r>
      <w:r>
        <w:rPr>
          <w:rFonts w:ascii="Garamond" w:hAnsi="Garamond" w:cs="Times New Roman"/>
          <w:sz w:val="24"/>
          <w:szCs w:val="24"/>
        </w:rPr>
        <w:t xml:space="preserve">ek, 2005: 117) </w:t>
      </w:r>
      <w:r w:rsidRPr="00473B8C">
        <w:rPr>
          <w:rFonts w:ascii="Garamond" w:hAnsi="Garamond" w:cs="Times New Roman"/>
          <w:sz w:val="24"/>
          <w:szCs w:val="24"/>
        </w:rPr>
        <w:t xml:space="preserve">that enables the consumer to exercise their individual moral right. </w:t>
      </w:r>
      <w:r>
        <w:rPr>
          <w:rFonts w:ascii="Garamond" w:hAnsi="Garamond" w:cs="Times New Roman"/>
          <w:sz w:val="24"/>
          <w:szCs w:val="24"/>
        </w:rPr>
        <w:t>T</w:t>
      </w:r>
      <w:r w:rsidRPr="00473B8C">
        <w:rPr>
          <w:rFonts w:ascii="Garamond" w:hAnsi="Garamond" w:cs="Times New Roman"/>
          <w:sz w:val="24"/>
          <w:szCs w:val="24"/>
        </w:rPr>
        <w:t xml:space="preserve">his post-political </w:t>
      </w:r>
      <w:r>
        <w:rPr>
          <w:rFonts w:ascii="Garamond" w:hAnsi="Garamond" w:cs="Times New Roman"/>
          <w:sz w:val="24"/>
          <w:szCs w:val="24"/>
        </w:rPr>
        <w:t>form</w:t>
      </w:r>
      <w:r w:rsidRPr="00473B8C">
        <w:rPr>
          <w:rFonts w:ascii="Garamond" w:hAnsi="Garamond" w:cs="Times New Roman"/>
          <w:sz w:val="24"/>
          <w:szCs w:val="24"/>
        </w:rPr>
        <w:t xml:space="preserve"> of solidarity erases the material difference between producers and consumers, and in its lack of reflexivity it risks whitening the lines of communication between consumer</w:t>
      </w:r>
      <w:r>
        <w:rPr>
          <w:rFonts w:ascii="Garamond" w:hAnsi="Garamond" w:cs="Times New Roman"/>
          <w:sz w:val="24"/>
          <w:szCs w:val="24"/>
        </w:rPr>
        <w:t>s</w:t>
      </w:r>
      <w:r w:rsidRPr="00473B8C">
        <w:rPr>
          <w:rFonts w:ascii="Garamond" w:hAnsi="Garamond" w:cs="Times New Roman"/>
          <w:sz w:val="24"/>
          <w:szCs w:val="24"/>
        </w:rPr>
        <w:t xml:space="preserve"> and producers.</w:t>
      </w:r>
    </w:p>
    <w:p w:rsidR="00A05ED2" w:rsidRDefault="00A05ED2" w:rsidP="00A05ED2">
      <w:pPr>
        <w:spacing w:after="0" w:line="360" w:lineRule="auto"/>
        <w:jc w:val="both"/>
        <w:rPr>
          <w:rFonts w:ascii="Garamond" w:hAnsi="Garamond" w:cs="Times New Roman"/>
          <w:sz w:val="24"/>
          <w:szCs w:val="24"/>
        </w:rPr>
      </w:pPr>
    </w:p>
    <w:p w:rsidR="00A05ED2" w:rsidRPr="008E1016"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During the 1960s and </w:t>
      </w:r>
      <w:r>
        <w:rPr>
          <w:rFonts w:ascii="Garamond" w:hAnsi="Garamond" w:cs="Times New Roman"/>
          <w:sz w:val="24"/>
          <w:szCs w:val="24"/>
        </w:rPr>
        <w:t>19</w:t>
      </w:r>
      <w:r w:rsidRPr="00473B8C">
        <w:rPr>
          <w:rFonts w:ascii="Garamond" w:hAnsi="Garamond" w:cs="Times New Roman"/>
          <w:sz w:val="24"/>
          <w:szCs w:val="24"/>
        </w:rPr>
        <w:t xml:space="preserve">70s solidarity became the leitmotiv of the global anti-apartheid movement, and as such it was repeated ad </w:t>
      </w:r>
      <w:r>
        <w:rPr>
          <w:rFonts w:ascii="Garamond" w:hAnsi="Garamond" w:cs="Times New Roman"/>
          <w:sz w:val="24"/>
          <w:szCs w:val="24"/>
        </w:rPr>
        <w:t>nausea</w:t>
      </w:r>
      <w:r w:rsidRPr="00473B8C">
        <w:rPr>
          <w:rFonts w:ascii="Garamond" w:hAnsi="Garamond" w:cs="Times New Roman"/>
          <w:sz w:val="24"/>
          <w:szCs w:val="24"/>
        </w:rPr>
        <w:t>m by activists and scholars alike to emphasize commitment to the cause (</w:t>
      </w:r>
      <w:r w:rsidRPr="00D30E2F">
        <w:rPr>
          <w:rFonts w:ascii="Garamond" w:hAnsi="Garamond" w:cs="Garamond"/>
          <w:sz w:val="24"/>
          <w:szCs w:val="24"/>
        </w:rPr>
        <w:t>Thörn</w:t>
      </w:r>
      <w:r>
        <w:rPr>
          <w:rFonts w:ascii="Garamond" w:hAnsi="Garamond" w:cs="Times New Roman"/>
          <w:sz w:val="24"/>
          <w:szCs w:val="24"/>
        </w:rPr>
        <w:t>, 2007</w:t>
      </w:r>
      <w:r w:rsidRPr="00473B8C">
        <w:rPr>
          <w:rFonts w:ascii="Garamond" w:hAnsi="Garamond" w:cs="Times New Roman"/>
          <w:sz w:val="24"/>
          <w:szCs w:val="24"/>
        </w:rPr>
        <w:t>). The genealogical and materialist history of solidarity (from French ‘solidaire’, meaning interdependence) shows how it came to mean the collective interdependence of individuals acting together towards an organic</w:t>
      </w:r>
      <w:r>
        <w:rPr>
          <w:rFonts w:ascii="Garamond" w:hAnsi="Garamond" w:cs="Times New Roman"/>
          <w:sz w:val="24"/>
          <w:szCs w:val="24"/>
        </w:rPr>
        <w:t xml:space="preserve"> goal or end (see Durkheim, 1986</w:t>
      </w:r>
      <w:r w:rsidRPr="00473B8C">
        <w:rPr>
          <w:rFonts w:ascii="Garamond" w:hAnsi="Garamond" w:cs="Times New Roman"/>
          <w:sz w:val="24"/>
          <w:szCs w:val="24"/>
        </w:rPr>
        <w:t>)</w:t>
      </w:r>
      <w:r>
        <w:rPr>
          <w:rFonts w:ascii="Garamond" w:hAnsi="Garamond" w:cs="Times New Roman"/>
          <w:sz w:val="24"/>
          <w:szCs w:val="24"/>
        </w:rPr>
        <w:t xml:space="preserve">. Through this etymology, solidarity </w:t>
      </w:r>
      <w:r w:rsidRPr="00473B8C">
        <w:rPr>
          <w:rFonts w:ascii="Garamond" w:hAnsi="Garamond" w:cs="Times New Roman"/>
          <w:sz w:val="24"/>
          <w:szCs w:val="24"/>
        </w:rPr>
        <w:t>can be understood as the trust created through mutual struggle in or across societies. A politics of solidarity can only emerge through the construction of a collective social movement and not through spontaneous engagements with the market:</w:t>
      </w:r>
    </w:p>
    <w:p w:rsidR="00A05ED2" w:rsidRDefault="00A05ED2" w:rsidP="00A05ED2">
      <w:pPr>
        <w:spacing w:after="0" w:line="360" w:lineRule="auto"/>
        <w:ind w:left="284" w:right="284"/>
        <w:rPr>
          <w:rFonts w:ascii="Garamond" w:eastAsia="Times New Roman" w:hAnsi="Garamond" w:cs="Times New Roman"/>
          <w:lang w:eastAsia="en-GB"/>
        </w:rPr>
      </w:pPr>
    </w:p>
    <w:p w:rsidR="00A05ED2" w:rsidRPr="00293D4C" w:rsidRDefault="00A05ED2" w:rsidP="00A05ED2">
      <w:pPr>
        <w:spacing w:after="0" w:line="360" w:lineRule="auto"/>
        <w:ind w:left="284" w:right="284"/>
        <w:rPr>
          <w:rFonts w:ascii="Garamond" w:eastAsia="Times New Roman" w:hAnsi="Garamond" w:cs="Times New Roman"/>
          <w:lang w:eastAsia="en-GB"/>
        </w:rPr>
      </w:pPr>
      <w:r w:rsidRPr="00293D4C">
        <w:rPr>
          <w:rFonts w:ascii="Garamond" w:eastAsia="Times New Roman" w:hAnsi="Garamond" w:cs="Times New Roman"/>
          <w:lang w:eastAsia="en-GB"/>
        </w:rPr>
        <w:t xml:space="preserve">Solidarity means giving support to a stranger </w:t>
      </w:r>
      <w:r w:rsidRPr="00293D4C">
        <w:rPr>
          <w:rFonts w:ascii="Garamond" w:eastAsia="Times New Roman" w:hAnsi="Garamond" w:cs="Times New Roman"/>
          <w:i/>
          <w:iCs/>
          <w:lang w:eastAsia="en-GB"/>
        </w:rPr>
        <w:t>on their own terms</w:t>
      </w:r>
      <w:r w:rsidRPr="00293D4C">
        <w:rPr>
          <w:rFonts w:ascii="Garamond" w:eastAsia="Times New Roman" w:hAnsi="Garamond" w:cs="Times New Roman"/>
          <w:lang w:eastAsia="en-GB"/>
        </w:rPr>
        <w:t xml:space="preserve">; so solidarity differs from </w:t>
      </w:r>
      <w:hyperlink r:id="rId99" w:anchor="community" w:history="1">
        <w:r w:rsidRPr="00293D4C">
          <w:rPr>
            <w:rFonts w:ascii="Garamond" w:eastAsia="Times New Roman" w:hAnsi="Garamond" w:cs="Times New Roman"/>
            <w:lang w:eastAsia="en-GB"/>
          </w:rPr>
          <w:t>community</w:t>
        </w:r>
      </w:hyperlink>
      <w:r w:rsidRPr="00293D4C">
        <w:rPr>
          <w:rFonts w:ascii="Garamond" w:eastAsia="Times New Roman" w:hAnsi="Garamond" w:cs="Times New Roman"/>
          <w:lang w:eastAsia="en-GB"/>
        </w:rPr>
        <w:t xml:space="preserve"> because it is extended to </w:t>
      </w:r>
      <w:r w:rsidRPr="00293D4C">
        <w:rPr>
          <w:rFonts w:ascii="Garamond" w:eastAsia="Times New Roman" w:hAnsi="Garamond" w:cs="Times New Roman"/>
          <w:i/>
          <w:iCs/>
          <w:lang w:eastAsia="en-GB"/>
        </w:rPr>
        <w:t>strangers</w:t>
      </w:r>
      <w:r w:rsidRPr="00293D4C">
        <w:rPr>
          <w:rFonts w:ascii="Garamond" w:eastAsia="Times New Roman" w:hAnsi="Garamond" w:cs="Times New Roman"/>
          <w:lang w:eastAsia="en-GB"/>
        </w:rPr>
        <w:t xml:space="preserve">, and differs from </w:t>
      </w:r>
      <w:hyperlink r:id="rId100" w:anchor="philanthropy" w:history="1">
        <w:r w:rsidRPr="00293D4C">
          <w:rPr>
            <w:rFonts w:ascii="Garamond" w:eastAsia="Times New Roman" w:hAnsi="Garamond" w:cs="Times New Roman"/>
            <w:lang w:eastAsia="en-GB"/>
          </w:rPr>
          <w:t>philanthropy</w:t>
        </w:r>
      </w:hyperlink>
      <w:r w:rsidRPr="00293D4C">
        <w:rPr>
          <w:rFonts w:ascii="Garamond" w:eastAsia="Times New Roman" w:hAnsi="Garamond" w:cs="Times New Roman"/>
          <w:lang w:eastAsia="en-GB"/>
        </w:rPr>
        <w:t xml:space="preserve"> because it is given on the stranger’s </w:t>
      </w:r>
      <w:r w:rsidRPr="00293D4C">
        <w:rPr>
          <w:rFonts w:ascii="Garamond" w:eastAsia="Times New Roman" w:hAnsi="Garamond" w:cs="Times New Roman"/>
          <w:i/>
          <w:iCs/>
          <w:lang w:eastAsia="en-GB"/>
        </w:rPr>
        <w:t>own terms</w:t>
      </w:r>
      <w:r w:rsidRPr="00293D4C">
        <w:rPr>
          <w:rFonts w:ascii="Garamond" w:eastAsia="Times New Roman" w:hAnsi="Garamond" w:cs="Times New Roman"/>
          <w:lang w:eastAsia="en-GB"/>
        </w:rPr>
        <w:t>, not that of the giver. (</w:t>
      </w:r>
      <w:r w:rsidRPr="00293D4C">
        <w:rPr>
          <w:rFonts w:ascii="Garamond" w:hAnsi="Garamond"/>
        </w:rPr>
        <w:t>Encyclopaedia of Marxism, 2012)</w:t>
      </w:r>
    </w:p>
    <w:p w:rsidR="00A05ED2" w:rsidRDefault="00A05ED2" w:rsidP="00A05ED2">
      <w:pPr>
        <w:spacing w:after="0" w:line="360" w:lineRule="auto"/>
        <w:jc w:val="both"/>
        <w:rPr>
          <w:rFonts w:ascii="Garamond" w:hAnsi="Garamond" w:cs="Times New Roman"/>
          <w:sz w:val="24"/>
          <w:szCs w:val="24"/>
        </w:rPr>
      </w:pP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The transnational solidar</w:t>
      </w:r>
      <w:r>
        <w:rPr>
          <w:rFonts w:ascii="Garamond" w:hAnsi="Garamond" w:cs="Times New Roman"/>
          <w:sz w:val="24"/>
          <w:szCs w:val="24"/>
        </w:rPr>
        <w:t>ities between workers, feminists</w:t>
      </w:r>
      <w:r w:rsidRPr="00473B8C">
        <w:rPr>
          <w:rFonts w:ascii="Garamond" w:hAnsi="Garamond" w:cs="Times New Roman"/>
          <w:sz w:val="24"/>
          <w:szCs w:val="24"/>
        </w:rPr>
        <w:t xml:space="preserve"> </w:t>
      </w:r>
      <w:r>
        <w:rPr>
          <w:rFonts w:ascii="Garamond" w:hAnsi="Garamond" w:cs="Times New Roman"/>
          <w:sz w:val="24"/>
          <w:szCs w:val="24"/>
        </w:rPr>
        <w:t xml:space="preserve">(Midgley, 2007), </w:t>
      </w:r>
      <w:r w:rsidRPr="00473B8C">
        <w:rPr>
          <w:rFonts w:ascii="Garamond" w:hAnsi="Garamond" w:cs="Times New Roman"/>
          <w:sz w:val="24"/>
          <w:szCs w:val="24"/>
        </w:rPr>
        <w:t>antiracists (Featherstone, 20</w:t>
      </w:r>
      <w:r>
        <w:rPr>
          <w:rFonts w:ascii="Garamond" w:hAnsi="Garamond" w:cs="Times New Roman"/>
          <w:sz w:val="24"/>
          <w:szCs w:val="24"/>
        </w:rPr>
        <w:t>12), and refugees (Goodman, 2009</w:t>
      </w:r>
      <w:r w:rsidRPr="00473B8C">
        <w:rPr>
          <w:rFonts w:ascii="Garamond" w:hAnsi="Garamond" w:cs="Times New Roman"/>
          <w:sz w:val="24"/>
          <w:szCs w:val="24"/>
        </w:rPr>
        <w:t>) have often constituted solidarity networks</w:t>
      </w:r>
      <w:r>
        <w:rPr>
          <w:rFonts w:ascii="Garamond" w:hAnsi="Garamond" w:cs="Times New Roman"/>
          <w:sz w:val="24"/>
          <w:szCs w:val="24"/>
        </w:rPr>
        <w:t xml:space="preserve"> (Wolman, 1914; </w:t>
      </w:r>
      <w:r w:rsidRPr="00D30E2F">
        <w:rPr>
          <w:rFonts w:ascii="Garamond" w:hAnsi="Garamond" w:cs="Garamond"/>
          <w:sz w:val="24"/>
          <w:szCs w:val="24"/>
        </w:rPr>
        <w:t>Luckhardt</w:t>
      </w:r>
      <w:r>
        <w:rPr>
          <w:rFonts w:ascii="Garamond" w:hAnsi="Garamond" w:cs="Garamond"/>
          <w:sz w:val="24"/>
          <w:szCs w:val="24"/>
        </w:rPr>
        <w:t xml:space="preserve"> </w:t>
      </w:r>
      <w:r w:rsidR="00F152DB">
        <w:rPr>
          <w:rFonts w:ascii="Garamond" w:hAnsi="Garamond" w:cs="Garamond"/>
          <w:sz w:val="24"/>
          <w:szCs w:val="24"/>
        </w:rPr>
        <w:t>and</w:t>
      </w:r>
      <w:r>
        <w:rPr>
          <w:rFonts w:ascii="Garamond" w:hAnsi="Garamond" w:cs="Garamond"/>
          <w:sz w:val="24"/>
          <w:szCs w:val="24"/>
        </w:rPr>
        <w:t xml:space="preserve"> </w:t>
      </w:r>
      <w:r w:rsidRPr="00D30E2F">
        <w:rPr>
          <w:rFonts w:ascii="Garamond" w:hAnsi="Garamond" w:cs="Garamond"/>
          <w:sz w:val="24"/>
          <w:szCs w:val="24"/>
        </w:rPr>
        <w:t>Wall</w:t>
      </w:r>
      <w:r>
        <w:rPr>
          <w:rFonts w:ascii="Garamond" w:hAnsi="Garamond" w:cs="Times New Roman"/>
          <w:sz w:val="24"/>
          <w:szCs w:val="24"/>
        </w:rPr>
        <w:t>, 1980). From their development in unionism and anti-colonial politics, b</w:t>
      </w:r>
      <w:r w:rsidRPr="00473B8C">
        <w:rPr>
          <w:rFonts w:ascii="Garamond" w:hAnsi="Garamond" w:cs="Times New Roman"/>
          <w:sz w:val="24"/>
          <w:szCs w:val="24"/>
        </w:rPr>
        <w:t>oycotts have occasionally played a critical role in developing these networks (as</w:t>
      </w:r>
      <w:r>
        <w:rPr>
          <w:rFonts w:ascii="Garamond" w:hAnsi="Garamond" w:cs="Times New Roman"/>
          <w:sz w:val="24"/>
          <w:szCs w:val="24"/>
        </w:rPr>
        <w:t xml:space="preserve"> more recently exampled by</w:t>
      </w:r>
      <w:r w:rsidRPr="00473B8C">
        <w:rPr>
          <w:rFonts w:ascii="Garamond" w:hAnsi="Garamond" w:cs="Times New Roman"/>
          <w:sz w:val="24"/>
          <w:szCs w:val="24"/>
        </w:rPr>
        <w:t xml:space="preserve"> the BOA boycott of apartheid citrus and the Montgomery</w:t>
      </w:r>
      <w:r>
        <w:rPr>
          <w:rFonts w:ascii="Garamond" w:hAnsi="Garamond" w:cs="Times New Roman"/>
          <w:sz w:val="24"/>
          <w:szCs w:val="24"/>
        </w:rPr>
        <w:t xml:space="preserve"> Bus B</w:t>
      </w:r>
      <w:r w:rsidRPr="00473B8C">
        <w:rPr>
          <w:rFonts w:ascii="Garamond" w:hAnsi="Garamond" w:cs="Times New Roman"/>
          <w:sz w:val="24"/>
          <w:szCs w:val="24"/>
        </w:rPr>
        <w:t xml:space="preserve">oycott). David Featherstone’s </w:t>
      </w:r>
      <w:r>
        <w:rPr>
          <w:rFonts w:ascii="Garamond" w:hAnsi="Garamond" w:cs="Times New Roman"/>
          <w:sz w:val="24"/>
          <w:szCs w:val="24"/>
        </w:rPr>
        <w:t xml:space="preserve">(2012) </w:t>
      </w:r>
      <w:r w:rsidRPr="00473B8C">
        <w:rPr>
          <w:rFonts w:ascii="Garamond" w:hAnsi="Garamond" w:cs="Times New Roman"/>
          <w:sz w:val="24"/>
          <w:szCs w:val="24"/>
        </w:rPr>
        <w:t>monol</w:t>
      </w:r>
      <w:r>
        <w:rPr>
          <w:rFonts w:ascii="Garamond" w:hAnsi="Garamond" w:cs="Times New Roman"/>
          <w:sz w:val="24"/>
          <w:szCs w:val="24"/>
        </w:rPr>
        <w:t xml:space="preserve">ogue on solidarity provides a </w:t>
      </w:r>
      <w:r w:rsidRPr="00473B8C">
        <w:rPr>
          <w:rFonts w:ascii="Garamond" w:hAnsi="Garamond" w:cs="Times New Roman"/>
          <w:sz w:val="24"/>
          <w:szCs w:val="24"/>
        </w:rPr>
        <w:t>focus on its applications in antiracist, anti-fascist and anti-corporate manifestations. With a materialist understanding of solidarity in mind, I believe that the extent of solidarity between two or more groups can be most successfully evaluated through the sacrifices made in struggle (in terms of</w:t>
      </w:r>
      <w:r>
        <w:rPr>
          <w:rFonts w:ascii="Garamond" w:hAnsi="Garamond" w:cs="Times New Roman"/>
          <w:sz w:val="24"/>
          <w:szCs w:val="24"/>
        </w:rPr>
        <w:t xml:space="preserve"> effort, labour, time, deferral of knowledge, cultural capital) by </w:t>
      </w:r>
      <w:r w:rsidRPr="00473B8C">
        <w:rPr>
          <w:rFonts w:ascii="Garamond" w:hAnsi="Garamond" w:cs="Times New Roman"/>
          <w:sz w:val="24"/>
          <w:szCs w:val="24"/>
        </w:rPr>
        <w:t>group</w:t>
      </w:r>
      <w:r>
        <w:rPr>
          <w:rFonts w:ascii="Garamond" w:hAnsi="Garamond" w:cs="Times New Roman"/>
          <w:sz w:val="24"/>
          <w:szCs w:val="24"/>
        </w:rPr>
        <w:t>s</w:t>
      </w:r>
      <w:r w:rsidRPr="00473B8C">
        <w:rPr>
          <w:rFonts w:ascii="Garamond" w:hAnsi="Garamond" w:cs="Times New Roman"/>
          <w:sz w:val="24"/>
          <w:szCs w:val="24"/>
        </w:rPr>
        <w:t xml:space="preserve"> towards</w:t>
      </w:r>
      <w:r>
        <w:rPr>
          <w:rFonts w:ascii="Garamond" w:hAnsi="Garamond" w:cs="Times New Roman"/>
          <w:sz w:val="24"/>
          <w:szCs w:val="24"/>
        </w:rPr>
        <w:t xml:space="preserve"> each other to reach a common end. This resonates with my discussion in Chapter Seven on the acceptance by the BOA that SACTU were better placed to make key decisions on boycotts and policy in South Africa, and with Brown </w:t>
      </w:r>
      <w:r w:rsidR="00F152DB">
        <w:rPr>
          <w:rFonts w:ascii="Garamond" w:hAnsi="Garamond" w:cs="Times New Roman"/>
          <w:sz w:val="24"/>
          <w:szCs w:val="24"/>
        </w:rPr>
        <w:t>and</w:t>
      </w:r>
      <w:r>
        <w:rPr>
          <w:rFonts w:ascii="Garamond" w:hAnsi="Garamond" w:cs="Times New Roman"/>
          <w:sz w:val="24"/>
          <w:szCs w:val="24"/>
        </w:rPr>
        <w:t xml:space="preserve"> Yaffe's theorizing of solidarity a</w:t>
      </w:r>
      <w:r w:rsidRPr="005D76F1">
        <w:rPr>
          <w:rFonts w:ascii="Garamond" w:hAnsi="Garamond" w:cs="Times New Roman"/>
          <w:sz w:val="24"/>
          <w:szCs w:val="24"/>
        </w:rPr>
        <w:t>s "</w:t>
      </w:r>
      <w:r w:rsidRPr="005D76F1">
        <w:rPr>
          <w:rFonts w:ascii="Garamond" w:hAnsi="Garamond" w:cs="AdvOT681422bb"/>
          <w:sz w:val="24"/>
          <w:szCs w:val="24"/>
        </w:rPr>
        <w:t xml:space="preserve">entangled and reciprocal </w:t>
      </w:r>
      <w:r w:rsidRPr="005D76F1">
        <w:rPr>
          <w:rFonts w:ascii="Garamond" w:hAnsi="Garamond" w:cs="AdvOT681422bb+fb"/>
          <w:sz w:val="24"/>
          <w:szCs w:val="24"/>
        </w:rPr>
        <w:t>fl</w:t>
      </w:r>
      <w:r w:rsidRPr="005D76F1">
        <w:rPr>
          <w:rFonts w:ascii="Garamond" w:hAnsi="Garamond" w:cs="AdvOT681422bb"/>
          <w:sz w:val="24"/>
          <w:szCs w:val="24"/>
        </w:rPr>
        <w:t>ows...that serve to enact social change in more than</w:t>
      </w:r>
      <w:r w:rsidRPr="005D76F1">
        <w:rPr>
          <w:rFonts w:ascii="Garamond" w:hAnsi="Garamond" w:cs="Times New Roman"/>
          <w:sz w:val="24"/>
          <w:szCs w:val="24"/>
        </w:rPr>
        <w:t xml:space="preserve"> </w:t>
      </w:r>
      <w:r w:rsidRPr="005D76F1">
        <w:rPr>
          <w:rFonts w:ascii="Garamond" w:hAnsi="Garamond" w:cs="AdvOT681422bb"/>
          <w:sz w:val="24"/>
          <w:szCs w:val="24"/>
        </w:rPr>
        <w:t>one place simultaneously"</w:t>
      </w:r>
      <w:r w:rsidR="00293D4C">
        <w:rPr>
          <w:rFonts w:ascii="Garamond" w:hAnsi="Garamond" w:cs="AdvOT681422bb"/>
          <w:sz w:val="24"/>
          <w:szCs w:val="24"/>
        </w:rPr>
        <w:t xml:space="preserve"> </w:t>
      </w:r>
      <w:r>
        <w:rPr>
          <w:rFonts w:ascii="Garamond" w:hAnsi="Garamond" w:cs="Times New Roman"/>
          <w:sz w:val="24"/>
          <w:szCs w:val="24"/>
        </w:rPr>
        <w:t xml:space="preserve">(2013; </w:t>
      </w:r>
      <w:r>
        <w:rPr>
          <w:rFonts w:ascii="Garamond" w:hAnsi="Garamond" w:cs="Times New Roman"/>
          <w:sz w:val="24"/>
          <w:szCs w:val="24"/>
        </w:rPr>
        <w:lastRenderedPageBreak/>
        <w:t>n.p.)</w:t>
      </w:r>
      <w:r>
        <w:rPr>
          <w:rFonts w:ascii="Garamond" w:hAnsi="Garamond" w:cs="AdvOT681422bb"/>
          <w:sz w:val="24"/>
          <w:szCs w:val="24"/>
        </w:rPr>
        <w:t>.</w:t>
      </w:r>
      <w:r w:rsidRPr="005D76F1">
        <w:rPr>
          <w:rFonts w:ascii="Garamond" w:hAnsi="Garamond" w:cs="AdvOT681422bb"/>
          <w:sz w:val="24"/>
          <w:szCs w:val="24"/>
        </w:rPr>
        <w:t xml:space="preserve"> </w:t>
      </w:r>
      <w:r>
        <w:rPr>
          <w:rFonts w:ascii="Garamond" w:hAnsi="Garamond" w:cs="Times New Roman"/>
          <w:sz w:val="24"/>
          <w:szCs w:val="24"/>
        </w:rPr>
        <w:t>For the purpose of</w:t>
      </w:r>
      <w:r w:rsidRPr="00473B8C">
        <w:rPr>
          <w:rFonts w:ascii="Garamond" w:hAnsi="Garamond" w:cs="Times New Roman"/>
          <w:sz w:val="24"/>
          <w:szCs w:val="24"/>
        </w:rPr>
        <w:t xml:space="preserve"> thinking throug</w:t>
      </w:r>
      <w:r>
        <w:rPr>
          <w:rFonts w:ascii="Garamond" w:hAnsi="Garamond" w:cs="Times New Roman"/>
          <w:sz w:val="24"/>
          <w:szCs w:val="24"/>
        </w:rPr>
        <w:t>h social movements and consumer-</w:t>
      </w:r>
      <w:r w:rsidRPr="00473B8C">
        <w:rPr>
          <w:rFonts w:ascii="Garamond" w:hAnsi="Garamond" w:cs="Times New Roman"/>
          <w:sz w:val="24"/>
          <w:szCs w:val="24"/>
        </w:rPr>
        <w:t xml:space="preserve">based activisms, I </w:t>
      </w:r>
      <w:r>
        <w:rPr>
          <w:rFonts w:ascii="Garamond" w:hAnsi="Garamond" w:cs="Times New Roman"/>
          <w:sz w:val="24"/>
          <w:szCs w:val="24"/>
        </w:rPr>
        <w:t xml:space="preserve">consider solidarity as </w:t>
      </w:r>
      <w:r w:rsidRPr="006B0C58">
        <w:rPr>
          <w:rFonts w:ascii="Garamond" w:hAnsi="Garamond" w:cs="Times New Roman"/>
          <w:i/>
          <w:sz w:val="24"/>
          <w:szCs w:val="24"/>
        </w:rPr>
        <w:t xml:space="preserve">the struggle towards a mutual political or social end between two or more parties, achieved through </w:t>
      </w:r>
      <w:r>
        <w:rPr>
          <w:rFonts w:ascii="Garamond" w:hAnsi="Garamond" w:cs="Times New Roman"/>
          <w:i/>
          <w:sz w:val="24"/>
          <w:szCs w:val="24"/>
        </w:rPr>
        <w:t xml:space="preserve">degrees of </w:t>
      </w:r>
      <w:r w:rsidRPr="006B0C58">
        <w:rPr>
          <w:rFonts w:ascii="Garamond" w:hAnsi="Garamond" w:cs="Times New Roman"/>
          <w:i/>
          <w:sz w:val="24"/>
          <w:szCs w:val="24"/>
        </w:rPr>
        <w:t>mutual respect, sacrifice and material effort</w:t>
      </w:r>
      <w:r w:rsidRPr="006B0C58">
        <w:rPr>
          <w:rFonts w:ascii="Garamond" w:hAnsi="Garamond" w:cs="Times New Roman"/>
          <w:sz w:val="24"/>
          <w:szCs w:val="24"/>
        </w:rPr>
        <w:t>.</w:t>
      </w:r>
      <w:r>
        <w:rPr>
          <w:rFonts w:ascii="Garamond" w:hAnsi="Garamond" w:cs="Times New Roman"/>
          <w:sz w:val="24"/>
          <w:szCs w:val="24"/>
        </w:rPr>
        <w:t xml:space="preserve"> I understand that this conception is open to critique in term of its forwarding of mutual political and social ends (there are clearly differently placed and subjective motivations and aims for activists constructing solidarity), but I take solidarity to always contain an element of providing support to another party on the terms stipulated by that party; for that reason there must be a degree of self-sacrifice. </w:t>
      </w:r>
      <w:r w:rsidRPr="00473B8C">
        <w:rPr>
          <w:rFonts w:ascii="Garamond" w:hAnsi="Garamond" w:cs="Times New Roman"/>
          <w:sz w:val="24"/>
          <w:szCs w:val="24"/>
        </w:rPr>
        <w:t xml:space="preserve">This </w:t>
      </w:r>
      <w:r>
        <w:rPr>
          <w:rFonts w:ascii="Garamond" w:hAnsi="Garamond" w:cs="Times New Roman"/>
          <w:sz w:val="24"/>
          <w:szCs w:val="24"/>
        </w:rPr>
        <w:t xml:space="preserve">way of thinking through solidarity </w:t>
      </w:r>
      <w:r w:rsidRPr="00473B8C">
        <w:rPr>
          <w:rFonts w:ascii="Garamond" w:hAnsi="Garamond" w:cs="Times New Roman"/>
          <w:sz w:val="24"/>
          <w:szCs w:val="24"/>
        </w:rPr>
        <w:t>resonates with Goldberg’s critical separation of anti-racialism and antiracism:</w:t>
      </w:r>
    </w:p>
    <w:p w:rsidR="00A05ED2" w:rsidRDefault="00A05ED2" w:rsidP="00A05ED2">
      <w:pPr>
        <w:autoSpaceDE w:val="0"/>
        <w:autoSpaceDN w:val="0"/>
        <w:adjustRightInd w:val="0"/>
        <w:spacing w:after="0" w:line="360" w:lineRule="auto"/>
        <w:ind w:left="284" w:right="284"/>
        <w:jc w:val="both"/>
        <w:rPr>
          <w:rFonts w:ascii="Garamond" w:hAnsi="Garamond" w:cs="Minion-Regular"/>
        </w:rPr>
      </w:pPr>
    </w:p>
    <w:p w:rsidR="00A05ED2" w:rsidRPr="00473B8C" w:rsidRDefault="00A05ED2" w:rsidP="00A05ED2">
      <w:pPr>
        <w:autoSpaceDE w:val="0"/>
        <w:autoSpaceDN w:val="0"/>
        <w:adjustRightInd w:val="0"/>
        <w:spacing w:after="0" w:line="360" w:lineRule="auto"/>
        <w:ind w:left="284" w:right="284"/>
        <w:jc w:val="both"/>
        <w:rPr>
          <w:rFonts w:ascii="Garamond" w:hAnsi="Garamond" w:cs="Minion-Regular"/>
        </w:rPr>
      </w:pPr>
      <w:r w:rsidRPr="00473B8C">
        <w:rPr>
          <w:rFonts w:ascii="Garamond" w:hAnsi="Garamond" w:cs="Minion-Regular"/>
        </w:rPr>
        <w:t>Antiracialism is to take a stand, instrumental or institutional, against a concept, a name, a category, a categorizing. It does not itself involve standing (up) against (a set of) conditions of being or living, as it is not always clear what those conditions might in fact be for which race is considered to stand as a sort of shorthand. Antiracism, by contrast, conjures a stance against an imposed condition, or set of conditions, an explicit refusal or a living of one’s life in such a way one refuses the imposition, whether one is a member of the subjugated population or the subjugating one. At the limit, antiracism is the risk of death, the willingness to forego life, perhaps at once the measure of the severity of the imposition, dislocation, and curtailment, and of the seriousness of the commitment. There is clearly is no evidence of antiracialism eve</w:t>
      </w:r>
      <w:r>
        <w:rPr>
          <w:rFonts w:ascii="Garamond" w:hAnsi="Garamond" w:cs="Minion-Regular"/>
        </w:rPr>
        <w:t>r commanding that sort of risk. (Goldberg, 2009: 10)</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In similarity to antiracism, solidarities are more likely to form strong social relations when standing up against egregious material conditions </w:t>
      </w:r>
      <w:r>
        <w:rPr>
          <w:rFonts w:ascii="Garamond" w:hAnsi="Garamond" w:cs="Times New Roman"/>
          <w:sz w:val="24"/>
          <w:szCs w:val="24"/>
        </w:rPr>
        <w:t xml:space="preserve">rather </w:t>
      </w:r>
      <w:r w:rsidRPr="00473B8C">
        <w:rPr>
          <w:rFonts w:ascii="Garamond" w:hAnsi="Garamond" w:cs="Times New Roman"/>
          <w:sz w:val="24"/>
          <w:szCs w:val="24"/>
        </w:rPr>
        <w:t xml:space="preserve">than </w:t>
      </w:r>
      <w:r>
        <w:rPr>
          <w:rFonts w:ascii="Garamond" w:hAnsi="Garamond" w:cs="Times New Roman"/>
          <w:sz w:val="24"/>
          <w:szCs w:val="24"/>
        </w:rPr>
        <w:t>from a stance</w:t>
      </w:r>
      <w:r w:rsidRPr="00473B8C">
        <w:rPr>
          <w:rFonts w:ascii="Garamond" w:hAnsi="Garamond" w:cs="Times New Roman"/>
          <w:sz w:val="24"/>
          <w:szCs w:val="24"/>
        </w:rPr>
        <w:t xml:space="preserve"> against a name, a concept or category. From t</w:t>
      </w:r>
      <w:r>
        <w:rPr>
          <w:rFonts w:ascii="Garamond" w:hAnsi="Garamond" w:cs="Times New Roman"/>
          <w:sz w:val="24"/>
          <w:szCs w:val="24"/>
        </w:rPr>
        <w:t>his perspective there is</w:t>
      </w:r>
      <w:r w:rsidRPr="00473B8C">
        <w:rPr>
          <w:rFonts w:ascii="Garamond" w:hAnsi="Garamond" w:cs="Times New Roman"/>
          <w:sz w:val="24"/>
          <w:szCs w:val="24"/>
        </w:rPr>
        <w:t xml:space="preserve"> a difference from saying you are acting out of solidarity with a perceived injustice (which may be enacted through rhetoric or the clicking of the ‘like’ button on Facebook), and a</w:t>
      </w:r>
      <w:r>
        <w:rPr>
          <w:rFonts w:ascii="Garamond" w:hAnsi="Garamond" w:cs="Times New Roman"/>
          <w:sz w:val="24"/>
          <w:szCs w:val="24"/>
        </w:rPr>
        <w:t xml:space="preserve"> deeper and mutual</w:t>
      </w:r>
      <w:r w:rsidRPr="00473B8C">
        <w:rPr>
          <w:rFonts w:ascii="Garamond" w:hAnsi="Garamond" w:cs="Times New Roman"/>
          <w:sz w:val="24"/>
          <w:szCs w:val="24"/>
        </w:rPr>
        <w:t xml:space="preserve"> politics of solidarity that involves</w:t>
      </w:r>
      <w:r>
        <w:rPr>
          <w:rFonts w:ascii="Garamond" w:hAnsi="Garamond" w:cs="Times New Roman"/>
          <w:sz w:val="24"/>
          <w:szCs w:val="24"/>
        </w:rPr>
        <w:t xml:space="preserve"> dialogue and</w:t>
      </w:r>
      <w:r w:rsidRPr="00473B8C">
        <w:rPr>
          <w:rFonts w:ascii="Garamond" w:hAnsi="Garamond" w:cs="Times New Roman"/>
          <w:sz w:val="24"/>
          <w:szCs w:val="24"/>
        </w:rPr>
        <w:t xml:space="preserve"> </w:t>
      </w:r>
      <w:r>
        <w:rPr>
          <w:rFonts w:ascii="Garamond" w:hAnsi="Garamond" w:cs="Times New Roman"/>
          <w:sz w:val="24"/>
          <w:szCs w:val="24"/>
        </w:rPr>
        <w:t>an element of</w:t>
      </w:r>
      <w:r w:rsidRPr="00473B8C">
        <w:rPr>
          <w:rFonts w:ascii="Garamond" w:hAnsi="Garamond" w:cs="Times New Roman"/>
          <w:sz w:val="24"/>
          <w:szCs w:val="24"/>
        </w:rPr>
        <w:t xml:space="preserve"> sacrifice. A politics of solidarity appears more cut out for antiracism</w:t>
      </w:r>
      <w:r>
        <w:rPr>
          <w:rFonts w:ascii="Garamond" w:hAnsi="Garamond" w:cs="Times New Roman"/>
          <w:sz w:val="24"/>
          <w:szCs w:val="24"/>
        </w:rPr>
        <w:t>, whereas acting out of</w:t>
      </w:r>
      <w:r w:rsidRPr="00473B8C">
        <w:rPr>
          <w:rFonts w:ascii="Garamond" w:hAnsi="Garamond" w:cs="Times New Roman"/>
          <w:sz w:val="24"/>
          <w:szCs w:val="24"/>
        </w:rPr>
        <w:t xml:space="preserve"> solidarity shares its underpinning rhetoric with a politics of global responsibility.</w:t>
      </w:r>
      <w:r>
        <w:rPr>
          <w:rFonts w:ascii="Garamond" w:hAnsi="Garamond" w:cs="Times New Roman"/>
          <w:sz w:val="24"/>
          <w:szCs w:val="24"/>
        </w:rPr>
        <w:t xml:space="preserve"> </w:t>
      </w:r>
    </w:p>
    <w:p w:rsidR="00A05ED2" w:rsidRDefault="00A05ED2" w:rsidP="00A05ED2">
      <w:pPr>
        <w:spacing w:after="0" w:line="360" w:lineRule="auto"/>
        <w:jc w:val="both"/>
        <w:rPr>
          <w:rFonts w:ascii="Garamond" w:hAnsi="Garamond" w:cs="Times New Roman"/>
          <w:sz w:val="24"/>
          <w:szCs w:val="24"/>
        </w:rPr>
      </w:pPr>
    </w:p>
    <w:p w:rsidR="004A717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Solidarities (and antagonisms) are constructed</w:t>
      </w:r>
      <w:r w:rsidRPr="00473B8C">
        <w:rPr>
          <w:rFonts w:ascii="Garamond" w:hAnsi="Garamond" w:cs="Times New Roman"/>
          <w:sz w:val="24"/>
          <w:szCs w:val="24"/>
        </w:rPr>
        <w:t xml:space="preserve"> between producers in cocoa farmer collectives and unions in the </w:t>
      </w:r>
      <w:r>
        <w:rPr>
          <w:rFonts w:ascii="Garamond" w:hAnsi="Garamond" w:cs="Times New Roman"/>
          <w:sz w:val="24"/>
          <w:szCs w:val="24"/>
        </w:rPr>
        <w:t>Côte</w:t>
      </w:r>
      <w:r w:rsidRPr="00473B8C">
        <w:rPr>
          <w:rFonts w:ascii="Garamond" w:hAnsi="Garamond" w:cs="Times New Roman"/>
          <w:sz w:val="24"/>
          <w:szCs w:val="24"/>
        </w:rPr>
        <w:t xml:space="preserve"> D’Ivoire and beyond</w:t>
      </w:r>
      <w:r>
        <w:rPr>
          <w:rFonts w:ascii="Garamond" w:hAnsi="Garamond" w:cs="Times New Roman"/>
          <w:sz w:val="24"/>
          <w:szCs w:val="24"/>
        </w:rPr>
        <w:t xml:space="preserve"> (Ryan, 2011), and solidarity</w:t>
      </w:r>
      <w:r w:rsidRPr="00473B8C">
        <w:rPr>
          <w:rFonts w:ascii="Garamond" w:hAnsi="Garamond" w:cs="Times New Roman"/>
          <w:sz w:val="24"/>
          <w:szCs w:val="24"/>
        </w:rPr>
        <w:t xml:space="preserve"> </w:t>
      </w:r>
      <w:r>
        <w:rPr>
          <w:rFonts w:ascii="Garamond" w:hAnsi="Garamond" w:cs="Times New Roman"/>
          <w:sz w:val="24"/>
          <w:szCs w:val="24"/>
        </w:rPr>
        <w:t xml:space="preserve">in labour </w:t>
      </w:r>
      <w:r w:rsidRPr="00473B8C">
        <w:rPr>
          <w:rFonts w:ascii="Garamond" w:hAnsi="Garamond" w:cs="Times New Roman"/>
          <w:sz w:val="24"/>
          <w:szCs w:val="24"/>
        </w:rPr>
        <w:t>underpins the fair</w:t>
      </w:r>
      <w:r>
        <w:rPr>
          <w:rFonts w:ascii="Garamond" w:hAnsi="Garamond" w:cs="Times New Roman"/>
          <w:sz w:val="24"/>
          <w:szCs w:val="24"/>
        </w:rPr>
        <w:t xml:space="preserve"> trade </w:t>
      </w:r>
      <w:r w:rsidRPr="00473B8C">
        <w:rPr>
          <w:rFonts w:ascii="Garamond" w:hAnsi="Garamond" w:cs="Times New Roman"/>
          <w:sz w:val="24"/>
          <w:szCs w:val="24"/>
        </w:rPr>
        <w:t>movement. But solidarity rarely characterizes the relationship between consumer movements</w:t>
      </w:r>
      <w:r>
        <w:rPr>
          <w:rFonts w:ascii="Garamond" w:hAnsi="Garamond" w:cs="Times New Roman"/>
          <w:sz w:val="24"/>
          <w:szCs w:val="24"/>
        </w:rPr>
        <w:t xml:space="preserve"> and producers when consumer organization do</w:t>
      </w:r>
      <w:r w:rsidRPr="00473B8C">
        <w:rPr>
          <w:rFonts w:ascii="Garamond" w:hAnsi="Garamond" w:cs="Times New Roman"/>
          <w:sz w:val="24"/>
          <w:szCs w:val="24"/>
        </w:rPr>
        <w:t xml:space="preserve"> not</w:t>
      </w:r>
      <w:r>
        <w:rPr>
          <w:rFonts w:ascii="Garamond" w:hAnsi="Garamond" w:cs="Times New Roman"/>
          <w:sz w:val="24"/>
          <w:szCs w:val="24"/>
        </w:rPr>
        <w:t xml:space="preserve"> defer at least in part to the political goals (and voices) of labourers. On face of it </w:t>
      </w:r>
      <w:r>
        <w:rPr>
          <w:rFonts w:ascii="Garamond" w:hAnsi="Garamond" w:cs="Times New Roman"/>
          <w:sz w:val="24"/>
          <w:szCs w:val="24"/>
        </w:rPr>
        <w:lastRenderedPageBreak/>
        <w:t>the statement that cocoa farmers “h</w:t>
      </w:r>
      <w:r w:rsidRPr="00473B8C">
        <w:rPr>
          <w:rFonts w:ascii="Garamond" w:hAnsi="Garamond" w:cs="Times New Roman"/>
          <w:sz w:val="24"/>
          <w:szCs w:val="24"/>
        </w:rPr>
        <w:t xml:space="preserve">ave </w:t>
      </w:r>
      <w:r>
        <w:rPr>
          <w:rFonts w:ascii="Garamond" w:hAnsi="Garamond" w:cs="Times New Roman"/>
          <w:sz w:val="24"/>
          <w:szCs w:val="24"/>
        </w:rPr>
        <w:t>nothing to sacrifice” (interview Fountain,</w:t>
      </w:r>
      <w:r w:rsidRPr="00473B8C">
        <w:rPr>
          <w:rFonts w:ascii="Garamond" w:hAnsi="Garamond" w:cs="Times New Roman"/>
          <w:sz w:val="24"/>
          <w:szCs w:val="24"/>
        </w:rPr>
        <w:t xml:space="preserve"> 2012)</w:t>
      </w:r>
      <w:r>
        <w:rPr>
          <w:rFonts w:ascii="Garamond" w:hAnsi="Garamond" w:cs="Times New Roman"/>
          <w:sz w:val="24"/>
          <w:szCs w:val="24"/>
        </w:rPr>
        <w:t xml:space="preserve"> indicates that the perceived situation for cocoa farmers is desperate, but it also suggests that farmers are not being perceived as political actors capable of do</w:t>
      </w:r>
      <w:r w:rsidR="004A7172">
        <w:rPr>
          <w:rFonts w:ascii="Garamond" w:hAnsi="Garamond" w:cs="Times New Roman"/>
          <w:sz w:val="24"/>
          <w:szCs w:val="24"/>
        </w:rPr>
        <w:t xml:space="preserve">ing more than simply existing. </w:t>
      </w:r>
    </w:p>
    <w:p w:rsidR="00A05ED2" w:rsidRDefault="00A05ED2" w:rsidP="00A05ED2">
      <w:pPr>
        <w:spacing w:after="0" w:line="360" w:lineRule="auto"/>
        <w:jc w:val="both"/>
        <w:rPr>
          <w:rFonts w:ascii="Garamond" w:hAnsi="Garamond" w:cs="Times New Roman"/>
          <w:sz w:val="24"/>
          <w:szCs w:val="24"/>
        </w:rPr>
      </w:pPr>
    </w:p>
    <w:p w:rsidR="007E10FB"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 xml:space="preserve">STT's child-producer topos </w:t>
      </w:r>
      <w:r w:rsidRPr="00473B8C">
        <w:rPr>
          <w:rFonts w:ascii="Garamond" w:hAnsi="Garamond" w:cs="Times New Roman"/>
          <w:sz w:val="24"/>
          <w:szCs w:val="24"/>
        </w:rPr>
        <w:t>point</w:t>
      </w:r>
      <w:r>
        <w:rPr>
          <w:rFonts w:ascii="Garamond" w:hAnsi="Garamond" w:cs="Times New Roman"/>
          <w:sz w:val="24"/>
          <w:szCs w:val="24"/>
        </w:rPr>
        <w:t>s</w:t>
      </w:r>
      <w:r w:rsidRPr="00473B8C">
        <w:rPr>
          <w:rFonts w:ascii="Garamond" w:hAnsi="Garamond" w:cs="Times New Roman"/>
          <w:sz w:val="24"/>
          <w:szCs w:val="24"/>
        </w:rPr>
        <w:t xml:space="preserve"> </w:t>
      </w:r>
      <w:r>
        <w:rPr>
          <w:rFonts w:ascii="Garamond" w:hAnsi="Garamond" w:cs="Times New Roman"/>
          <w:sz w:val="24"/>
          <w:szCs w:val="24"/>
        </w:rPr>
        <w:t>less to mutual struggle and more the</w:t>
      </w:r>
      <w:r w:rsidRPr="00473B8C">
        <w:rPr>
          <w:rFonts w:ascii="Garamond" w:hAnsi="Garamond" w:cs="Times New Roman"/>
          <w:sz w:val="24"/>
          <w:szCs w:val="24"/>
        </w:rPr>
        <w:t xml:space="preserve"> communication </w:t>
      </w:r>
      <w:r>
        <w:rPr>
          <w:rFonts w:ascii="Garamond" w:hAnsi="Garamond" w:cs="Times New Roman"/>
          <w:sz w:val="24"/>
          <w:szCs w:val="24"/>
        </w:rPr>
        <w:t>of distant suffering. G</w:t>
      </w:r>
      <w:r w:rsidRPr="00473B8C">
        <w:rPr>
          <w:rFonts w:ascii="Garamond" w:hAnsi="Garamond" w:cs="Times New Roman"/>
          <w:sz w:val="24"/>
          <w:szCs w:val="24"/>
        </w:rPr>
        <w:t xml:space="preserve">iven the lack of dialogue, support is rarely given to the cocoa producing stranger on their terms. </w:t>
      </w:r>
      <w:r>
        <w:rPr>
          <w:rFonts w:ascii="Garamond" w:hAnsi="Garamond" w:cs="Times New Roman"/>
          <w:sz w:val="24"/>
          <w:szCs w:val="24"/>
        </w:rPr>
        <w:t xml:space="preserve">Recent work on solidarity is very helpful in progressing this argument. Notably, Brown </w:t>
      </w:r>
      <w:r w:rsidR="00F152DB">
        <w:rPr>
          <w:rFonts w:ascii="Garamond" w:hAnsi="Garamond" w:cs="Times New Roman"/>
          <w:sz w:val="24"/>
          <w:szCs w:val="24"/>
        </w:rPr>
        <w:t>and</w:t>
      </w:r>
      <w:r>
        <w:rPr>
          <w:rFonts w:ascii="Garamond" w:hAnsi="Garamond" w:cs="Times New Roman"/>
          <w:sz w:val="24"/>
          <w:szCs w:val="24"/>
        </w:rPr>
        <w:t xml:space="preserve"> Yaffe (2013) move us beyond a simple opposition of a politics of global responsibility (care at a distance) and a politics of global solidarity (mutual sacrifices) through showing how during the 1980s the London-based anti-apartheid City Group produced different types of solidarity in multiple places and across different scales. This suggests that STT’s communicative work is not inherently opposed to a politics of solidarity, but that deepening its qualities of solidarity is an ongoing task that can enrich its advocacy.</w:t>
      </w:r>
      <w:r w:rsidR="00293D4C">
        <w:rPr>
          <w:rFonts w:ascii="Garamond" w:hAnsi="Garamond" w:cs="Times New Roman"/>
          <w:sz w:val="24"/>
          <w:szCs w:val="24"/>
        </w:rPr>
        <w:t xml:space="preserve"> </w:t>
      </w:r>
      <w:r>
        <w:rPr>
          <w:rFonts w:ascii="Garamond" w:hAnsi="Garamond" w:cs="Times New Roman"/>
          <w:sz w:val="24"/>
          <w:szCs w:val="24"/>
        </w:rPr>
        <w:t xml:space="preserve">Take for instance </w:t>
      </w:r>
      <w:r w:rsidRPr="00473B8C">
        <w:rPr>
          <w:rFonts w:ascii="Garamond" w:hAnsi="Garamond" w:cs="Times New Roman"/>
          <w:sz w:val="24"/>
          <w:szCs w:val="24"/>
        </w:rPr>
        <w:t>a ‘Chocolate Unwrapped’ leaflet that has been distributed to schools and church groups since 2010</w:t>
      </w:r>
      <w:r>
        <w:rPr>
          <w:rFonts w:ascii="Garamond" w:hAnsi="Garamond" w:cs="Times New Roman"/>
          <w:sz w:val="24"/>
          <w:szCs w:val="24"/>
        </w:rPr>
        <w:t>.  On the reverse the</w:t>
      </w:r>
      <w:r w:rsidRPr="00473B8C">
        <w:rPr>
          <w:rFonts w:ascii="Garamond" w:hAnsi="Garamond" w:cs="Times New Roman"/>
          <w:sz w:val="24"/>
          <w:szCs w:val="24"/>
        </w:rPr>
        <w:t xml:space="preserve"> ‘dark side of chocolate’ is clearly presented as child labour</w:t>
      </w:r>
      <w:r>
        <w:rPr>
          <w:rFonts w:ascii="Garamond" w:hAnsi="Garamond" w:cs="Times New Roman"/>
          <w:sz w:val="24"/>
          <w:szCs w:val="24"/>
        </w:rPr>
        <w:t xml:space="preserve"> (see Figure 57</w:t>
      </w:r>
      <w:r w:rsidR="007E10FB">
        <w:rPr>
          <w:rFonts w:ascii="Garamond" w:hAnsi="Garamond" w:cs="Times New Roman"/>
          <w:sz w:val="24"/>
          <w:szCs w:val="24"/>
        </w:rPr>
        <w:t>).</w:t>
      </w:r>
    </w:p>
    <w:p w:rsidR="007E10FB" w:rsidRDefault="007E10FB" w:rsidP="00A05ED2">
      <w:pPr>
        <w:spacing w:after="0" w:line="360" w:lineRule="auto"/>
        <w:jc w:val="both"/>
        <w:rPr>
          <w:rFonts w:ascii="Garamond" w:hAnsi="Garamond"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361"/>
        <w:gridCol w:w="4155"/>
      </w:tblGrid>
      <w:tr w:rsidR="007E10FB">
        <w:trPr>
          <w:jc w:val="center"/>
        </w:trPr>
        <w:tc>
          <w:tcPr>
            <w:tcW w:w="4361" w:type="dxa"/>
          </w:tcPr>
          <w:p w:rsidR="007E10FB" w:rsidRPr="008E1016" w:rsidRDefault="007E10FB" w:rsidP="00A05ED2">
            <w:pPr>
              <w:spacing w:line="360" w:lineRule="auto"/>
              <w:jc w:val="both"/>
              <w:rPr>
                <w:rFonts w:ascii="Garamond" w:hAnsi="Garamond" w:cs="Times New Roman"/>
                <w:sz w:val="24"/>
                <w:szCs w:val="24"/>
              </w:rPr>
            </w:pPr>
            <w:r w:rsidRPr="008E1016">
              <w:rPr>
                <w:rFonts w:ascii="Garamond" w:hAnsi="Garamond" w:cs="Times New Roman"/>
                <w:noProof/>
                <w:sz w:val="24"/>
                <w:szCs w:val="24"/>
                <w:lang w:eastAsia="en-GB"/>
              </w:rPr>
              <w:drawing>
                <wp:inline distT="0" distB="0" distL="0" distR="0">
                  <wp:extent cx="1988608" cy="2768529"/>
                  <wp:effectExtent l="50800" t="25400" r="17992" b="71"/>
                  <wp:docPr id="14" name="Picture 33" descr="C:\Users\hugh crosfield\Desktop\You dont have to eat this chocolate for it to make you feel s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ugh crosfield\Desktop\You dont have to eat this chocolate for it to make you feel sick.jpg"/>
                          <pic:cNvPicPr>
                            <a:picLocks noChangeAspect="1" noChangeArrowheads="1"/>
                          </pic:cNvPicPr>
                        </pic:nvPicPr>
                        <pic:blipFill>
                          <a:blip r:embed="rId72" cstate="print"/>
                          <a:srcRect/>
                          <a:stretch>
                            <a:fillRect/>
                          </a:stretch>
                        </pic:blipFill>
                        <pic:spPr bwMode="auto">
                          <a:xfrm>
                            <a:off x="0" y="0"/>
                            <a:ext cx="1988608" cy="2768529"/>
                          </a:xfrm>
                          <a:prstGeom prst="rect">
                            <a:avLst/>
                          </a:prstGeom>
                          <a:noFill/>
                          <a:ln w="9525">
                            <a:solidFill>
                              <a:schemeClr val="tx1"/>
                            </a:solidFill>
                            <a:miter lim="800000"/>
                            <a:headEnd/>
                            <a:tailEnd/>
                          </a:ln>
                        </pic:spPr>
                      </pic:pic>
                    </a:graphicData>
                  </a:graphic>
                </wp:inline>
              </w:drawing>
            </w:r>
          </w:p>
        </w:tc>
        <w:tc>
          <w:tcPr>
            <w:tcW w:w="4155" w:type="dxa"/>
          </w:tcPr>
          <w:p w:rsidR="007E10FB" w:rsidRPr="008E1016" w:rsidRDefault="007E10FB" w:rsidP="00A05ED2">
            <w:pPr>
              <w:spacing w:line="360" w:lineRule="auto"/>
              <w:jc w:val="center"/>
              <w:rPr>
                <w:rFonts w:ascii="Garamond" w:hAnsi="Garamond" w:cs="Times New Roman"/>
                <w:sz w:val="24"/>
                <w:szCs w:val="24"/>
              </w:rPr>
            </w:pPr>
            <w:r w:rsidRPr="008E1016">
              <w:rPr>
                <w:rFonts w:ascii="Garamond" w:hAnsi="Garamond" w:cs="Times New Roman"/>
                <w:noProof/>
                <w:sz w:val="24"/>
                <w:szCs w:val="24"/>
                <w:lang w:eastAsia="en-GB"/>
              </w:rPr>
              <w:drawing>
                <wp:anchor distT="0" distB="0" distL="114300" distR="114300" simplePos="0" relativeHeight="251668480" behindDoc="0" locked="0" layoutInCell="1" allowOverlap="1">
                  <wp:simplePos x="0" y="0"/>
                  <wp:positionH relativeFrom="column">
                    <wp:posOffset>-26035</wp:posOffset>
                  </wp:positionH>
                  <wp:positionV relativeFrom="paragraph">
                    <wp:posOffset>0</wp:posOffset>
                  </wp:positionV>
                  <wp:extent cx="2054225" cy="2878455"/>
                  <wp:effectExtent l="25400" t="0" r="3175" b="0"/>
                  <wp:wrapSquare wrapText="bothSides"/>
                  <wp:docPr id="90" name="Picture 1" descr="C:\Users\hugh crosfield\Desktop\chocolate unwra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chocolate unwrapped.png"/>
                          <pic:cNvPicPr>
                            <a:picLocks noChangeAspect="1" noChangeArrowheads="1"/>
                          </pic:cNvPicPr>
                        </pic:nvPicPr>
                        <pic:blipFill>
                          <a:blip r:embed="rId101" cstate="print"/>
                          <a:srcRect/>
                          <a:stretch>
                            <a:fillRect/>
                          </a:stretch>
                        </pic:blipFill>
                        <pic:spPr bwMode="auto">
                          <a:xfrm>
                            <a:off x="0" y="0"/>
                            <a:ext cx="2054225" cy="2878455"/>
                          </a:xfrm>
                          <a:prstGeom prst="rect">
                            <a:avLst/>
                          </a:prstGeom>
                          <a:noFill/>
                          <a:ln w="9525">
                            <a:noFill/>
                            <a:miter lim="800000"/>
                            <a:headEnd/>
                            <a:tailEnd/>
                          </a:ln>
                        </pic:spPr>
                      </pic:pic>
                    </a:graphicData>
                  </a:graphic>
                </wp:anchor>
              </w:drawing>
            </w:r>
          </w:p>
        </w:tc>
      </w:tr>
    </w:tbl>
    <w:p w:rsidR="00293D4C" w:rsidRDefault="00293D4C" w:rsidP="00A05ED2">
      <w:pPr>
        <w:spacing w:after="0" w:line="360" w:lineRule="auto"/>
        <w:jc w:val="both"/>
        <w:rPr>
          <w:rFonts w:ascii="Garamond" w:hAnsi="Garamond" w:cs="Times New Roman"/>
          <w:sz w:val="24"/>
          <w:szCs w:val="24"/>
        </w:rPr>
      </w:pPr>
    </w:p>
    <w:p w:rsidR="00293D4C" w:rsidRDefault="00293D4C" w:rsidP="00A05ED2">
      <w:pPr>
        <w:spacing w:after="0" w:line="360" w:lineRule="auto"/>
        <w:jc w:val="both"/>
        <w:rPr>
          <w:rFonts w:ascii="Garamond" w:hAnsi="Garamond" w:cs="Times New Roman"/>
          <w:sz w:val="24"/>
          <w:szCs w:val="24"/>
        </w:rPr>
      </w:pPr>
    </w:p>
    <w:p w:rsidR="00293D4C" w:rsidRDefault="007E10FB" w:rsidP="00A05ED2">
      <w:pPr>
        <w:spacing w:after="0" w:line="360" w:lineRule="auto"/>
        <w:jc w:val="both"/>
        <w:rPr>
          <w:rFonts w:ascii="Garamond" w:hAnsi="Garamond" w:cs="Times New Roman"/>
          <w:sz w:val="24"/>
          <w:szCs w:val="24"/>
        </w:rPr>
      </w:pPr>
      <w:bookmarkStart w:id="642" w:name="_Toc244577319"/>
      <w:bookmarkStart w:id="643" w:name="_Toc263495788"/>
      <w:bookmarkStart w:id="644" w:name="_Toc263509054"/>
      <w:bookmarkStart w:id="645" w:name="_Toc263510841"/>
      <w:r w:rsidRPr="003E091C">
        <w:rPr>
          <w:rFonts w:ascii="Perpetua" w:hAnsi="Perpetua"/>
          <w:b/>
          <w:sz w:val="20"/>
        </w:rPr>
        <w:t xml:space="preserve">Figure </w:t>
      </w:r>
      <w:r w:rsidR="00DF2DF8" w:rsidRPr="003E091C">
        <w:rPr>
          <w:rFonts w:ascii="Perpetua" w:hAnsi="Perpetua"/>
          <w:b/>
          <w:sz w:val="20"/>
        </w:rPr>
        <w:fldChar w:fldCharType="begin"/>
      </w:r>
      <w:r w:rsidRPr="003E091C">
        <w:rPr>
          <w:rFonts w:ascii="Perpetua" w:hAnsi="Perpetua"/>
          <w:b/>
          <w:sz w:val="20"/>
        </w:rPr>
        <w:instrText xml:space="preserve"> SEQ Figure \* ARABIC </w:instrText>
      </w:r>
      <w:r w:rsidR="00DF2DF8" w:rsidRPr="003E091C">
        <w:rPr>
          <w:rFonts w:ascii="Perpetua" w:hAnsi="Perpetua"/>
          <w:b/>
          <w:sz w:val="20"/>
        </w:rPr>
        <w:fldChar w:fldCharType="separate"/>
      </w:r>
      <w:r w:rsidR="002B3E92">
        <w:rPr>
          <w:rFonts w:ascii="Perpetua" w:hAnsi="Perpetua"/>
          <w:b/>
          <w:noProof/>
          <w:sz w:val="20"/>
        </w:rPr>
        <w:t>57</w:t>
      </w:r>
      <w:r w:rsidR="00DF2DF8" w:rsidRPr="003E091C">
        <w:rPr>
          <w:rFonts w:ascii="Perpetua" w:hAnsi="Perpetua"/>
          <w:b/>
          <w:sz w:val="20"/>
        </w:rPr>
        <w:fldChar w:fldCharType="end"/>
      </w:r>
      <w:r w:rsidRPr="003E091C">
        <w:rPr>
          <w:rFonts w:ascii="Perpetua" w:hAnsi="Perpetua"/>
          <w:b/>
          <w:sz w:val="20"/>
        </w:rPr>
        <w:t>:</w:t>
      </w:r>
      <w:r w:rsidRPr="00293D4C">
        <w:rPr>
          <w:rFonts w:ascii="Perpetua" w:hAnsi="Perpetua"/>
          <w:b/>
          <w:sz w:val="20"/>
        </w:rPr>
        <w:t xml:space="preserve"> </w:t>
      </w:r>
      <w:r>
        <w:rPr>
          <w:rFonts w:ascii="Perpetua" w:hAnsi="Perpetua" w:cs="Times New Roman"/>
          <w:b/>
          <w:sz w:val="20"/>
        </w:rPr>
        <w:t>Left: STT leaflet, 2010. Right:</w:t>
      </w:r>
      <w:r w:rsidRPr="00293D4C">
        <w:rPr>
          <w:rFonts w:ascii="Perpetua" w:hAnsi="Perpetua" w:cs="Times New Roman"/>
          <w:b/>
          <w:sz w:val="20"/>
        </w:rPr>
        <w:t xml:space="preserve"> the reverse side of the leaflet: The Dark Side of Chocolate.</w:t>
      </w:r>
      <w:bookmarkEnd w:id="642"/>
      <w:bookmarkEnd w:id="643"/>
      <w:bookmarkEnd w:id="644"/>
      <w:bookmarkEnd w:id="645"/>
    </w:p>
    <w:p w:rsidR="00293D4C" w:rsidRDefault="00293D4C"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p>
    <w:p w:rsidR="00293D4C" w:rsidRDefault="00293D4C"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lastRenderedPageBreak/>
        <w:t>The problem is summarized in the</w:t>
      </w:r>
      <w:r>
        <w:rPr>
          <w:rFonts w:ascii="Garamond" w:hAnsi="Garamond" w:cs="Times New Roman"/>
          <w:sz w:val="24"/>
          <w:szCs w:val="24"/>
        </w:rPr>
        <w:t xml:space="preserve"> (what by now will be familiar)</w:t>
      </w:r>
      <w:r w:rsidRPr="00473B8C">
        <w:rPr>
          <w:rFonts w:ascii="Garamond" w:hAnsi="Garamond" w:cs="Times New Roman"/>
          <w:sz w:val="24"/>
          <w:szCs w:val="24"/>
        </w:rPr>
        <w:t xml:space="preserve"> statement: “A boy called Victor trafficked from Mali said – tell your children that I have suffered to make their chocolate. When they eat chocolate they are eating my flesh”. </w:t>
      </w:r>
      <w:r>
        <w:rPr>
          <w:rFonts w:ascii="Garamond" w:hAnsi="Garamond" w:cs="Times New Roman"/>
          <w:sz w:val="24"/>
          <w:szCs w:val="24"/>
        </w:rPr>
        <w:t>The message is that consumers should not “underestimate what [they]</w:t>
      </w:r>
      <w:r w:rsidRPr="00473B8C">
        <w:rPr>
          <w:rFonts w:ascii="Garamond" w:hAnsi="Garamond" w:cs="Times New Roman"/>
          <w:sz w:val="24"/>
          <w:szCs w:val="24"/>
        </w:rPr>
        <w:t xml:space="preserve"> can do to help children like Victor”. STT’s anti-trafficking work is </w:t>
      </w:r>
      <w:r>
        <w:rPr>
          <w:rFonts w:ascii="Garamond" w:hAnsi="Garamond" w:cs="Times New Roman"/>
          <w:sz w:val="24"/>
          <w:szCs w:val="24"/>
        </w:rPr>
        <w:t xml:space="preserve">a humanitarian project because it is </w:t>
      </w:r>
      <w:r w:rsidRPr="00473B8C">
        <w:rPr>
          <w:rFonts w:ascii="Garamond" w:hAnsi="Garamond" w:cs="Times New Roman"/>
          <w:sz w:val="24"/>
          <w:szCs w:val="24"/>
        </w:rPr>
        <w:t xml:space="preserve">“dedicated to helping others, and it frequently does so without soliciting the desires of those perceived to be in need” (Rodongo, 2011: 75). </w:t>
      </w:r>
      <w:r>
        <w:rPr>
          <w:rFonts w:ascii="Garamond" w:hAnsi="Garamond" w:cs="Times New Roman"/>
          <w:sz w:val="24"/>
          <w:szCs w:val="24"/>
        </w:rPr>
        <w:t xml:space="preserve">We might </w:t>
      </w:r>
      <w:r w:rsidRPr="00473B8C">
        <w:rPr>
          <w:rFonts w:ascii="Garamond" w:hAnsi="Garamond" w:cs="Times New Roman"/>
          <w:sz w:val="24"/>
          <w:szCs w:val="24"/>
        </w:rPr>
        <w:t>conside</w:t>
      </w:r>
      <w:r>
        <w:rPr>
          <w:rFonts w:ascii="Garamond" w:hAnsi="Garamond" w:cs="Times New Roman"/>
          <w:sz w:val="24"/>
          <w:szCs w:val="24"/>
        </w:rPr>
        <w:t>r this, then,</w:t>
      </w:r>
      <w:r w:rsidRPr="00473B8C">
        <w:rPr>
          <w:rFonts w:ascii="Garamond" w:hAnsi="Garamond" w:cs="Times New Roman"/>
          <w:sz w:val="24"/>
          <w:szCs w:val="24"/>
        </w:rPr>
        <w:t xml:space="preserve"> as</w:t>
      </w:r>
      <w:r>
        <w:rPr>
          <w:rFonts w:ascii="Garamond" w:hAnsi="Garamond" w:cs="Times New Roman"/>
          <w:sz w:val="24"/>
          <w:szCs w:val="24"/>
        </w:rPr>
        <w:t xml:space="preserve"> a</w:t>
      </w:r>
      <w:r w:rsidRPr="00473B8C">
        <w:rPr>
          <w:rFonts w:ascii="Garamond" w:hAnsi="Garamond" w:cs="Times New Roman"/>
          <w:sz w:val="24"/>
          <w:szCs w:val="24"/>
        </w:rPr>
        <w:t xml:space="preserve"> paternalistic humanitarianism</w:t>
      </w:r>
      <w:r>
        <w:rPr>
          <w:rFonts w:ascii="Garamond" w:hAnsi="Garamond" w:cs="Times New Roman"/>
          <w:sz w:val="24"/>
          <w:szCs w:val="24"/>
        </w:rPr>
        <w:t>, defined by</w:t>
      </w:r>
      <w:r w:rsidRPr="00473B8C">
        <w:rPr>
          <w:rFonts w:ascii="Garamond" w:hAnsi="Garamond" w:cs="Times New Roman"/>
          <w:sz w:val="24"/>
          <w:szCs w:val="24"/>
        </w:rPr>
        <w:t xml:space="preserve"> Michael Barnet</w:t>
      </w:r>
      <w:r>
        <w:rPr>
          <w:rFonts w:ascii="Garamond" w:hAnsi="Garamond" w:cs="Times New Roman"/>
          <w:sz w:val="24"/>
          <w:szCs w:val="24"/>
        </w:rPr>
        <w:t>t</w:t>
      </w:r>
      <w:r w:rsidRPr="00473B8C">
        <w:rPr>
          <w:rFonts w:ascii="Garamond" w:hAnsi="Garamond" w:cs="Times New Roman"/>
          <w:sz w:val="24"/>
          <w:szCs w:val="24"/>
        </w:rPr>
        <w:t xml:space="preserve"> as “the interference with a person’s liberty of action justified by reasons referring exclusively to the welfare, good, happiness, needs, interests, or values of the person who</w:t>
      </w:r>
      <w:r>
        <w:rPr>
          <w:rFonts w:ascii="Garamond" w:hAnsi="Garamond" w:cs="Times New Roman"/>
          <w:sz w:val="24"/>
          <w:szCs w:val="24"/>
        </w:rPr>
        <w:t>se liberty is being violated” (</w:t>
      </w:r>
      <w:r w:rsidRPr="00473B8C">
        <w:rPr>
          <w:rFonts w:ascii="Garamond" w:hAnsi="Garamond" w:cs="Times New Roman"/>
          <w:sz w:val="24"/>
          <w:szCs w:val="24"/>
        </w:rPr>
        <w:t>2011</w:t>
      </w:r>
      <w:r>
        <w:rPr>
          <w:rFonts w:ascii="Garamond" w:hAnsi="Garamond" w:cs="Times New Roman"/>
          <w:sz w:val="24"/>
          <w:szCs w:val="24"/>
        </w:rPr>
        <w:t>: 51</w:t>
      </w:r>
      <w:r w:rsidRPr="00473B8C">
        <w:rPr>
          <w:rFonts w:ascii="Garamond" w:hAnsi="Garamond" w:cs="Times New Roman"/>
          <w:sz w:val="24"/>
          <w:szCs w:val="24"/>
        </w:rPr>
        <w:t>)</w:t>
      </w:r>
      <w:r>
        <w:rPr>
          <w:rFonts w:ascii="Garamond" w:hAnsi="Garamond" w:cs="Times New Roman"/>
          <w:sz w:val="24"/>
          <w:szCs w:val="24"/>
        </w:rPr>
        <w:t>.</w:t>
      </w:r>
      <w:r w:rsidRPr="00473B8C">
        <w:rPr>
          <w:rFonts w:ascii="Garamond" w:hAnsi="Garamond" w:cs="Times New Roman"/>
          <w:sz w:val="24"/>
          <w:szCs w:val="24"/>
        </w:rPr>
        <w:t xml:space="preserve"> Contemporary liberal humanitarianism, Barnett asserts, is carried out by NGOs in coalition with states and acts out of the imperative to protect individual rights. STT’s campaign literature frequently couches the problematic of the cocoa industry as child labour, and the infringement of child rights through human trafficking. Humanitarian campaigns require an emergency or crisis </w:t>
      </w:r>
      <w:r>
        <w:rPr>
          <w:rFonts w:ascii="Garamond" w:hAnsi="Garamond" w:cs="Times New Roman"/>
          <w:sz w:val="24"/>
          <w:szCs w:val="24"/>
        </w:rPr>
        <w:t>to trigger</w:t>
      </w:r>
      <w:r w:rsidRPr="00473B8C">
        <w:rPr>
          <w:rFonts w:ascii="Garamond" w:hAnsi="Garamond" w:cs="Times New Roman"/>
          <w:sz w:val="24"/>
          <w:szCs w:val="24"/>
        </w:rPr>
        <w:t xml:space="preserve"> action, and STT use child trafficking as the crisis, and the allusion to anthropophagy from ‘Victor’ provides the emotional </w:t>
      </w:r>
      <w:r>
        <w:rPr>
          <w:rFonts w:ascii="Garamond" w:hAnsi="Garamond" w:cs="Times New Roman"/>
          <w:sz w:val="24"/>
          <w:szCs w:val="24"/>
        </w:rPr>
        <w:t>prompt</w:t>
      </w:r>
      <w:r w:rsidRPr="00473B8C">
        <w:rPr>
          <w:rFonts w:ascii="Garamond" w:hAnsi="Garamond" w:cs="Times New Roman"/>
          <w:sz w:val="24"/>
          <w:szCs w:val="24"/>
        </w:rPr>
        <w:t xml:space="preserve">. </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As</w:t>
      </w:r>
      <w:r>
        <w:rPr>
          <w:rFonts w:ascii="Garamond" w:hAnsi="Garamond" w:cs="Times New Roman"/>
          <w:sz w:val="24"/>
          <w:szCs w:val="24"/>
        </w:rPr>
        <w:t xml:space="preserve"> such</w:t>
      </w:r>
      <w:r w:rsidRPr="00473B8C">
        <w:rPr>
          <w:rFonts w:ascii="Garamond" w:hAnsi="Garamond" w:cs="Times New Roman"/>
          <w:sz w:val="24"/>
          <w:szCs w:val="24"/>
        </w:rPr>
        <w:t xml:space="preserve"> humanitarianism commonly operates unilaterally (usually without the consent or communication of those deemed to be suffering), and also requires widespread popular support and patronage, humanitarian campaigns must bridge the communication gap between sufferers and potential philanthropists. </w:t>
      </w:r>
      <w:r>
        <w:rPr>
          <w:rFonts w:ascii="Garamond" w:hAnsi="Garamond" w:cs="Times New Roman"/>
          <w:sz w:val="24"/>
          <w:szCs w:val="24"/>
        </w:rPr>
        <w:t xml:space="preserve">Such communication gaps could be seen as fundamental to political life in the modern world: </w:t>
      </w:r>
    </w:p>
    <w:p w:rsidR="00A05ED2" w:rsidRPr="00473B8C" w:rsidRDefault="00A05ED2" w:rsidP="00A05ED2">
      <w:pPr>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ind w:left="284" w:right="284"/>
        <w:jc w:val="both"/>
        <w:rPr>
          <w:rFonts w:ascii="Garamond" w:hAnsi="Garamond" w:cs="Times New Roman"/>
        </w:rPr>
      </w:pPr>
      <w:r w:rsidRPr="00473B8C">
        <w:rPr>
          <w:rFonts w:ascii="Garamond" w:hAnsi="Garamond" w:cs="Times New Roman"/>
        </w:rPr>
        <w:t>Harrowing scen</w:t>
      </w:r>
      <w:r>
        <w:rPr>
          <w:rFonts w:ascii="Garamond" w:hAnsi="Garamond" w:cs="Times New Roman"/>
        </w:rPr>
        <w:t>arios in which people come face-to-</w:t>
      </w:r>
      <w:r w:rsidRPr="00473B8C">
        <w:rPr>
          <w:rFonts w:ascii="Garamond" w:hAnsi="Garamond" w:cs="Times New Roman"/>
        </w:rPr>
        <w:t>face with creatures with whom they have no communication have mul</w:t>
      </w:r>
      <w:r>
        <w:rPr>
          <w:rFonts w:ascii="Garamond" w:hAnsi="Garamond" w:cs="Times New Roman"/>
        </w:rPr>
        <w:t>tiplied enormously in twentieth-</w:t>
      </w:r>
      <w:r w:rsidRPr="00473B8C">
        <w:rPr>
          <w:rFonts w:ascii="Garamond" w:hAnsi="Garamond" w:cs="Times New Roman"/>
        </w:rPr>
        <w:t>century life and thought. To meet abysses of communication at every hand is a part</w:t>
      </w:r>
      <w:r>
        <w:rPr>
          <w:rFonts w:ascii="Garamond" w:hAnsi="Garamond" w:cs="Times New Roman"/>
        </w:rPr>
        <w:t xml:space="preserve"> of what it means to be modern. (Durham-Peters, 1999; 227)</w:t>
      </w:r>
    </w:p>
    <w:p w:rsidR="00A05ED2" w:rsidRPr="00473B8C" w:rsidRDefault="00A05ED2" w:rsidP="00A05ED2">
      <w:pPr>
        <w:spacing w:after="0" w:line="360" w:lineRule="auto"/>
        <w:rPr>
          <w:rFonts w:ascii="Garamond" w:hAnsi="Garamond" w:cs="Times New Roman"/>
          <w:b/>
          <w:sz w:val="28"/>
          <w:szCs w:val="28"/>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Across a wealth of humanitarian camp</w:t>
      </w:r>
      <w:r>
        <w:rPr>
          <w:rFonts w:ascii="Garamond" w:hAnsi="Garamond" w:cs="Times New Roman"/>
          <w:sz w:val="24"/>
          <w:szCs w:val="24"/>
        </w:rPr>
        <w:t>aigns past and present, Durham-</w:t>
      </w:r>
      <w:r w:rsidRPr="00473B8C">
        <w:rPr>
          <w:rFonts w:ascii="Garamond" w:hAnsi="Garamond" w:cs="Times New Roman"/>
          <w:sz w:val="24"/>
          <w:szCs w:val="24"/>
        </w:rPr>
        <w:t xml:space="preserve">Peter’s ‘abysses of communication’ often derive meaning from </w:t>
      </w:r>
      <w:r>
        <w:rPr>
          <w:rFonts w:ascii="Garamond" w:hAnsi="Garamond" w:cs="Times New Roman"/>
          <w:sz w:val="24"/>
          <w:szCs w:val="24"/>
        </w:rPr>
        <w:t>race</w:t>
      </w:r>
      <w:r w:rsidRPr="00473B8C">
        <w:rPr>
          <w:rFonts w:ascii="Garamond" w:hAnsi="Garamond" w:cs="Times New Roman"/>
          <w:sz w:val="24"/>
          <w:szCs w:val="24"/>
        </w:rPr>
        <w:t>. The intensification of globalizing processes concomitant to the “simultaneity of an expanding and shrinking world” (McKittrick, 2006</w:t>
      </w:r>
      <w:r>
        <w:rPr>
          <w:rFonts w:ascii="Garamond" w:hAnsi="Garamond" w:cs="Times New Roman"/>
          <w:sz w:val="24"/>
          <w:szCs w:val="24"/>
        </w:rPr>
        <w:t>:</w:t>
      </w:r>
      <w:r w:rsidRPr="00473B8C">
        <w:rPr>
          <w:rFonts w:ascii="Garamond" w:hAnsi="Garamond" w:cs="Times New Roman"/>
          <w:sz w:val="24"/>
          <w:szCs w:val="24"/>
        </w:rPr>
        <w:t xml:space="preserve"> 15), the onset of ‘commu</w:t>
      </w:r>
      <w:r>
        <w:rPr>
          <w:rFonts w:ascii="Garamond" w:hAnsi="Garamond" w:cs="Times New Roman"/>
          <w:sz w:val="24"/>
          <w:szCs w:val="24"/>
        </w:rPr>
        <w:t>nicative capitalism’ (Dean, 2005</w:t>
      </w:r>
      <w:r w:rsidRPr="00473B8C">
        <w:rPr>
          <w:rFonts w:ascii="Garamond" w:hAnsi="Garamond" w:cs="Times New Roman"/>
          <w:sz w:val="24"/>
          <w:szCs w:val="24"/>
        </w:rPr>
        <w:t xml:space="preserve">) and a mainstreaming (and corporatization) of the ethics of responsibility for distant caring has meant that these abysses of communication frequently present themselves in the </w:t>
      </w:r>
      <w:r w:rsidRPr="00473B8C">
        <w:rPr>
          <w:rFonts w:ascii="Garamond" w:hAnsi="Garamond" w:cs="Times New Roman"/>
          <w:sz w:val="24"/>
          <w:szCs w:val="24"/>
        </w:rPr>
        <w:lastRenderedPageBreak/>
        <w:t>disjuncture between the viewing self and mediatized spectacles of (racialized) suffering. Under liberal humanitarianism, spectacles of suffering are frequently perceived as the problematic of charities and NGOs rather than the state (Barnett, 2010).</w:t>
      </w:r>
    </w:p>
    <w:p w:rsidR="00A05ED2" w:rsidRPr="00473B8C" w:rsidRDefault="00A05ED2" w:rsidP="00A05ED2">
      <w:pPr>
        <w:spacing w:after="0" w:line="360" w:lineRule="auto"/>
        <w:jc w:val="both"/>
        <w:rPr>
          <w:rFonts w:ascii="Garamond" w:hAnsi="Garamond" w:cs="Times New Roman"/>
          <w:i/>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Here, the communicative problem for STT is in making Western publics feel responsibility for the suffering of children on cocoa farms in West Africa. The problem is not as simple as bringing distant suffering proximate as Sheller (2</w:t>
      </w:r>
      <w:r>
        <w:rPr>
          <w:rFonts w:ascii="Garamond" w:hAnsi="Garamond" w:cs="Times New Roman"/>
          <w:sz w:val="24"/>
          <w:szCs w:val="24"/>
        </w:rPr>
        <w:t>003) and Mather and Mackenzie (2006</w:t>
      </w:r>
      <w:r w:rsidRPr="00473B8C">
        <w:rPr>
          <w:rFonts w:ascii="Garamond" w:hAnsi="Garamond" w:cs="Times New Roman"/>
          <w:sz w:val="24"/>
          <w:szCs w:val="24"/>
        </w:rPr>
        <w:t>) argue. In the case of the child-producer topos it is about manipulating topological distance and reifying cultural difference between producers and con</w:t>
      </w:r>
      <w:r>
        <w:rPr>
          <w:rFonts w:ascii="Garamond" w:hAnsi="Garamond" w:cs="Times New Roman"/>
          <w:sz w:val="24"/>
          <w:szCs w:val="24"/>
        </w:rPr>
        <w:t>sumers in ways that produce jaw-</w:t>
      </w:r>
      <w:r w:rsidRPr="00473B8C">
        <w:rPr>
          <w:rFonts w:ascii="Garamond" w:hAnsi="Garamond" w:cs="Times New Roman"/>
          <w:sz w:val="24"/>
          <w:szCs w:val="24"/>
        </w:rPr>
        <w:t>dropping disparities between the relative humanity of producing and consuming bodies. In the humanitarian tradition, communicating the absence of humanity compels action by bringing the ‘grand emotions’ of pity and empathy into play (Pinker, 2011).</w:t>
      </w:r>
      <w:r>
        <w:rPr>
          <w:rFonts w:ascii="Garamond" w:hAnsi="Garamond" w:cs="Times New Roman"/>
          <w:sz w:val="24"/>
          <w:szCs w:val="24"/>
        </w:rPr>
        <w:t xml:space="preserve"> </w:t>
      </w:r>
      <w:r w:rsidRPr="00473B8C">
        <w:rPr>
          <w:rFonts w:ascii="Garamond" w:hAnsi="Garamond" w:cs="Times New Roman"/>
          <w:sz w:val="24"/>
          <w:szCs w:val="24"/>
        </w:rPr>
        <w:t>STT produce illusions, or topoi, of proximity between consumers and producers and depend on the crude emotive work of pity. The staging of this pity is enacted in STT’s campaign literature through severa</w:t>
      </w:r>
      <w:r>
        <w:rPr>
          <w:rFonts w:ascii="Garamond" w:hAnsi="Garamond" w:cs="Times New Roman"/>
          <w:sz w:val="24"/>
          <w:szCs w:val="24"/>
        </w:rPr>
        <w:t>l ‘contact zones’ (Swanton, 2010b</w:t>
      </w:r>
      <w:r w:rsidRPr="00473B8C">
        <w:rPr>
          <w:rFonts w:ascii="Garamond" w:hAnsi="Garamond" w:cs="Times New Roman"/>
          <w:sz w:val="24"/>
          <w:szCs w:val="24"/>
        </w:rPr>
        <w:t>) between trafficked children (who are generally represented or narrated) and Western consumers. Race emerges from these ‘contact zones’ and becomes a way of knowing the unknown. STT’s child producer cocoa campaigns use the ‘authentic’ power of photographed images to exaggerate and shock, and to borrow Bau</w:t>
      </w:r>
      <w:r>
        <w:rPr>
          <w:rFonts w:ascii="Garamond" w:hAnsi="Garamond" w:cs="Times New Roman"/>
          <w:sz w:val="24"/>
          <w:szCs w:val="24"/>
        </w:rPr>
        <w:t>drillard’s term, to make hyper</w:t>
      </w:r>
      <w:r w:rsidRPr="00473B8C">
        <w:rPr>
          <w:rFonts w:ascii="Garamond" w:hAnsi="Garamond" w:cs="Times New Roman"/>
          <w:sz w:val="24"/>
          <w:szCs w:val="24"/>
        </w:rPr>
        <w:t xml:space="preserve">real situations of violence. </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 xml:space="preserve">So, this general argument poses three questions of STT’s child-chocolate topoi. </w:t>
      </w:r>
      <w:r w:rsidRPr="00473B8C">
        <w:rPr>
          <w:rFonts w:ascii="Garamond" w:hAnsi="Garamond" w:cs="Times New Roman"/>
          <w:sz w:val="24"/>
          <w:szCs w:val="24"/>
        </w:rPr>
        <w:t xml:space="preserve">Does race play a part in legitimizing hyperreal violence as an emotive technique?  What role does race play in the invention of fictive children, hostile landscapes and the performative allusions to anthropophagy? </w:t>
      </w:r>
      <w:r>
        <w:rPr>
          <w:rFonts w:ascii="Garamond" w:hAnsi="Garamond" w:cs="Times New Roman"/>
          <w:sz w:val="24"/>
          <w:szCs w:val="24"/>
        </w:rPr>
        <w:t>And h</w:t>
      </w:r>
      <w:r w:rsidRPr="00473B8C">
        <w:rPr>
          <w:rFonts w:ascii="Garamond" w:hAnsi="Garamond" w:cs="Times New Roman"/>
          <w:sz w:val="24"/>
          <w:szCs w:val="24"/>
        </w:rPr>
        <w:t xml:space="preserve">ow does race work as a communicative substitute for engaging with the Ivorian cocoa farmer? </w:t>
      </w:r>
      <w:r>
        <w:rPr>
          <w:rFonts w:ascii="Garamond" w:hAnsi="Garamond" w:cs="Times New Roman"/>
          <w:sz w:val="24"/>
          <w:szCs w:val="24"/>
        </w:rPr>
        <w:t>Let me address these in turn.</w:t>
      </w:r>
    </w:p>
    <w:p w:rsidR="00A05ED2" w:rsidRPr="00473B8C" w:rsidRDefault="00A05ED2" w:rsidP="00A05ED2">
      <w:pPr>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Colour, taste and the child body are the three primary axes through which the humanitarian paradigm racializes the chocolate industry. When the director of Stop The Traffik’s chocolate campaigns, Antonie Fountain, posed the (presumably) rhetorical question “Do you like the taste of children being exploited?” during an interview, his words were, to borrow an analogy from Goldberg (2009), carrying the weight of race. Their weight is derived from modern European histories that determine the anthropophagic as cannibal, and the cannibal as other: “the definition of the other as cannibal justifies its oppression, extermination, and cultural cannibalism otherwise </w:t>
      </w:r>
      <w:r w:rsidRPr="00473B8C">
        <w:rPr>
          <w:rFonts w:ascii="Garamond" w:hAnsi="Garamond" w:cs="Times New Roman"/>
          <w:sz w:val="24"/>
          <w:szCs w:val="24"/>
        </w:rPr>
        <w:lastRenderedPageBreak/>
        <w:t xml:space="preserve">known as imperialism by the rule ‘eat or be eaten’” (Kilgour, 1990; 148). In humanitarian and boycotting discourse, the somatic utility (leading to abstinence) of the anthropophagic trope is rooted in the disgust provoked by eating another human, white anxieties around </w:t>
      </w:r>
      <w:r>
        <w:rPr>
          <w:rFonts w:ascii="Garamond" w:hAnsi="Garamond" w:cs="Times New Roman"/>
          <w:sz w:val="24"/>
          <w:szCs w:val="24"/>
        </w:rPr>
        <w:t xml:space="preserve">food, </w:t>
      </w:r>
      <w:r w:rsidRPr="00473B8C">
        <w:rPr>
          <w:rFonts w:ascii="Garamond" w:hAnsi="Garamond" w:cs="Times New Roman"/>
          <w:sz w:val="24"/>
          <w:szCs w:val="24"/>
        </w:rPr>
        <w:t>black contagion</w:t>
      </w:r>
      <w:r>
        <w:rPr>
          <w:rFonts w:ascii="Garamond" w:hAnsi="Garamond" w:cs="Times New Roman"/>
          <w:sz w:val="24"/>
          <w:szCs w:val="24"/>
        </w:rPr>
        <w:t xml:space="preserve"> and appropriation (Morton, 2000; Sheller, 2003</w:t>
      </w:r>
      <w:r w:rsidRPr="00473B8C">
        <w:rPr>
          <w:rFonts w:ascii="Garamond" w:hAnsi="Garamond" w:cs="Times New Roman"/>
          <w:sz w:val="24"/>
          <w:szCs w:val="24"/>
        </w:rPr>
        <w:t>).  Arriving as a rational conseq</w:t>
      </w:r>
      <w:r>
        <w:rPr>
          <w:rFonts w:ascii="Garamond" w:hAnsi="Garamond" w:cs="Times New Roman"/>
          <w:sz w:val="24"/>
          <w:szCs w:val="24"/>
        </w:rPr>
        <w:t xml:space="preserve">uence of visceral disgust, </w:t>
      </w:r>
      <w:r w:rsidRPr="00473B8C">
        <w:rPr>
          <w:rFonts w:ascii="Garamond" w:hAnsi="Garamond" w:cs="Times New Roman"/>
          <w:sz w:val="24"/>
          <w:szCs w:val="24"/>
        </w:rPr>
        <w:t>the line “do you like the taste of children being exploited</w:t>
      </w:r>
      <w:r>
        <w:rPr>
          <w:rFonts w:ascii="Garamond" w:hAnsi="Garamond" w:cs="Times New Roman"/>
          <w:sz w:val="24"/>
          <w:szCs w:val="24"/>
        </w:rPr>
        <w:t>?</w:t>
      </w:r>
      <w:r w:rsidRPr="00473B8C">
        <w:rPr>
          <w:rFonts w:ascii="Garamond" w:hAnsi="Garamond" w:cs="Times New Roman"/>
          <w:sz w:val="24"/>
          <w:szCs w:val="24"/>
        </w:rPr>
        <w:t>” b</w:t>
      </w:r>
      <w:r>
        <w:rPr>
          <w:rFonts w:ascii="Garamond" w:hAnsi="Garamond" w:cs="Times New Roman"/>
          <w:sz w:val="24"/>
          <w:szCs w:val="24"/>
        </w:rPr>
        <w:t xml:space="preserve">ecomes a burden to its recipient through </w:t>
      </w:r>
      <w:r w:rsidRPr="00473B8C">
        <w:rPr>
          <w:rFonts w:ascii="Garamond" w:hAnsi="Garamond" w:cs="Times New Roman"/>
          <w:sz w:val="24"/>
          <w:szCs w:val="24"/>
        </w:rPr>
        <w:t xml:space="preserve">the guilt over the metaphorical association with consuming the other, and </w:t>
      </w:r>
      <w:r>
        <w:rPr>
          <w:rFonts w:ascii="Garamond" w:hAnsi="Garamond" w:cs="Times New Roman"/>
          <w:sz w:val="24"/>
          <w:szCs w:val="24"/>
        </w:rPr>
        <w:t>through</w:t>
      </w:r>
      <w:r w:rsidRPr="00473B8C">
        <w:rPr>
          <w:rFonts w:ascii="Garamond" w:hAnsi="Garamond" w:cs="Times New Roman"/>
          <w:sz w:val="24"/>
          <w:szCs w:val="24"/>
        </w:rPr>
        <w:t xml:space="preserve"> </w:t>
      </w:r>
      <w:r>
        <w:rPr>
          <w:rFonts w:ascii="Garamond" w:hAnsi="Garamond" w:cs="Times New Roman"/>
          <w:sz w:val="24"/>
          <w:szCs w:val="24"/>
        </w:rPr>
        <w:t xml:space="preserve">the </w:t>
      </w:r>
      <w:r w:rsidRPr="00473B8C">
        <w:rPr>
          <w:rFonts w:ascii="Garamond" w:hAnsi="Garamond" w:cs="Times New Roman"/>
          <w:sz w:val="24"/>
          <w:szCs w:val="24"/>
        </w:rPr>
        <w:t>realization that by eating chocolate</w:t>
      </w:r>
      <w:r>
        <w:rPr>
          <w:rFonts w:ascii="Garamond" w:hAnsi="Garamond" w:cs="Times New Roman"/>
          <w:sz w:val="24"/>
          <w:szCs w:val="24"/>
        </w:rPr>
        <w:t>,</w:t>
      </w:r>
      <w:r w:rsidRPr="00473B8C">
        <w:rPr>
          <w:rFonts w:ascii="Garamond" w:hAnsi="Garamond" w:cs="Times New Roman"/>
          <w:sz w:val="24"/>
          <w:szCs w:val="24"/>
        </w:rPr>
        <w:t xml:space="preserve"> the consumer</w:t>
      </w:r>
      <w:r>
        <w:rPr>
          <w:rFonts w:ascii="Garamond" w:hAnsi="Garamond" w:cs="Times New Roman"/>
          <w:sz w:val="24"/>
          <w:szCs w:val="24"/>
        </w:rPr>
        <w:t xml:space="preserve"> may be complicit with the </w:t>
      </w:r>
      <w:r w:rsidRPr="00473B8C">
        <w:rPr>
          <w:rFonts w:ascii="Garamond" w:hAnsi="Garamond" w:cs="Times New Roman"/>
          <w:sz w:val="24"/>
          <w:szCs w:val="24"/>
        </w:rPr>
        <w:t>suffering</w:t>
      </w:r>
      <w:r>
        <w:rPr>
          <w:rFonts w:ascii="Garamond" w:hAnsi="Garamond" w:cs="Times New Roman"/>
          <w:sz w:val="24"/>
          <w:szCs w:val="24"/>
        </w:rPr>
        <w:t xml:space="preserve"> of cocoa-producing children</w:t>
      </w:r>
      <w:r w:rsidRPr="00473B8C">
        <w:rPr>
          <w:rFonts w:ascii="Garamond" w:hAnsi="Garamond" w:cs="Times New Roman"/>
          <w:sz w:val="24"/>
          <w:szCs w:val="24"/>
        </w:rPr>
        <w:t>. The suggestion is an inversion of the imperial trope of the ‘white man’s burden’, which made the imperative to sovereignty appear like an unwanted obligation, or even request, to ‘civilize’. Instead the white consumer dons the mask of cannibalism, a burden that can only be lifted through the purification of the self.</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473B8C"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 xml:space="preserve">Across two </w:t>
      </w:r>
      <w:r w:rsidRPr="00473B8C">
        <w:rPr>
          <w:rFonts w:ascii="Garamond" w:hAnsi="Garamond" w:cs="Times New Roman"/>
          <w:sz w:val="24"/>
          <w:szCs w:val="24"/>
        </w:rPr>
        <w:t>investigative documentaries</w:t>
      </w:r>
      <w:r>
        <w:rPr>
          <w:rFonts w:ascii="Garamond" w:hAnsi="Garamond" w:cs="Times New Roman"/>
          <w:sz w:val="24"/>
          <w:szCs w:val="24"/>
        </w:rPr>
        <w:t xml:space="preserve"> (shown on the BBC and other European networks)</w:t>
      </w:r>
      <w:r w:rsidRPr="00473B8C">
        <w:rPr>
          <w:rFonts w:ascii="Garamond" w:hAnsi="Garamond" w:cs="Times New Roman"/>
          <w:sz w:val="24"/>
          <w:szCs w:val="24"/>
        </w:rPr>
        <w:t xml:space="preserve">, various school education packs distributed worldwide, the film </w:t>
      </w:r>
      <w:r w:rsidRPr="00473B8C">
        <w:rPr>
          <w:rFonts w:ascii="Garamond" w:hAnsi="Garamond" w:cs="Times New Roman"/>
          <w:i/>
          <w:sz w:val="24"/>
          <w:szCs w:val="24"/>
        </w:rPr>
        <w:t>Amazing Grace</w:t>
      </w:r>
      <w:r>
        <w:rPr>
          <w:rFonts w:ascii="Garamond" w:hAnsi="Garamond" w:cs="Times New Roman"/>
          <w:sz w:val="24"/>
          <w:szCs w:val="24"/>
        </w:rPr>
        <w:t>,</w:t>
      </w:r>
      <w:r w:rsidRPr="00473B8C">
        <w:rPr>
          <w:rFonts w:ascii="Garamond" w:hAnsi="Garamond" w:cs="Times New Roman"/>
          <w:i/>
          <w:sz w:val="24"/>
          <w:szCs w:val="24"/>
        </w:rPr>
        <w:t xml:space="preserve"> </w:t>
      </w:r>
      <w:r>
        <w:rPr>
          <w:rFonts w:ascii="Garamond" w:hAnsi="Garamond" w:cs="Times New Roman"/>
          <w:sz w:val="24"/>
          <w:szCs w:val="24"/>
        </w:rPr>
        <w:t xml:space="preserve">and </w:t>
      </w:r>
      <w:r w:rsidRPr="00473B8C">
        <w:rPr>
          <w:rFonts w:ascii="Garamond" w:hAnsi="Garamond" w:cs="Times New Roman"/>
          <w:sz w:val="24"/>
          <w:szCs w:val="24"/>
        </w:rPr>
        <w:t>their inaugural anti-trafficking handbook, STT endorse performances of humanitarian communication that help “nourish the moral imagination of the West” (Calhoun, 2008</w:t>
      </w:r>
      <w:r>
        <w:rPr>
          <w:rFonts w:ascii="Garamond" w:hAnsi="Garamond" w:cs="Times New Roman"/>
          <w:sz w:val="24"/>
          <w:szCs w:val="24"/>
        </w:rPr>
        <w:t xml:space="preserve"> </w:t>
      </w:r>
      <w:r w:rsidRPr="00473B8C">
        <w:rPr>
          <w:rFonts w:ascii="Garamond" w:hAnsi="Garamond" w:cs="Times New Roman"/>
          <w:sz w:val="24"/>
          <w:szCs w:val="24"/>
        </w:rPr>
        <w:t>in Chouliaraki, 2010</w:t>
      </w:r>
      <w:r>
        <w:rPr>
          <w:rFonts w:ascii="Garamond" w:hAnsi="Garamond" w:cs="Times New Roman"/>
          <w:sz w:val="24"/>
          <w:szCs w:val="24"/>
        </w:rPr>
        <w:t>: 111</w:t>
      </w:r>
      <w:r w:rsidRPr="00473B8C">
        <w:rPr>
          <w:rFonts w:ascii="Garamond" w:hAnsi="Garamond" w:cs="Times New Roman"/>
          <w:sz w:val="24"/>
          <w:szCs w:val="24"/>
        </w:rPr>
        <w:t>) while also performing the requirement and justification for universal human rights. As humanitarian performances they act as a type of Western moral education, and suggest ways of feeling and acting towards cocoa producers and the chocolate industry. In STT’s case</w:t>
      </w:r>
      <w:r>
        <w:rPr>
          <w:rFonts w:ascii="Garamond" w:hAnsi="Garamond" w:cs="Times New Roman"/>
          <w:sz w:val="24"/>
          <w:szCs w:val="24"/>
        </w:rPr>
        <w:t>,</w:t>
      </w:r>
      <w:r w:rsidRPr="00473B8C">
        <w:rPr>
          <w:rFonts w:ascii="Garamond" w:hAnsi="Garamond" w:cs="Times New Roman"/>
          <w:sz w:val="24"/>
          <w:szCs w:val="24"/>
        </w:rPr>
        <w:t xml:space="preserve"> this communication is achieved through appealing to a politics of pity, a</w:t>
      </w:r>
      <w:r>
        <w:rPr>
          <w:rFonts w:ascii="Garamond" w:hAnsi="Garamond" w:cs="Times New Roman"/>
          <w:sz w:val="24"/>
          <w:szCs w:val="24"/>
        </w:rPr>
        <w:t>s well as</w:t>
      </w:r>
      <w:r w:rsidRPr="00473B8C">
        <w:rPr>
          <w:rFonts w:ascii="Garamond" w:hAnsi="Garamond" w:cs="Times New Roman"/>
          <w:sz w:val="24"/>
          <w:szCs w:val="24"/>
        </w:rPr>
        <w:t xml:space="preserve"> through more subtle ‘post-humanitarian’ emotions such as pride and </w:t>
      </w:r>
      <w:r>
        <w:rPr>
          <w:rFonts w:ascii="Garamond" w:hAnsi="Garamond" w:cs="Times New Roman"/>
          <w:sz w:val="24"/>
          <w:szCs w:val="24"/>
        </w:rPr>
        <w:t>belonging.  As rights-</w:t>
      </w:r>
      <w:r w:rsidRPr="00473B8C">
        <w:rPr>
          <w:rFonts w:ascii="Garamond" w:hAnsi="Garamond" w:cs="Times New Roman"/>
          <w:sz w:val="24"/>
          <w:szCs w:val="24"/>
        </w:rPr>
        <w:t xml:space="preserve">based performances, STT’s campaigns reinforce the legitimacy of the UN and the ILO’s laws on universal rights for the cocoa labourer (including </w:t>
      </w:r>
      <w:r>
        <w:rPr>
          <w:rFonts w:ascii="Garamond" w:hAnsi="Garamond" w:cs="Times New Roman"/>
          <w:sz w:val="24"/>
          <w:szCs w:val="24"/>
        </w:rPr>
        <w:t>‘</w:t>
      </w:r>
      <w:r w:rsidRPr="00473B8C">
        <w:rPr>
          <w:rFonts w:ascii="Garamond" w:hAnsi="Garamond" w:cs="Times New Roman"/>
          <w:sz w:val="24"/>
          <w:szCs w:val="24"/>
        </w:rPr>
        <w:t>Worst Cases of Child Labor</w:t>
      </w:r>
      <w:r>
        <w:rPr>
          <w:rFonts w:ascii="Garamond" w:hAnsi="Garamond" w:cs="Times New Roman"/>
          <w:sz w:val="24"/>
          <w:szCs w:val="24"/>
        </w:rPr>
        <w:t>’</w:t>
      </w:r>
      <w:r w:rsidRPr="00473B8C">
        <w:rPr>
          <w:rFonts w:ascii="Garamond" w:hAnsi="Garamond" w:cs="Times New Roman"/>
          <w:sz w:val="24"/>
          <w:szCs w:val="24"/>
        </w:rPr>
        <w:t xml:space="preserve"> and </w:t>
      </w:r>
      <w:r>
        <w:rPr>
          <w:rFonts w:ascii="Garamond" w:hAnsi="Garamond" w:cs="Times New Roman"/>
          <w:sz w:val="24"/>
          <w:szCs w:val="24"/>
        </w:rPr>
        <w:t>‘</w:t>
      </w:r>
      <w:r w:rsidRPr="00473B8C">
        <w:rPr>
          <w:rFonts w:ascii="Garamond" w:hAnsi="Garamond" w:cs="Times New Roman"/>
          <w:sz w:val="24"/>
          <w:szCs w:val="24"/>
        </w:rPr>
        <w:t>Forced Adult Labor</w:t>
      </w:r>
      <w:r>
        <w:rPr>
          <w:rFonts w:ascii="Garamond" w:hAnsi="Garamond" w:cs="Times New Roman"/>
          <w:sz w:val="24"/>
          <w:szCs w:val="24"/>
        </w:rPr>
        <w:t>’</w:t>
      </w:r>
      <w:r w:rsidRPr="00473B8C">
        <w:rPr>
          <w:rFonts w:ascii="Garamond" w:hAnsi="Garamond" w:cs="Times New Roman"/>
          <w:sz w:val="24"/>
          <w:szCs w:val="24"/>
        </w:rPr>
        <w:t>), and</w:t>
      </w:r>
      <w:r>
        <w:rPr>
          <w:rFonts w:ascii="Garamond" w:hAnsi="Garamond" w:cs="Times New Roman"/>
          <w:sz w:val="24"/>
          <w:szCs w:val="24"/>
        </w:rPr>
        <w:t xml:space="preserve"> </w:t>
      </w:r>
      <w:r w:rsidRPr="00473B8C">
        <w:rPr>
          <w:rFonts w:ascii="Garamond" w:hAnsi="Garamond" w:cs="Times New Roman"/>
          <w:sz w:val="24"/>
          <w:szCs w:val="24"/>
        </w:rPr>
        <w:t>produce dioramas of witness and testimony that indicate wh</w:t>
      </w:r>
      <w:r>
        <w:rPr>
          <w:rFonts w:ascii="Garamond" w:hAnsi="Garamond" w:cs="Times New Roman"/>
          <w:sz w:val="24"/>
          <w:szCs w:val="24"/>
        </w:rPr>
        <w:t>en these standards are not</w:t>
      </w:r>
      <w:r w:rsidRPr="00473B8C">
        <w:rPr>
          <w:rFonts w:ascii="Garamond" w:hAnsi="Garamond" w:cs="Times New Roman"/>
          <w:sz w:val="24"/>
          <w:szCs w:val="24"/>
        </w:rPr>
        <w:t xml:space="preserve"> met in the </w:t>
      </w:r>
      <w:r>
        <w:rPr>
          <w:rFonts w:ascii="Garamond" w:hAnsi="Garamond" w:cs="Times New Roman"/>
          <w:sz w:val="24"/>
          <w:szCs w:val="24"/>
        </w:rPr>
        <w:t>Côte</w:t>
      </w:r>
      <w:r w:rsidRPr="00473B8C">
        <w:rPr>
          <w:rFonts w:ascii="Garamond" w:hAnsi="Garamond" w:cs="Times New Roman"/>
          <w:sz w:val="24"/>
          <w:szCs w:val="24"/>
        </w:rPr>
        <w:t xml:space="preserve"> D’Ivoire. In school and youth workshops these testimonial dioramas are used to create simple comparative frameworks that juxtapose the relative freedoms and rights of child cocoa labourers tricked into slavery </w:t>
      </w:r>
      <w:r>
        <w:rPr>
          <w:rFonts w:ascii="Garamond" w:hAnsi="Garamond" w:cs="Times New Roman"/>
          <w:sz w:val="24"/>
          <w:szCs w:val="24"/>
        </w:rPr>
        <w:t xml:space="preserve">with those of </w:t>
      </w:r>
      <w:r w:rsidRPr="00473B8C">
        <w:rPr>
          <w:rFonts w:ascii="Garamond" w:hAnsi="Garamond" w:cs="Times New Roman"/>
          <w:sz w:val="24"/>
          <w:szCs w:val="24"/>
        </w:rPr>
        <w:t>European children (interview</w:t>
      </w:r>
      <w:r>
        <w:rPr>
          <w:rFonts w:ascii="Garamond" w:hAnsi="Garamond" w:cs="Times New Roman"/>
          <w:sz w:val="24"/>
          <w:szCs w:val="24"/>
        </w:rPr>
        <w:t>, Sophie</w:t>
      </w:r>
      <w:r w:rsidRPr="00473B8C">
        <w:rPr>
          <w:rFonts w:ascii="Garamond" w:hAnsi="Garamond" w:cs="Times New Roman"/>
          <w:sz w:val="24"/>
          <w:szCs w:val="24"/>
        </w:rPr>
        <w:t xml:space="preserve"> 2011)</w:t>
      </w:r>
      <w:r>
        <w:rPr>
          <w:rFonts w:ascii="Garamond" w:hAnsi="Garamond" w:cs="Times New Roman"/>
          <w:sz w:val="24"/>
          <w:szCs w:val="24"/>
        </w:rPr>
        <w:t xml:space="preserve">. </w:t>
      </w:r>
      <w:r w:rsidRPr="00473B8C">
        <w:rPr>
          <w:rFonts w:ascii="Garamond" w:hAnsi="Garamond" w:cs="Times New Roman"/>
          <w:sz w:val="24"/>
          <w:szCs w:val="24"/>
        </w:rPr>
        <w:t>The</w:t>
      </w:r>
      <w:r>
        <w:rPr>
          <w:rFonts w:ascii="Garamond" w:hAnsi="Garamond" w:cs="Times New Roman"/>
          <w:sz w:val="24"/>
          <w:szCs w:val="24"/>
        </w:rPr>
        <w:t>se</w:t>
      </w:r>
      <w:r w:rsidRPr="00473B8C">
        <w:rPr>
          <w:rFonts w:ascii="Garamond" w:hAnsi="Garamond" w:cs="Times New Roman"/>
          <w:sz w:val="24"/>
          <w:szCs w:val="24"/>
        </w:rPr>
        <w:t xml:space="preserve"> humanitarian performances are largely raced along </w:t>
      </w:r>
      <w:r>
        <w:rPr>
          <w:rFonts w:ascii="Garamond" w:hAnsi="Garamond" w:cs="Times New Roman"/>
          <w:sz w:val="24"/>
          <w:szCs w:val="24"/>
        </w:rPr>
        <w:t xml:space="preserve">a </w:t>
      </w:r>
      <w:r w:rsidRPr="00473B8C">
        <w:rPr>
          <w:rFonts w:ascii="Garamond" w:hAnsi="Garamond" w:cs="Times New Roman"/>
          <w:sz w:val="24"/>
          <w:szCs w:val="24"/>
        </w:rPr>
        <w:t>neo-imperial black/white colourline. Depending on context</w:t>
      </w:r>
      <w:r>
        <w:rPr>
          <w:rFonts w:ascii="Garamond" w:hAnsi="Garamond" w:cs="Times New Roman"/>
          <w:sz w:val="24"/>
          <w:szCs w:val="24"/>
        </w:rPr>
        <w:t>,</w:t>
      </w:r>
      <w:r w:rsidRPr="00473B8C">
        <w:rPr>
          <w:rFonts w:ascii="Garamond" w:hAnsi="Garamond" w:cs="Times New Roman"/>
          <w:sz w:val="24"/>
          <w:szCs w:val="24"/>
        </w:rPr>
        <w:t xml:space="preserve"> a white humanitarian interpretation of ‘blackness’ adds or removes efficacy to particular ‘connective’ emotions and operates as a distinguishing device for the man/child binary that informs the problematic of, and threats to, the white universal ideal of childhood. </w:t>
      </w:r>
    </w:p>
    <w:p w:rsidR="00A05ED2" w:rsidRPr="00473B8C" w:rsidRDefault="00A05ED2" w:rsidP="00A05ED2">
      <w:pPr>
        <w:spacing w:after="0" w:line="360" w:lineRule="auto"/>
        <w:jc w:val="both"/>
        <w:rPr>
          <w:rFonts w:ascii="Garamond" w:hAnsi="Garamond" w:cs="Times New Roman"/>
          <w:sz w:val="24"/>
          <w:szCs w:val="24"/>
        </w:rPr>
      </w:pPr>
    </w:p>
    <w:p w:rsidR="00A05ED2" w:rsidRPr="00713C2E" w:rsidRDefault="00A05ED2" w:rsidP="00A05ED2">
      <w:pPr>
        <w:autoSpaceDE w:val="0"/>
        <w:autoSpaceDN w:val="0"/>
        <w:adjustRightInd w:val="0"/>
        <w:spacing w:after="0" w:line="360" w:lineRule="auto"/>
        <w:rPr>
          <w:rFonts w:ascii="Garamond" w:hAnsi="Garamond" w:cs="Times New Roman"/>
          <w:b/>
          <w:i/>
          <w:szCs w:val="23"/>
        </w:rPr>
      </w:pPr>
      <w:r w:rsidRPr="00713C2E">
        <w:rPr>
          <w:rFonts w:ascii="Garamond" w:hAnsi="Garamond" w:cs="Times New Roman"/>
          <w:b/>
          <w:i/>
          <w:szCs w:val="23"/>
        </w:rPr>
        <w:lastRenderedPageBreak/>
        <w:t>Mainstream Developmental Discourse</w:t>
      </w:r>
    </w:p>
    <w:p w:rsidR="00A05ED2" w:rsidRPr="00473B8C" w:rsidRDefault="00A05ED2" w:rsidP="00A05ED2">
      <w:pPr>
        <w:autoSpaceDE w:val="0"/>
        <w:autoSpaceDN w:val="0"/>
        <w:adjustRightInd w:val="0"/>
        <w:spacing w:after="0" w:line="360" w:lineRule="auto"/>
        <w:rPr>
          <w:rFonts w:ascii="Garamond" w:hAnsi="Garamond" w:cs="Times New Roman"/>
          <w:sz w:val="23"/>
          <w:szCs w:val="23"/>
        </w:rPr>
      </w:pPr>
    </w:p>
    <w:p w:rsidR="00A05ED2"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rPr>
        <w:t>The second frame of ethical communication</w:t>
      </w:r>
      <w:r>
        <w:rPr>
          <w:rFonts w:ascii="Garamond" w:hAnsi="Garamond" w:cs="Times New Roman"/>
          <w:sz w:val="24"/>
          <w:szCs w:val="24"/>
        </w:rPr>
        <w:t xml:space="preserve"> apparent within STT’s work</w:t>
      </w:r>
      <w:r w:rsidRPr="00473B8C">
        <w:rPr>
          <w:rFonts w:ascii="Garamond" w:hAnsi="Garamond" w:cs="Times New Roman"/>
          <w:sz w:val="24"/>
          <w:szCs w:val="24"/>
        </w:rPr>
        <w:t xml:space="preserve"> also uses the child producer topos, but involves a widening of humanitarian discourse so that fair</w:t>
      </w:r>
      <w:r>
        <w:rPr>
          <w:rFonts w:ascii="Garamond" w:hAnsi="Garamond" w:cs="Times New Roman"/>
          <w:sz w:val="24"/>
          <w:szCs w:val="24"/>
        </w:rPr>
        <w:t xml:space="preserve"> </w:t>
      </w:r>
      <w:r w:rsidRPr="00473B8C">
        <w:rPr>
          <w:rFonts w:ascii="Garamond" w:hAnsi="Garamond" w:cs="Times New Roman"/>
          <w:sz w:val="24"/>
          <w:szCs w:val="24"/>
        </w:rPr>
        <w:t xml:space="preserve">trade is located in a </w:t>
      </w:r>
      <w:r>
        <w:rPr>
          <w:rFonts w:ascii="Garamond" w:hAnsi="Garamond" w:cs="Times New Roman"/>
          <w:sz w:val="24"/>
          <w:szCs w:val="24"/>
        </w:rPr>
        <w:t>broader</w:t>
      </w:r>
      <w:r w:rsidRPr="00473B8C">
        <w:rPr>
          <w:rFonts w:ascii="Garamond" w:hAnsi="Garamond" w:cs="Times New Roman"/>
          <w:sz w:val="24"/>
          <w:szCs w:val="24"/>
        </w:rPr>
        <w:t xml:space="preserve"> neoliberal developmental discourse.</w:t>
      </w:r>
      <w:r>
        <w:rPr>
          <w:rFonts w:ascii="Garamond" w:hAnsi="Garamond" w:cs="Times New Roman"/>
          <w:sz w:val="24"/>
          <w:szCs w:val="24"/>
        </w:rPr>
        <w:t xml:space="preserve"> </w:t>
      </w:r>
      <w:r w:rsidRPr="00473B8C">
        <w:rPr>
          <w:rFonts w:ascii="Garamond" w:hAnsi="Garamond" w:cs="Times New Roman"/>
          <w:sz w:val="24"/>
          <w:szCs w:val="24"/>
        </w:rPr>
        <w:t>Instead of situating violations of the chocolate industry on the individual producer, developmental discourse</w:t>
      </w:r>
      <w:r w:rsidRPr="00473B8C">
        <w:rPr>
          <w:rFonts w:ascii="Garamond" w:hAnsi="Garamond" w:cs="Times New Roman"/>
          <w:i/>
          <w:sz w:val="24"/>
          <w:szCs w:val="24"/>
        </w:rPr>
        <w:t xml:space="preserve"> </w:t>
      </w:r>
      <w:r w:rsidRPr="00473B8C">
        <w:rPr>
          <w:rFonts w:ascii="Garamond" w:hAnsi="Garamond" w:cs="Times New Roman"/>
          <w:sz w:val="24"/>
          <w:szCs w:val="24"/>
        </w:rPr>
        <w:t xml:space="preserve">highlights the failure of producer states in protecting these individual rights. Rather than operating solely at public level among Western consumers and NGOs, the approach is common to policy directives between NGOs and supra-national economic organizations and “clings to the belief of a more ordered and stabilized world than the </w:t>
      </w:r>
      <w:r>
        <w:rPr>
          <w:rFonts w:ascii="Garamond" w:hAnsi="Garamond" w:cs="Times New Roman"/>
          <w:sz w:val="24"/>
          <w:szCs w:val="24"/>
        </w:rPr>
        <w:t>one we live in” (Nordstrom, 2008:</w:t>
      </w:r>
      <w:r w:rsidRPr="00473B8C">
        <w:rPr>
          <w:rFonts w:ascii="Garamond" w:hAnsi="Garamond" w:cs="Times New Roman"/>
          <w:sz w:val="24"/>
          <w:szCs w:val="24"/>
        </w:rPr>
        <w:t xml:space="preserve"> 403). The cocoa industry is held responsible for regulating production in places where the state is considered too weak to govern and monitor its borders. A series of internationally ratified anti-trafficking laws separate the arenas of legal and non-legal economic activities, and position informal markets outside the mandate of the global economy (Strange, 1996</w:t>
      </w:r>
      <w:r>
        <w:rPr>
          <w:rFonts w:ascii="Garamond" w:hAnsi="Garamond" w:cs="Times New Roman"/>
          <w:sz w:val="24"/>
          <w:szCs w:val="24"/>
        </w:rPr>
        <w:t xml:space="preserve">; </w:t>
      </w:r>
      <w:r w:rsidRPr="00473B8C">
        <w:rPr>
          <w:rFonts w:ascii="Garamond" w:hAnsi="Garamond" w:cs="Times New Roman"/>
          <w:sz w:val="24"/>
          <w:szCs w:val="24"/>
        </w:rPr>
        <w:t xml:space="preserve">Castells, 1998; </w:t>
      </w:r>
      <w:r>
        <w:rPr>
          <w:rFonts w:ascii="Garamond" w:hAnsi="Garamond" w:cs="Times New Roman"/>
          <w:sz w:val="24"/>
          <w:szCs w:val="24"/>
        </w:rPr>
        <w:t>Nordstrom, 2008</w:t>
      </w:r>
      <w:r w:rsidRPr="00473B8C">
        <w:rPr>
          <w:rFonts w:ascii="Garamond" w:hAnsi="Garamond" w:cs="Times New Roman"/>
          <w:sz w:val="24"/>
          <w:szCs w:val="24"/>
        </w:rPr>
        <w:t>). Chocolate developmental discourse tends towards absolutist language in dealing with abolitionist causes, seeking to expose and de-qualify ‘unofficial’, ‘illicit’ or ‘deviant’ production and trade operating outside the jurisdiction of the state sovereignty and international law. In recent years</w:t>
      </w:r>
      <w:r>
        <w:rPr>
          <w:rFonts w:ascii="Garamond" w:hAnsi="Garamond" w:cs="Times New Roman"/>
          <w:sz w:val="24"/>
          <w:szCs w:val="24"/>
        </w:rPr>
        <w:t>,</w:t>
      </w:r>
      <w:r w:rsidRPr="00473B8C">
        <w:rPr>
          <w:rFonts w:ascii="Garamond" w:hAnsi="Garamond" w:cs="Times New Roman"/>
          <w:sz w:val="24"/>
          <w:szCs w:val="24"/>
        </w:rPr>
        <w:t xml:space="preserve"> anti-trafficking organizations and their partners operate as a quasi security force in countries with weak g</w:t>
      </w:r>
      <w:r>
        <w:rPr>
          <w:rFonts w:ascii="Garamond" w:hAnsi="Garamond" w:cs="Times New Roman"/>
          <w:sz w:val="24"/>
          <w:szCs w:val="24"/>
        </w:rPr>
        <w:t xml:space="preserve">overnance. To this extent, </w:t>
      </w:r>
      <w:r w:rsidRPr="00473B8C">
        <w:rPr>
          <w:rFonts w:ascii="Garamond" w:hAnsi="Garamond" w:cs="Times New Roman"/>
          <w:sz w:val="24"/>
          <w:szCs w:val="24"/>
        </w:rPr>
        <w:t xml:space="preserve">anti-trafficking offers a foothold and a gateway for exerting European power. </w:t>
      </w:r>
      <w:r>
        <w:rPr>
          <w:rFonts w:ascii="Garamond" w:hAnsi="Garamond" w:cs="Times New Roman"/>
          <w:sz w:val="24"/>
          <w:szCs w:val="24"/>
        </w:rPr>
        <w:t>W</w:t>
      </w:r>
      <w:r w:rsidRPr="00473B8C">
        <w:rPr>
          <w:rFonts w:ascii="Garamond" w:hAnsi="Garamond" w:cs="Times New Roman"/>
          <w:sz w:val="24"/>
          <w:szCs w:val="24"/>
        </w:rPr>
        <w:t>hen applied to places without formal governance or economy</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d</w:t>
      </w:r>
      <w:r w:rsidRPr="00473B8C">
        <w:rPr>
          <w:rFonts w:ascii="Garamond" w:hAnsi="Garamond" w:cs="Times New Roman"/>
          <w:sz w:val="24"/>
          <w:szCs w:val="24"/>
        </w:rPr>
        <w:t>iscourses of universal rights and international security</w:t>
      </w:r>
      <w:r>
        <w:rPr>
          <w:rFonts w:ascii="Garamond" w:hAnsi="Garamond" w:cs="Times New Roman"/>
          <w:sz w:val="24"/>
          <w:szCs w:val="24"/>
        </w:rPr>
        <w:t xml:space="preserve"> </w:t>
      </w:r>
      <w:r w:rsidRPr="00473B8C">
        <w:rPr>
          <w:rFonts w:ascii="Garamond" w:hAnsi="Garamond" w:cs="Times New Roman"/>
          <w:sz w:val="24"/>
          <w:szCs w:val="24"/>
        </w:rPr>
        <w:t xml:space="preserve">frequently turn the accidents of birthplace, gender and race into the primary causal factors for being above or below governance, or inside or outside the jurisdiction of law. Life and death dealing decisions are made by the ungoverned ‘dark matter’ </w:t>
      </w:r>
      <w:r>
        <w:rPr>
          <w:rFonts w:ascii="Garamond" w:hAnsi="Garamond" w:cs="Times New Roman"/>
          <w:sz w:val="24"/>
          <w:szCs w:val="24"/>
        </w:rPr>
        <w:t xml:space="preserve">of race </w:t>
      </w:r>
      <w:r w:rsidRPr="00473B8C">
        <w:rPr>
          <w:rFonts w:ascii="Garamond" w:hAnsi="Garamond" w:cs="Times New Roman"/>
          <w:sz w:val="24"/>
          <w:szCs w:val="24"/>
        </w:rPr>
        <w:t>(Winan</w:t>
      </w:r>
      <w:r>
        <w:rPr>
          <w:rFonts w:ascii="Garamond" w:hAnsi="Garamond" w:cs="Times New Roman"/>
          <w:sz w:val="24"/>
          <w:szCs w:val="24"/>
        </w:rPr>
        <w:t>t, 2011</w:t>
      </w:r>
      <w:r w:rsidRPr="00473B8C">
        <w:rPr>
          <w:rFonts w:ascii="Garamond" w:hAnsi="Garamond" w:cs="Times New Roman"/>
          <w:sz w:val="24"/>
          <w:szCs w:val="24"/>
        </w:rPr>
        <w:t>), rather t</w:t>
      </w:r>
      <w:r>
        <w:rPr>
          <w:rFonts w:ascii="Garamond" w:hAnsi="Garamond" w:cs="Times New Roman"/>
          <w:sz w:val="24"/>
          <w:szCs w:val="24"/>
        </w:rPr>
        <w:t>han by</w:t>
      </w:r>
      <w:r w:rsidRPr="00473B8C">
        <w:rPr>
          <w:rFonts w:ascii="Garamond" w:hAnsi="Garamond" w:cs="Times New Roman"/>
          <w:sz w:val="24"/>
          <w:szCs w:val="24"/>
        </w:rPr>
        <w:t xml:space="preserve"> explicitly governed issues.</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8E1016" w:rsidRDefault="00A05ED2" w:rsidP="00A05ED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In a recent paper, </w:t>
      </w:r>
      <w:r w:rsidRPr="00473B8C">
        <w:rPr>
          <w:rFonts w:ascii="Garamond" w:hAnsi="Garamond" w:cs="Times New Roman"/>
          <w:sz w:val="24"/>
          <w:szCs w:val="24"/>
        </w:rPr>
        <w:t>Rachel Silvey (2009) analyses three World Bank Development Reports and argues that they help forge an ‘anaemic’ develop</w:t>
      </w:r>
      <w:r>
        <w:rPr>
          <w:rFonts w:ascii="Garamond" w:hAnsi="Garamond" w:cs="Times New Roman"/>
          <w:sz w:val="24"/>
          <w:szCs w:val="24"/>
        </w:rPr>
        <w:t>ment geography. This geography, she argues, de-politicizes migration and</w:t>
      </w:r>
      <w:r w:rsidRPr="00473B8C">
        <w:rPr>
          <w:rFonts w:ascii="Garamond" w:hAnsi="Garamond" w:cs="Times New Roman"/>
          <w:sz w:val="24"/>
          <w:szCs w:val="24"/>
        </w:rPr>
        <w:t xml:space="preserve"> neglects the impact of global capital and imperial </w:t>
      </w:r>
      <w:r>
        <w:rPr>
          <w:rFonts w:ascii="Garamond" w:hAnsi="Garamond" w:cs="Times New Roman"/>
          <w:sz w:val="24"/>
          <w:szCs w:val="24"/>
        </w:rPr>
        <w:t>legacies on social reproduction.</w:t>
      </w:r>
      <w:r w:rsidRPr="00473B8C">
        <w:rPr>
          <w:rFonts w:ascii="Garamond" w:hAnsi="Garamond" w:cs="Times New Roman"/>
          <w:sz w:val="24"/>
          <w:szCs w:val="24"/>
        </w:rPr>
        <w:t xml:space="preserve"> </w:t>
      </w:r>
      <w:r>
        <w:rPr>
          <w:rFonts w:ascii="Garamond" w:hAnsi="Garamond" w:cs="Times New Roman"/>
          <w:sz w:val="24"/>
          <w:szCs w:val="24"/>
        </w:rPr>
        <w:t>Instead it focuses on</w:t>
      </w:r>
      <w:r w:rsidRPr="00473B8C">
        <w:rPr>
          <w:rFonts w:ascii="Garamond" w:hAnsi="Garamond" w:cs="Times New Roman"/>
          <w:sz w:val="24"/>
          <w:szCs w:val="24"/>
        </w:rPr>
        <w:t xml:space="preserve"> “</w:t>
      </w:r>
      <w:r w:rsidRPr="00473B8C">
        <w:rPr>
          <w:rFonts w:ascii="Garamond" w:hAnsi="Garamond" w:cs="CantoriaMT"/>
          <w:sz w:val="24"/>
          <w:szCs w:val="24"/>
        </w:rPr>
        <w:t>the obstacles to development primarily as</w:t>
      </w:r>
      <w:r w:rsidRPr="00473B8C">
        <w:rPr>
          <w:rFonts w:ascii="Garamond" w:hAnsi="Garamond" w:cs="Times New Roman"/>
          <w:sz w:val="24"/>
          <w:szCs w:val="24"/>
        </w:rPr>
        <w:t xml:space="preserve"> </w:t>
      </w:r>
      <w:r w:rsidRPr="00473B8C">
        <w:rPr>
          <w:rFonts w:ascii="Garamond" w:hAnsi="Garamond" w:cs="CantoriaMT"/>
          <w:sz w:val="24"/>
          <w:szCs w:val="24"/>
        </w:rPr>
        <w:t>problems of implementation in the face of</w:t>
      </w:r>
      <w:r w:rsidRPr="00473B8C">
        <w:rPr>
          <w:rFonts w:ascii="Garamond" w:hAnsi="Garamond" w:cs="Times New Roman"/>
          <w:sz w:val="24"/>
          <w:szCs w:val="24"/>
        </w:rPr>
        <w:t xml:space="preserve"> </w:t>
      </w:r>
      <w:r w:rsidRPr="00473B8C">
        <w:rPr>
          <w:rFonts w:ascii="Garamond" w:hAnsi="Garamond" w:cs="CantoriaMT"/>
          <w:sz w:val="24"/>
          <w:szCs w:val="24"/>
        </w:rPr>
        <w:t>technical constraints; corruption; and recalcitrant,</w:t>
      </w:r>
      <w:r w:rsidRPr="00473B8C">
        <w:rPr>
          <w:rFonts w:ascii="Garamond" w:hAnsi="Garamond" w:cs="Times New Roman"/>
          <w:sz w:val="24"/>
          <w:szCs w:val="24"/>
        </w:rPr>
        <w:t xml:space="preserve"> </w:t>
      </w:r>
      <w:r w:rsidRPr="00473B8C">
        <w:rPr>
          <w:rFonts w:ascii="Garamond" w:hAnsi="Garamond" w:cs="CantoriaMT"/>
          <w:sz w:val="24"/>
          <w:szCs w:val="24"/>
        </w:rPr>
        <w:t>incompetent, protectionist or predatory</w:t>
      </w:r>
      <w:r w:rsidRPr="00473B8C">
        <w:rPr>
          <w:rFonts w:ascii="Garamond" w:hAnsi="Garamond" w:cs="Times New Roman"/>
          <w:sz w:val="24"/>
          <w:szCs w:val="24"/>
        </w:rPr>
        <w:t xml:space="preserve"> </w:t>
      </w:r>
      <w:r w:rsidRPr="00473B8C">
        <w:rPr>
          <w:rFonts w:ascii="Garamond" w:hAnsi="Garamond" w:cs="CantoriaMT"/>
          <w:sz w:val="24"/>
          <w:szCs w:val="24"/>
        </w:rPr>
        <w:t xml:space="preserve">states” (Mawdsey </w:t>
      </w:r>
      <w:r w:rsidR="00F152DB">
        <w:rPr>
          <w:rFonts w:ascii="Garamond" w:hAnsi="Garamond" w:cs="CantoriaMT"/>
          <w:sz w:val="24"/>
          <w:szCs w:val="24"/>
        </w:rPr>
        <w:t>and</w:t>
      </w:r>
      <w:r w:rsidRPr="00473B8C">
        <w:rPr>
          <w:rFonts w:ascii="Garamond" w:hAnsi="Garamond" w:cs="CantoriaMT"/>
          <w:sz w:val="24"/>
          <w:szCs w:val="24"/>
        </w:rPr>
        <w:t xml:space="preserve"> Rigg</w:t>
      </w:r>
      <w:r>
        <w:rPr>
          <w:rFonts w:ascii="Garamond" w:hAnsi="Garamond" w:cs="CantoriaMT"/>
          <w:sz w:val="24"/>
          <w:szCs w:val="24"/>
        </w:rPr>
        <w:t xml:space="preserve"> i</w:t>
      </w:r>
      <w:r w:rsidRPr="00473B8C">
        <w:rPr>
          <w:rFonts w:ascii="Garamond" w:hAnsi="Garamond" w:cs="CantoriaMT"/>
          <w:sz w:val="24"/>
          <w:szCs w:val="24"/>
        </w:rPr>
        <w:t xml:space="preserve">n Silvey, 2009: 508). </w:t>
      </w:r>
      <w:r>
        <w:rPr>
          <w:rFonts w:ascii="Garamond" w:hAnsi="Garamond" w:cs="CantoriaMT"/>
          <w:sz w:val="24"/>
          <w:szCs w:val="24"/>
        </w:rPr>
        <w:t xml:space="preserve">Likewise, </w:t>
      </w:r>
      <w:r>
        <w:rPr>
          <w:rFonts w:ascii="Garamond" w:hAnsi="Garamond" w:cs="Times New Roman"/>
          <w:sz w:val="24"/>
          <w:szCs w:val="24"/>
        </w:rPr>
        <w:t>i</w:t>
      </w:r>
      <w:r w:rsidRPr="00473B8C">
        <w:rPr>
          <w:rFonts w:ascii="Garamond" w:hAnsi="Garamond" w:cs="Times New Roman"/>
          <w:sz w:val="24"/>
          <w:szCs w:val="24"/>
        </w:rPr>
        <w:t>n</w:t>
      </w:r>
      <w:r>
        <w:rPr>
          <w:rFonts w:ascii="Garamond" w:hAnsi="Garamond" w:cs="Times New Roman"/>
          <w:sz w:val="24"/>
          <w:szCs w:val="24"/>
        </w:rPr>
        <w:t xml:space="preserve"> STT’s children’s story</w:t>
      </w:r>
      <w:r w:rsidRPr="00473B8C">
        <w:rPr>
          <w:rFonts w:ascii="Garamond" w:hAnsi="Garamond" w:cs="Times New Roman"/>
          <w:sz w:val="24"/>
          <w:szCs w:val="24"/>
        </w:rPr>
        <w:t xml:space="preserve"> </w:t>
      </w:r>
      <w:r w:rsidRPr="00473B8C">
        <w:rPr>
          <w:rFonts w:ascii="Garamond" w:hAnsi="Garamond" w:cs="Times New Roman"/>
          <w:i/>
          <w:sz w:val="24"/>
          <w:szCs w:val="24"/>
        </w:rPr>
        <w:t>Chocolate Chaga</w:t>
      </w:r>
      <w:r>
        <w:rPr>
          <w:rFonts w:ascii="Garamond" w:hAnsi="Garamond" w:cs="Times New Roman"/>
          <w:sz w:val="24"/>
          <w:szCs w:val="24"/>
        </w:rPr>
        <w:t>,</w:t>
      </w:r>
      <w:r w:rsidRPr="00473B8C">
        <w:rPr>
          <w:rFonts w:ascii="Garamond" w:hAnsi="Garamond" w:cs="Times New Roman"/>
          <w:sz w:val="24"/>
          <w:szCs w:val="24"/>
        </w:rPr>
        <w:t xml:space="preserve"> the use of child labour on cocoa farms in </w:t>
      </w:r>
      <w:r>
        <w:rPr>
          <w:rFonts w:ascii="Garamond" w:hAnsi="Garamond" w:cs="Times New Roman"/>
          <w:sz w:val="24"/>
          <w:szCs w:val="24"/>
        </w:rPr>
        <w:t>the Côte’ D’Ivoire is</w:t>
      </w:r>
      <w:r w:rsidRPr="00473B8C">
        <w:rPr>
          <w:rFonts w:ascii="Garamond" w:hAnsi="Garamond" w:cs="Times New Roman"/>
          <w:sz w:val="24"/>
          <w:szCs w:val="24"/>
        </w:rPr>
        <w:t xml:space="preserve"> disaggregated from social reproduction as </w:t>
      </w:r>
      <w:r w:rsidRPr="00473B8C">
        <w:rPr>
          <w:rFonts w:ascii="Garamond" w:hAnsi="Garamond" w:cs="Times New Roman"/>
          <w:sz w:val="24"/>
          <w:szCs w:val="24"/>
        </w:rPr>
        <w:lastRenderedPageBreak/>
        <w:t>the “</w:t>
      </w:r>
      <w:r w:rsidRPr="00473B8C">
        <w:rPr>
          <w:rFonts w:ascii="Garamond" w:hAnsi="Garamond" w:cs="CantoriaMT"/>
          <w:sz w:val="24"/>
          <w:szCs w:val="24"/>
        </w:rPr>
        <w:t>fleshy, messy, and indeterminate stuff of everyday life” (Katz</w:t>
      </w:r>
      <w:r>
        <w:rPr>
          <w:rFonts w:ascii="Garamond" w:hAnsi="Garamond" w:cs="CantoriaMT"/>
          <w:sz w:val="24"/>
          <w:szCs w:val="24"/>
        </w:rPr>
        <w:t xml:space="preserve"> </w:t>
      </w:r>
      <w:r w:rsidRPr="00473B8C">
        <w:rPr>
          <w:rFonts w:ascii="Garamond" w:hAnsi="Garamond" w:cs="CantoriaMT"/>
          <w:sz w:val="24"/>
          <w:szCs w:val="24"/>
        </w:rPr>
        <w:t>in Silvey, 2009: 510)</w:t>
      </w:r>
      <w:r w:rsidRPr="00473B8C">
        <w:rPr>
          <w:rFonts w:ascii="Garamond" w:hAnsi="Garamond" w:cs="Times New Roman"/>
          <w:sz w:val="24"/>
          <w:szCs w:val="24"/>
        </w:rPr>
        <w:t xml:space="preserve"> where the necessities of assisted migration and familial contracts are whitewashed (Lawrance, 2010</w:t>
      </w:r>
      <w:r>
        <w:rPr>
          <w:rFonts w:ascii="Garamond" w:hAnsi="Garamond" w:cs="Times New Roman"/>
          <w:sz w:val="24"/>
          <w:szCs w:val="24"/>
        </w:rPr>
        <w:t>a</w:t>
      </w:r>
      <w:r w:rsidRPr="00473B8C">
        <w:rPr>
          <w:rFonts w:ascii="Garamond" w:hAnsi="Garamond" w:cs="Times New Roman"/>
          <w:sz w:val="24"/>
          <w:szCs w:val="24"/>
        </w:rPr>
        <w:t>). Chaga is trepanned and does not move from financial necessity.</w:t>
      </w:r>
      <w:r>
        <w:rPr>
          <w:rFonts w:ascii="Garamond" w:hAnsi="Garamond" w:cs="Times New Roman"/>
          <w:sz w:val="24"/>
          <w:szCs w:val="24"/>
          <w:shd w:val="clear" w:color="auto" w:fill="FFFFFF"/>
        </w:rPr>
        <w:t xml:space="preserve"> </w:t>
      </w:r>
      <w:r w:rsidRPr="00473B8C">
        <w:rPr>
          <w:rFonts w:ascii="Garamond" w:hAnsi="Garamond" w:cs="Times New Roman"/>
          <w:sz w:val="24"/>
          <w:szCs w:val="24"/>
          <w:shd w:val="clear" w:color="auto" w:fill="FFFFFF"/>
        </w:rPr>
        <w:t>When applied to commodities as well as people, the definition of trafficking is flexible enough to become a way that governments discern between formal and ‘dev</w:t>
      </w:r>
      <w:r>
        <w:rPr>
          <w:rFonts w:ascii="Garamond" w:hAnsi="Garamond" w:cs="Times New Roman"/>
          <w:sz w:val="24"/>
          <w:szCs w:val="24"/>
          <w:shd w:val="clear" w:color="auto" w:fill="FFFFFF"/>
        </w:rPr>
        <w:t>iant’ economies, between ‘free’</w:t>
      </w:r>
      <w:r w:rsidRPr="00473B8C">
        <w:rPr>
          <w:rFonts w:ascii="Garamond" w:hAnsi="Garamond" w:cs="Times New Roman"/>
          <w:sz w:val="24"/>
          <w:szCs w:val="24"/>
          <w:shd w:val="clear" w:color="auto" w:fill="FFFFFF"/>
        </w:rPr>
        <w:t> and black trade.</w:t>
      </w:r>
    </w:p>
    <w:p w:rsidR="00A05ED2" w:rsidRDefault="00A05ED2" w:rsidP="00A05ED2">
      <w:pPr>
        <w:autoSpaceDE w:val="0"/>
        <w:autoSpaceDN w:val="0"/>
        <w:adjustRightInd w:val="0"/>
        <w:spacing w:after="0" w:line="360" w:lineRule="auto"/>
        <w:jc w:val="both"/>
        <w:rPr>
          <w:rFonts w:ascii="Garamond" w:hAnsi="Garamond" w:cs="Times New Roman"/>
          <w:sz w:val="24"/>
          <w:szCs w:val="24"/>
          <w:shd w:val="clear" w:color="auto" w:fill="FFFFFF"/>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shd w:val="clear" w:color="auto" w:fill="FFFFFF"/>
        </w:rPr>
        <w:t>So, in a world of shifting mat</w:t>
      </w:r>
      <w:r>
        <w:rPr>
          <w:rFonts w:ascii="Garamond" w:hAnsi="Garamond" w:cs="Times New Roman"/>
          <w:sz w:val="24"/>
          <w:szCs w:val="24"/>
          <w:shd w:val="clear" w:color="auto" w:fill="FFFFFF"/>
        </w:rPr>
        <w:t>erial and social borders, anti-</w:t>
      </w:r>
      <w:r w:rsidRPr="00473B8C">
        <w:rPr>
          <w:rFonts w:ascii="Garamond" w:hAnsi="Garamond" w:cs="Times New Roman"/>
          <w:sz w:val="24"/>
          <w:szCs w:val="24"/>
          <w:shd w:val="clear" w:color="auto" w:fill="FFFFFF"/>
        </w:rPr>
        <w:t>trafficking also becomes about creating the parameters for security and policing</w:t>
      </w:r>
      <w:r w:rsidRPr="00473B8C">
        <w:rPr>
          <w:rFonts w:ascii="Garamond" w:hAnsi="Garamond"/>
          <w:sz w:val="24"/>
          <w:szCs w:val="24"/>
          <w:shd w:val="clear" w:color="auto" w:fill="FFFFFF"/>
        </w:rPr>
        <w:t>.</w:t>
      </w:r>
      <w:r w:rsidRPr="00473B8C">
        <w:rPr>
          <w:rFonts w:ascii="Garamond" w:hAnsi="Garamond" w:cs="Times New Roman"/>
          <w:sz w:val="24"/>
          <w:szCs w:val="24"/>
        </w:rPr>
        <w:t xml:space="preserve"> STT work in close partnership with several clandestine national and </w:t>
      </w:r>
      <w:r>
        <w:rPr>
          <w:rFonts w:ascii="Garamond" w:hAnsi="Garamond" w:cs="Times New Roman"/>
          <w:sz w:val="24"/>
          <w:szCs w:val="24"/>
        </w:rPr>
        <w:t>international security forces (i</w:t>
      </w:r>
      <w:r w:rsidRPr="00473B8C">
        <w:rPr>
          <w:rFonts w:ascii="Garamond" w:hAnsi="Garamond" w:cs="Times New Roman"/>
          <w:sz w:val="24"/>
          <w:szCs w:val="24"/>
        </w:rPr>
        <w:t xml:space="preserve">nterview </w:t>
      </w:r>
      <w:r>
        <w:rPr>
          <w:rFonts w:ascii="Garamond" w:hAnsi="Garamond" w:cs="Times New Roman"/>
          <w:sz w:val="24"/>
          <w:szCs w:val="24"/>
        </w:rPr>
        <w:t>Eve</w:t>
      </w:r>
      <w:r w:rsidRPr="00473B8C">
        <w:rPr>
          <w:rFonts w:ascii="Garamond" w:hAnsi="Garamond" w:cs="Times New Roman"/>
          <w:sz w:val="24"/>
          <w:szCs w:val="24"/>
        </w:rPr>
        <w:t>, 2011; interview Dearnley</w:t>
      </w:r>
      <w:r>
        <w:rPr>
          <w:rFonts w:ascii="Garamond" w:hAnsi="Garamond" w:cs="Times New Roman"/>
          <w:sz w:val="24"/>
          <w:szCs w:val="24"/>
        </w:rPr>
        <w:t>, 2011)</w:t>
      </w:r>
      <w:r w:rsidRPr="00473B8C">
        <w:rPr>
          <w:rFonts w:ascii="Garamond" w:hAnsi="Garamond" w:cs="Times New Roman"/>
          <w:sz w:val="24"/>
          <w:szCs w:val="24"/>
        </w:rPr>
        <w:t>. Anxiet</w:t>
      </w:r>
      <w:r>
        <w:rPr>
          <w:rFonts w:ascii="Garamond" w:hAnsi="Garamond" w:cs="Times New Roman"/>
          <w:sz w:val="24"/>
          <w:szCs w:val="24"/>
        </w:rPr>
        <w:t>y</w:t>
      </w:r>
      <w:r w:rsidRPr="00473B8C">
        <w:rPr>
          <w:rFonts w:ascii="Garamond" w:hAnsi="Garamond" w:cs="Times New Roman"/>
          <w:sz w:val="24"/>
          <w:szCs w:val="24"/>
        </w:rPr>
        <w:t xml:space="preserve"> over the migration of cocoa workers is central to deb</w:t>
      </w:r>
      <w:r>
        <w:rPr>
          <w:rFonts w:ascii="Garamond" w:hAnsi="Garamond" w:cs="Times New Roman"/>
          <w:sz w:val="24"/>
          <w:szCs w:val="24"/>
        </w:rPr>
        <w:t>ates on ‘cocoa wars’ (Ryan, 2011</w:t>
      </w:r>
      <w:r w:rsidRPr="00473B8C">
        <w:rPr>
          <w:rFonts w:ascii="Garamond" w:hAnsi="Garamond" w:cs="Times New Roman"/>
          <w:sz w:val="24"/>
          <w:szCs w:val="24"/>
        </w:rPr>
        <w:t xml:space="preserve">), ‘shadow economies’ (according to Schneider and Buehn’s 2009 report, 43.6% of the value of </w:t>
      </w:r>
      <w:r>
        <w:rPr>
          <w:rFonts w:ascii="Garamond" w:hAnsi="Garamond" w:cs="Times New Roman"/>
          <w:sz w:val="24"/>
          <w:szCs w:val="24"/>
        </w:rPr>
        <w:t>Côte</w:t>
      </w:r>
      <w:r w:rsidRPr="00473B8C">
        <w:rPr>
          <w:rFonts w:ascii="Garamond" w:hAnsi="Garamond" w:cs="Times New Roman"/>
          <w:sz w:val="24"/>
          <w:szCs w:val="24"/>
        </w:rPr>
        <w:t xml:space="preserve"> D’Ivoire’s economy in 2008 derived from illicit trade) and ‘deviant globalization’ (Bales, 1999; Andreas, 20</w:t>
      </w:r>
      <w:r>
        <w:rPr>
          <w:rFonts w:ascii="Garamond" w:hAnsi="Garamond" w:cs="Times New Roman"/>
          <w:sz w:val="24"/>
          <w:szCs w:val="24"/>
        </w:rPr>
        <w:t>12</w:t>
      </w:r>
      <w:r w:rsidRPr="00473B8C">
        <w:rPr>
          <w:rFonts w:ascii="Garamond" w:hAnsi="Garamond" w:cs="Times New Roman"/>
          <w:sz w:val="24"/>
          <w:szCs w:val="24"/>
        </w:rPr>
        <w:t xml:space="preserve">). Here, cocoa is a ‘terror’ commodity (le Billon, 2006) that threatens the integrity of both the state and globalization. </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Fonts w:ascii="Garamond" w:hAnsi="Garamond" w:cs="Times New Roman"/>
          <w:sz w:val="28"/>
          <w:szCs w:val="28"/>
          <w:u w:val="single"/>
        </w:rPr>
      </w:pPr>
      <w:r w:rsidRPr="00473B8C">
        <w:rPr>
          <w:rFonts w:ascii="Garamond" w:hAnsi="Garamond" w:cs="Times New Roman"/>
          <w:sz w:val="24"/>
          <w:szCs w:val="24"/>
        </w:rPr>
        <w:t>Racisms</w:t>
      </w:r>
      <w:r>
        <w:rPr>
          <w:rFonts w:ascii="Garamond" w:hAnsi="Garamond" w:cs="Times New Roman"/>
          <w:sz w:val="24"/>
          <w:szCs w:val="24"/>
        </w:rPr>
        <w:t>,</w:t>
      </w:r>
      <w:r w:rsidRPr="00473B8C">
        <w:rPr>
          <w:rFonts w:ascii="Garamond" w:hAnsi="Garamond" w:cs="Times New Roman"/>
          <w:sz w:val="24"/>
          <w:szCs w:val="24"/>
        </w:rPr>
        <w:t xml:space="preserve"> as Goldberg (2009) lucidly writes, poli</w:t>
      </w:r>
      <w:r>
        <w:rPr>
          <w:rFonts w:ascii="Garamond" w:hAnsi="Garamond" w:cs="Times New Roman"/>
          <w:sz w:val="24"/>
          <w:szCs w:val="24"/>
        </w:rPr>
        <w:t>ce the boundaries of racialized</w:t>
      </w:r>
      <w:r w:rsidRPr="00473B8C">
        <w:rPr>
          <w:rFonts w:ascii="Garamond" w:hAnsi="Garamond" w:cs="Times New Roman"/>
          <w:sz w:val="24"/>
          <w:szCs w:val="24"/>
        </w:rPr>
        <w:t xml:space="preserve"> homogeneities</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T</w:t>
      </w:r>
      <w:r w:rsidRPr="00473B8C">
        <w:rPr>
          <w:rFonts w:ascii="Garamond" w:hAnsi="Garamond" w:cs="Times New Roman"/>
          <w:sz w:val="24"/>
          <w:szCs w:val="24"/>
        </w:rPr>
        <w:t>hese policing activities are often carried out without intent or recognition by individuals of their racist efficacy (Pulido, 2000). The colourline is concretized into laws on ‘deviant economies’, trafficking, smuggling and trade, and these laws are follo</w:t>
      </w:r>
      <w:r>
        <w:rPr>
          <w:rFonts w:ascii="Garamond" w:hAnsi="Garamond" w:cs="Times New Roman"/>
          <w:sz w:val="24"/>
          <w:szCs w:val="24"/>
        </w:rPr>
        <w:t>wed benignly by NGOs and states. Therefore t</w:t>
      </w:r>
      <w:r w:rsidRPr="00473B8C">
        <w:rPr>
          <w:rFonts w:ascii="Garamond" w:hAnsi="Garamond" w:cs="Times New Roman"/>
          <w:sz w:val="24"/>
          <w:szCs w:val="24"/>
        </w:rPr>
        <w:t>he colourline projects itself onto bodies in ways that are not officia</w:t>
      </w:r>
      <w:r>
        <w:rPr>
          <w:rFonts w:ascii="Garamond" w:hAnsi="Garamond" w:cs="Times New Roman"/>
          <w:sz w:val="24"/>
          <w:szCs w:val="24"/>
        </w:rPr>
        <w:t>lly recognized or accounted for</w:t>
      </w:r>
      <w:r w:rsidRPr="00473B8C">
        <w:rPr>
          <w:rFonts w:ascii="Garamond" w:hAnsi="Garamond" w:cs="Times New Roman"/>
          <w:sz w:val="24"/>
          <w:szCs w:val="24"/>
        </w:rPr>
        <w:t>. Although ‘deviant economies’ constitute up to forty per-cent of global trade and are integral to the functionin</w:t>
      </w:r>
      <w:r>
        <w:rPr>
          <w:rFonts w:ascii="Garamond" w:hAnsi="Garamond" w:cs="Times New Roman"/>
          <w:sz w:val="24"/>
          <w:szCs w:val="24"/>
        </w:rPr>
        <w:t>g of national economies in the Global North and S</w:t>
      </w:r>
      <w:r w:rsidRPr="00473B8C">
        <w:rPr>
          <w:rFonts w:ascii="Garamond" w:hAnsi="Garamond" w:cs="Times New Roman"/>
          <w:sz w:val="24"/>
          <w:szCs w:val="24"/>
        </w:rPr>
        <w:t>outh alike, their illegality is shorthand for the material racialized exploitation and social reproduction of surplus labour (McIn</w:t>
      </w:r>
      <w:r>
        <w:rPr>
          <w:rFonts w:ascii="Garamond" w:hAnsi="Garamond" w:cs="Times New Roman"/>
          <w:sz w:val="24"/>
          <w:szCs w:val="24"/>
        </w:rPr>
        <w:t>t</w:t>
      </w:r>
      <w:r w:rsidRPr="00473B8C">
        <w:rPr>
          <w:rFonts w:ascii="Garamond" w:hAnsi="Garamond" w:cs="Times New Roman"/>
          <w:sz w:val="24"/>
          <w:szCs w:val="24"/>
        </w:rPr>
        <w:t xml:space="preserve">yre, 2011). </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u w:val="single"/>
        </w:rPr>
      </w:pPr>
    </w:p>
    <w:p w:rsidR="00A05ED2" w:rsidRPr="00293D4C" w:rsidRDefault="00A05ED2" w:rsidP="00A05ED2">
      <w:pPr>
        <w:autoSpaceDE w:val="0"/>
        <w:autoSpaceDN w:val="0"/>
        <w:adjustRightInd w:val="0"/>
        <w:spacing w:after="0" w:line="360" w:lineRule="auto"/>
        <w:jc w:val="both"/>
        <w:rPr>
          <w:rFonts w:ascii="Garamond" w:hAnsi="Garamond" w:cs="Times New Roman"/>
          <w:b/>
          <w:i/>
          <w:szCs w:val="24"/>
        </w:rPr>
      </w:pPr>
      <w:r w:rsidRPr="00293D4C">
        <w:rPr>
          <w:rFonts w:ascii="Garamond" w:hAnsi="Garamond" w:cs="Times New Roman"/>
          <w:b/>
          <w:i/>
          <w:szCs w:val="24"/>
        </w:rPr>
        <w:t xml:space="preserve">Post- Humanitarian Ethico-Politics </w:t>
      </w:r>
    </w:p>
    <w:p w:rsidR="00A05ED2" w:rsidRPr="00473B8C" w:rsidRDefault="00A05ED2" w:rsidP="00A05ED2">
      <w:pPr>
        <w:autoSpaceDE w:val="0"/>
        <w:autoSpaceDN w:val="0"/>
        <w:adjustRightInd w:val="0"/>
        <w:spacing w:after="0" w:line="360" w:lineRule="auto"/>
        <w:jc w:val="both"/>
        <w:rPr>
          <w:rFonts w:ascii="Garamond" w:hAnsi="Garamond" w:cs="Times New Roman"/>
          <w:i/>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third type of communication problem faced by STT is motivating the individual consumer. In their dialogue with consumers and children in schools and workshops, and in their communications with the chocolate industry, STT </w:t>
      </w:r>
      <w:r>
        <w:rPr>
          <w:rFonts w:ascii="Garamond" w:hAnsi="Garamond" w:cs="Times New Roman"/>
          <w:sz w:val="24"/>
          <w:szCs w:val="24"/>
        </w:rPr>
        <w:t>try to</w:t>
      </w:r>
      <w:r w:rsidRPr="00473B8C">
        <w:rPr>
          <w:rFonts w:ascii="Garamond" w:hAnsi="Garamond" w:cs="Times New Roman"/>
          <w:sz w:val="24"/>
          <w:szCs w:val="24"/>
        </w:rPr>
        <w:t xml:space="preserve"> stay away from the “bleeding heart communications” that characterize their humanitarian appeal and child producer topos. </w:t>
      </w:r>
      <w:r>
        <w:rPr>
          <w:rFonts w:ascii="Garamond" w:hAnsi="Garamond" w:cs="Times New Roman"/>
          <w:sz w:val="24"/>
          <w:szCs w:val="24"/>
        </w:rPr>
        <w:t xml:space="preserve">Whilst my argument has been that such communications in fact </w:t>
      </w:r>
      <w:r>
        <w:rPr>
          <w:rFonts w:ascii="Garamond" w:hAnsi="Garamond" w:cs="Times New Roman"/>
          <w:sz w:val="24"/>
          <w:szCs w:val="24"/>
        </w:rPr>
        <w:lastRenderedPageBreak/>
        <w:t>continue to play an important role, STT’s</w:t>
      </w:r>
      <w:r w:rsidRPr="00473B8C">
        <w:rPr>
          <w:rFonts w:ascii="Garamond" w:hAnsi="Garamond" w:cs="Times New Roman"/>
          <w:sz w:val="24"/>
          <w:szCs w:val="24"/>
        </w:rPr>
        <w:t xml:space="preserve"> public disassociation from the topos is characteristic of a wider reflexive turn in NGO communications of suffering away from the grand emotive</w:t>
      </w:r>
      <w:r>
        <w:rPr>
          <w:rFonts w:ascii="Garamond" w:hAnsi="Garamond" w:cs="Times New Roman"/>
          <w:sz w:val="24"/>
          <w:szCs w:val="24"/>
        </w:rPr>
        <w:t xml:space="preserve"> work on pity (Chouliaraki, 2010</w:t>
      </w:r>
      <w:r w:rsidRPr="00473B8C">
        <w:rPr>
          <w:rFonts w:ascii="Garamond" w:hAnsi="Garamond" w:cs="Times New Roman"/>
          <w:sz w:val="24"/>
          <w:szCs w:val="24"/>
        </w:rPr>
        <w:t>). Here</w:t>
      </w:r>
      <w:r>
        <w:rPr>
          <w:rFonts w:ascii="Garamond" w:hAnsi="Garamond" w:cs="Times New Roman"/>
          <w:sz w:val="24"/>
          <w:szCs w:val="24"/>
        </w:rPr>
        <w:t>,</w:t>
      </w:r>
      <w:r w:rsidRPr="00473B8C">
        <w:rPr>
          <w:rFonts w:ascii="Garamond" w:hAnsi="Garamond" w:cs="Times New Roman"/>
          <w:sz w:val="24"/>
          <w:szCs w:val="24"/>
        </w:rPr>
        <w:t xml:space="preserve"> fair</w:t>
      </w:r>
      <w:r>
        <w:rPr>
          <w:rFonts w:ascii="Garamond" w:hAnsi="Garamond" w:cs="Times New Roman"/>
          <w:sz w:val="24"/>
          <w:szCs w:val="24"/>
        </w:rPr>
        <w:t xml:space="preserve"> </w:t>
      </w:r>
      <w:r w:rsidRPr="00473B8C">
        <w:rPr>
          <w:rFonts w:ascii="Garamond" w:hAnsi="Garamond" w:cs="Times New Roman"/>
          <w:sz w:val="24"/>
          <w:szCs w:val="24"/>
        </w:rPr>
        <w:t xml:space="preserve">trade is situated through the lens of the consumer, and the racialized difference between producer and consumer is used tokenistically as a </w:t>
      </w:r>
      <w:r>
        <w:rPr>
          <w:rFonts w:ascii="Garamond" w:hAnsi="Garamond" w:cs="Times New Roman"/>
          <w:sz w:val="24"/>
          <w:szCs w:val="24"/>
        </w:rPr>
        <w:t>motivational tool to encourage W</w:t>
      </w:r>
      <w:r w:rsidRPr="00473B8C">
        <w:rPr>
          <w:rFonts w:ascii="Garamond" w:hAnsi="Garamond" w:cs="Times New Roman"/>
          <w:sz w:val="24"/>
          <w:szCs w:val="24"/>
        </w:rPr>
        <w:t>estern publics to self-govern and self-discipline through consumption. Fairtrade and ethical labelling schemes deploy their tools to create markets (Guthman, 2007), but neoliberalism is best understood as a transformation of politics rather than a separation of the marke</w:t>
      </w:r>
      <w:r>
        <w:rPr>
          <w:rFonts w:ascii="Garamond" w:hAnsi="Garamond" w:cs="Times New Roman"/>
          <w:sz w:val="24"/>
          <w:szCs w:val="24"/>
        </w:rPr>
        <w:t>t from the state (Foucault, 2003</w:t>
      </w:r>
      <w:r w:rsidRPr="00473B8C">
        <w:rPr>
          <w:rFonts w:ascii="Garamond" w:hAnsi="Garamond" w:cs="Times New Roman"/>
          <w:sz w:val="24"/>
          <w:szCs w:val="24"/>
        </w:rPr>
        <w:t>; Lemke</w:t>
      </w:r>
      <w:r>
        <w:rPr>
          <w:rFonts w:ascii="Garamond" w:hAnsi="Garamond" w:cs="Times New Roman"/>
          <w:sz w:val="24"/>
          <w:szCs w:val="24"/>
        </w:rPr>
        <w:t xml:space="preserve">, 2001; Barnett et al., 2011). </w:t>
      </w:r>
      <w:r w:rsidRPr="00CB6CE4">
        <w:rPr>
          <w:rFonts w:ascii="Garamond" w:hAnsi="Garamond" w:cs="Times New Roman"/>
          <w:sz w:val="24"/>
          <w:szCs w:val="24"/>
        </w:rPr>
        <w:t xml:space="preserve">According to </w:t>
      </w:r>
      <w:r w:rsidRPr="00D51BB2">
        <w:rPr>
          <w:rFonts w:ascii="Times New Roman" w:hAnsi="Times New Roman" w:cs="Times New Roman"/>
          <w:sz w:val="20"/>
          <w:szCs w:val="24"/>
          <w:shd w:val="clear" w:color="auto" w:fill="FFFFFF"/>
        </w:rPr>
        <w:t>Ž</w:t>
      </w:r>
      <w:r w:rsidRPr="00CB6CE4">
        <w:rPr>
          <w:rFonts w:ascii="Garamond" w:hAnsi="Garamond" w:cs="Arial"/>
          <w:sz w:val="24"/>
          <w:szCs w:val="24"/>
          <w:shd w:val="clear" w:color="auto" w:fill="FFFFFF"/>
        </w:rPr>
        <w:t>i</w:t>
      </w:r>
      <w:r w:rsidRPr="00D51BB2">
        <w:rPr>
          <w:rFonts w:ascii="Times New Roman" w:hAnsi="Times New Roman" w:cs="Times New Roman"/>
          <w:sz w:val="20"/>
          <w:szCs w:val="24"/>
          <w:shd w:val="clear" w:color="auto" w:fill="FFFFFF"/>
        </w:rPr>
        <w:t>ž</w:t>
      </w:r>
      <w:r w:rsidRPr="00CB6CE4">
        <w:rPr>
          <w:rFonts w:ascii="Garamond" w:hAnsi="Garamond" w:cs="Arial"/>
          <w:sz w:val="24"/>
          <w:szCs w:val="24"/>
          <w:shd w:val="clear" w:color="auto" w:fill="FFFFFF"/>
        </w:rPr>
        <w:t>ek</w:t>
      </w:r>
      <w:r>
        <w:rPr>
          <w:rFonts w:ascii="Garamond" w:hAnsi="Garamond" w:cs="Times New Roman"/>
          <w:sz w:val="24"/>
          <w:szCs w:val="24"/>
        </w:rPr>
        <w:t xml:space="preserve"> (2005</w:t>
      </w:r>
      <w:r w:rsidRPr="00A156D9">
        <w:rPr>
          <w:rFonts w:ascii="Garamond" w:hAnsi="Garamond" w:cs="Times New Roman"/>
          <w:sz w:val="24"/>
          <w:szCs w:val="24"/>
        </w:rPr>
        <w:t>) and Rose (1999), ‘ethico-politics’ – “the relations between one’s obligation to oneself and</w:t>
      </w:r>
      <w:r w:rsidRPr="00473B8C">
        <w:rPr>
          <w:rFonts w:ascii="Garamond" w:hAnsi="Garamond" w:cs="Times New Roman"/>
          <w:sz w:val="24"/>
          <w:szCs w:val="24"/>
        </w:rPr>
        <w:t xml:space="preserve"> one’s obligation</w:t>
      </w:r>
      <w:r>
        <w:rPr>
          <w:rFonts w:ascii="Garamond" w:hAnsi="Garamond" w:cs="Times New Roman"/>
          <w:sz w:val="24"/>
          <w:szCs w:val="24"/>
        </w:rPr>
        <w:t xml:space="preserve">s to others” (Rose, 1999; 188) – </w:t>
      </w:r>
      <w:r w:rsidRPr="00473B8C">
        <w:rPr>
          <w:rFonts w:ascii="Garamond" w:hAnsi="Garamond" w:cs="Times New Roman"/>
          <w:sz w:val="24"/>
          <w:szCs w:val="24"/>
        </w:rPr>
        <w:t xml:space="preserve">is a key sphere of governing through consumption, and of advanced liberalism more broadly. </w:t>
      </w:r>
    </w:p>
    <w:p w:rsidR="00A05ED2"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In this </w:t>
      </w:r>
      <w:r>
        <w:rPr>
          <w:rFonts w:ascii="Garamond" w:hAnsi="Garamond" w:cs="Times New Roman"/>
          <w:sz w:val="24"/>
          <w:szCs w:val="24"/>
        </w:rPr>
        <w:t>governmental consumer culture r</w:t>
      </w:r>
      <w:r w:rsidRPr="00473B8C">
        <w:rPr>
          <w:rFonts w:ascii="Garamond" w:hAnsi="Garamond" w:cs="Times New Roman"/>
          <w:sz w:val="24"/>
          <w:szCs w:val="24"/>
        </w:rPr>
        <w:t>ace</w:t>
      </w:r>
      <w:r>
        <w:rPr>
          <w:rFonts w:ascii="Garamond" w:hAnsi="Garamond" w:cs="Times New Roman"/>
          <w:sz w:val="24"/>
          <w:szCs w:val="24"/>
        </w:rPr>
        <w:t xml:space="preserve"> is implicated in three wider projects. First, it is deployed to</w:t>
      </w:r>
      <w:r w:rsidRPr="00473B8C">
        <w:rPr>
          <w:rFonts w:ascii="Garamond" w:hAnsi="Garamond" w:cs="Times New Roman"/>
          <w:sz w:val="24"/>
          <w:szCs w:val="24"/>
        </w:rPr>
        <w:t xml:space="preserve"> expand the ‘ethical’ range o</w:t>
      </w:r>
      <w:r>
        <w:rPr>
          <w:rFonts w:ascii="Garamond" w:hAnsi="Garamond" w:cs="Times New Roman"/>
          <w:sz w:val="24"/>
          <w:szCs w:val="24"/>
        </w:rPr>
        <w:t>f products in the global market and to intensify neo</w:t>
      </w:r>
      <w:r w:rsidRPr="00473B8C">
        <w:rPr>
          <w:rFonts w:ascii="Garamond" w:hAnsi="Garamond" w:cs="Times New Roman"/>
          <w:sz w:val="24"/>
          <w:szCs w:val="24"/>
        </w:rPr>
        <w:t>liberal standards and governance on produ</w:t>
      </w:r>
      <w:r>
        <w:rPr>
          <w:rFonts w:ascii="Garamond" w:hAnsi="Garamond" w:cs="Times New Roman"/>
          <w:sz w:val="24"/>
          <w:szCs w:val="24"/>
        </w:rPr>
        <w:t xml:space="preserve">ction processes (Guthman, 2007). Second, it is used </w:t>
      </w:r>
      <w:r w:rsidRPr="00473B8C">
        <w:rPr>
          <w:rFonts w:ascii="Garamond" w:hAnsi="Garamond" w:cs="Times New Roman"/>
          <w:sz w:val="24"/>
          <w:szCs w:val="24"/>
        </w:rPr>
        <w:t xml:space="preserve">to nourish </w:t>
      </w:r>
      <w:r>
        <w:rPr>
          <w:rFonts w:ascii="Garamond" w:hAnsi="Garamond" w:cs="Times New Roman"/>
          <w:sz w:val="24"/>
          <w:szCs w:val="24"/>
        </w:rPr>
        <w:t>the s</w:t>
      </w:r>
      <w:r w:rsidRPr="00473B8C">
        <w:rPr>
          <w:rFonts w:ascii="Garamond" w:hAnsi="Garamond" w:cs="Times New Roman"/>
          <w:sz w:val="24"/>
          <w:szCs w:val="24"/>
        </w:rPr>
        <w:t>paces of the ‘third sector’ between the marke</w:t>
      </w:r>
      <w:r>
        <w:rPr>
          <w:rFonts w:ascii="Garamond" w:hAnsi="Garamond" w:cs="Times New Roman"/>
          <w:sz w:val="24"/>
          <w:szCs w:val="24"/>
        </w:rPr>
        <w:t>t and government (Rifkin, 1995).</w:t>
      </w:r>
      <w:r w:rsidRPr="00473B8C">
        <w:rPr>
          <w:rFonts w:ascii="Garamond" w:hAnsi="Garamond" w:cs="Times New Roman"/>
          <w:sz w:val="24"/>
          <w:szCs w:val="24"/>
        </w:rPr>
        <w:t xml:space="preserve"> </w:t>
      </w:r>
      <w:r>
        <w:rPr>
          <w:rFonts w:ascii="Garamond" w:hAnsi="Garamond" w:cs="Times New Roman"/>
          <w:sz w:val="24"/>
          <w:szCs w:val="24"/>
        </w:rPr>
        <w:t>A</w:t>
      </w:r>
      <w:r w:rsidRPr="00473B8C">
        <w:rPr>
          <w:rFonts w:ascii="Garamond" w:hAnsi="Garamond" w:cs="Times New Roman"/>
          <w:sz w:val="24"/>
          <w:szCs w:val="24"/>
        </w:rPr>
        <w:t>nd</w:t>
      </w:r>
      <w:r>
        <w:rPr>
          <w:rFonts w:ascii="Garamond" w:hAnsi="Garamond" w:cs="Times New Roman"/>
          <w:sz w:val="24"/>
          <w:szCs w:val="24"/>
        </w:rPr>
        <w:t xml:space="preserve"> third, it acts to</w:t>
      </w:r>
      <w:r w:rsidRPr="00473B8C">
        <w:rPr>
          <w:rFonts w:ascii="Garamond" w:hAnsi="Garamond" w:cs="Times New Roman"/>
          <w:sz w:val="24"/>
          <w:szCs w:val="24"/>
        </w:rPr>
        <w:t xml:space="preserve"> encourage </w:t>
      </w:r>
      <w:r>
        <w:rPr>
          <w:rFonts w:ascii="Garamond" w:hAnsi="Garamond" w:cs="Times New Roman"/>
          <w:sz w:val="24"/>
          <w:szCs w:val="24"/>
        </w:rPr>
        <w:t>neo</w:t>
      </w:r>
      <w:r w:rsidRPr="00473B8C">
        <w:rPr>
          <w:rFonts w:ascii="Garamond" w:hAnsi="Garamond" w:cs="Times New Roman"/>
          <w:sz w:val="24"/>
          <w:szCs w:val="24"/>
        </w:rPr>
        <w:t>liberal governance by the self- recognition and self-sovereignty of the ethicall</w:t>
      </w:r>
      <w:r>
        <w:rPr>
          <w:rFonts w:ascii="Garamond" w:hAnsi="Garamond" w:cs="Times New Roman"/>
          <w:sz w:val="24"/>
          <w:szCs w:val="24"/>
        </w:rPr>
        <w:t>y minded citizen (Miller, 1995;</w:t>
      </w:r>
      <w:r w:rsidRPr="00473B8C">
        <w:rPr>
          <w:rFonts w:ascii="Garamond" w:hAnsi="Garamond" w:cs="Times New Roman"/>
          <w:sz w:val="24"/>
          <w:szCs w:val="24"/>
        </w:rPr>
        <w:t xml:space="preserve"> Rose, 1999). STT's work to </w:t>
      </w:r>
      <w:r>
        <w:rPr>
          <w:rFonts w:ascii="Garamond" w:hAnsi="Garamond" w:cs="Times New Roman"/>
          <w:sz w:val="24"/>
          <w:szCs w:val="24"/>
        </w:rPr>
        <w:t>t</w:t>
      </w:r>
      <w:r w:rsidRPr="00473B8C">
        <w:rPr>
          <w:rFonts w:ascii="Garamond" w:hAnsi="Garamond" w:cs="Times New Roman"/>
          <w:sz w:val="24"/>
          <w:szCs w:val="24"/>
        </w:rPr>
        <w:t>his end contributes to the wider production of conte</w:t>
      </w:r>
      <w:r>
        <w:rPr>
          <w:rFonts w:ascii="Garamond" w:hAnsi="Garamond" w:cs="Times New Roman"/>
          <w:sz w:val="24"/>
          <w:szCs w:val="24"/>
        </w:rPr>
        <w:t>mporary British multiculture</w:t>
      </w:r>
      <w:r w:rsidRPr="00473B8C">
        <w:rPr>
          <w:rFonts w:ascii="Garamond" w:hAnsi="Garamond" w:cs="Times New Roman"/>
          <w:sz w:val="24"/>
          <w:szCs w:val="24"/>
        </w:rPr>
        <w:t>. In common with much socialist antiracist thinking in the UK during the 1980s, multiculturalism is often framed as a national achievement, as a cause for n</w:t>
      </w:r>
      <w:r>
        <w:rPr>
          <w:rFonts w:ascii="Garamond" w:hAnsi="Garamond" w:cs="Times New Roman"/>
          <w:sz w:val="24"/>
          <w:szCs w:val="24"/>
        </w:rPr>
        <w:t>ational celebration (Keith, 2005</w:t>
      </w:r>
      <w:r w:rsidRPr="00473B8C">
        <w:rPr>
          <w:rFonts w:ascii="Garamond" w:hAnsi="Garamond" w:cs="Times New Roman"/>
          <w:sz w:val="24"/>
          <w:szCs w:val="24"/>
        </w:rPr>
        <w:t>). At this scale, th</w:t>
      </w:r>
      <w:r>
        <w:rPr>
          <w:rFonts w:ascii="Garamond" w:hAnsi="Garamond" w:cs="Times New Roman"/>
          <w:sz w:val="24"/>
          <w:szCs w:val="24"/>
        </w:rPr>
        <w:t>e sentimentality of multiculture</w:t>
      </w:r>
      <w:r w:rsidRPr="00473B8C">
        <w:rPr>
          <w:rFonts w:ascii="Garamond" w:hAnsi="Garamond" w:cs="Times New Roman"/>
          <w:sz w:val="24"/>
          <w:szCs w:val="24"/>
        </w:rPr>
        <w:t xml:space="preserve"> and diversity becomes a type of British cultural capital that is attractive to investors seeking to add value and meanings to their brands. The complexities, differences, and colourlines of and between local communities (and concomitant provincial racisms) are conveniently airbrushed (Nayak, 2010; Swanton, 2010</w:t>
      </w:r>
      <w:r>
        <w:rPr>
          <w:rFonts w:ascii="Garamond" w:hAnsi="Garamond" w:cs="Times New Roman"/>
          <w:sz w:val="24"/>
          <w:szCs w:val="24"/>
        </w:rPr>
        <w:t>b</w:t>
      </w:r>
      <w:r w:rsidRPr="00473B8C">
        <w:rPr>
          <w:rFonts w:ascii="Garamond" w:hAnsi="Garamond" w:cs="Times New Roman"/>
          <w:sz w:val="24"/>
          <w:szCs w:val="24"/>
        </w:rPr>
        <w:t xml:space="preserve">). On </w:t>
      </w:r>
      <w:r>
        <w:rPr>
          <w:rFonts w:ascii="Garamond" w:hAnsi="Garamond" w:cs="Times New Roman"/>
          <w:sz w:val="24"/>
          <w:szCs w:val="24"/>
        </w:rPr>
        <w:t>the national scale, multiculture</w:t>
      </w:r>
      <w:r w:rsidRPr="00473B8C">
        <w:rPr>
          <w:rFonts w:ascii="Garamond" w:hAnsi="Garamond" w:cs="Times New Roman"/>
          <w:sz w:val="24"/>
          <w:szCs w:val="24"/>
        </w:rPr>
        <w:t xml:space="preserve"> and race are being packaged, commodified and distributed across </w:t>
      </w:r>
      <w:r>
        <w:rPr>
          <w:rFonts w:ascii="Garamond" w:hAnsi="Garamond" w:cs="Times New Roman"/>
          <w:sz w:val="24"/>
          <w:szCs w:val="24"/>
        </w:rPr>
        <w:t xml:space="preserve">the </w:t>
      </w:r>
      <w:r w:rsidRPr="00473B8C">
        <w:rPr>
          <w:rFonts w:ascii="Garamond" w:hAnsi="Garamond" w:cs="Times New Roman"/>
          <w:sz w:val="24"/>
          <w:szCs w:val="24"/>
        </w:rPr>
        <w:t>globe</w:t>
      </w:r>
      <w:r>
        <w:rPr>
          <w:rFonts w:ascii="Garamond" w:hAnsi="Garamond" w:cs="Times New Roman"/>
          <w:sz w:val="24"/>
          <w:szCs w:val="24"/>
        </w:rPr>
        <w:t>, for example in relation to</w:t>
      </w:r>
      <w:r w:rsidRPr="00473B8C">
        <w:rPr>
          <w:rFonts w:ascii="Garamond" w:hAnsi="Garamond" w:cs="Times New Roman"/>
          <w:sz w:val="24"/>
          <w:szCs w:val="24"/>
        </w:rPr>
        <w:t xml:space="preserve"> </w:t>
      </w:r>
      <w:r>
        <w:rPr>
          <w:rFonts w:ascii="Garamond" w:hAnsi="Garamond" w:cs="Times New Roman"/>
          <w:sz w:val="24"/>
          <w:szCs w:val="24"/>
        </w:rPr>
        <w:t xml:space="preserve">presentation of Britishness for </w:t>
      </w:r>
      <w:r w:rsidRPr="00473B8C">
        <w:rPr>
          <w:rFonts w:ascii="Garamond" w:hAnsi="Garamond" w:cs="Times New Roman"/>
          <w:sz w:val="24"/>
          <w:szCs w:val="24"/>
        </w:rPr>
        <w:t>the 2012 Olympics. Threats to national security (trafficking, smuggling) are concomitantly threats to multicultural Britain. Consequently</w:t>
      </w:r>
      <w:r>
        <w:rPr>
          <w:rFonts w:ascii="Garamond" w:hAnsi="Garamond" w:cs="Times New Roman"/>
          <w:sz w:val="24"/>
          <w:szCs w:val="24"/>
        </w:rPr>
        <w:t>,</w:t>
      </w:r>
      <w:r w:rsidRPr="00473B8C">
        <w:rPr>
          <w:rFonts w:ascii="Garamond" w:hAnsi="Garamond" w:cs="Times New Roman"/>
          <w:sz w:val="24"/>
          <w:szCs w:val="24"/>
        </w:rPr>
        <w:t xml:space="preserve"> the racialization of minority groups is produced in a nuanced and contradictory fashion.</w:t>
      </w:r>
      <w:r>
        <w:rPr>
          <w:rFonts w:ascii="Garamond" w:hAnsi="Garamond" w:cs="Times New Roman"/>
          <w:sz w:val="24"/>
          <w:szCs w:val="24"/>
        </w:rPr>
        <w:t xml:space="preserve"> </w:t>
      </w:r>
      <w:r w:rsidRPr="00473B8C">
        <w:rPr>
          <w:rFonts w:ascii="Garamond" w:hAnsi="Garamond" w:cs="Times New Roman"/>
          <w:sz w:val="24"/>
          <w:szCs w:val="24"/>
        </w:rPr>
        <w:t>Stop The Traffik play an active role in the branding of multicultural Britain</w:t>
      </w:r>
      <w:r>
        <w:rPr>
          <w:rFonts w:ascii="Garamond" w:hAnsi="Garamond" w:cs="Times New Roman"/>
          <w:sz w:val="24"/>
          <w:szCs w:val="24"/>
        </w:rPr>
        <w:t>, both</w:t>
      </w:r>
      <w:r w:rsidRPr="00473B8C">
        <w:rPr>
          <w:rFonts w:ascii="Garamond" w:hAnsi="Garamond" w:cs="Times New Roman"/>
          <w:sz w:val="24"/>
          <w:szCs w:val="24"/>
        </w:rPr>
        <w:t xml:space="preserve"> as an instrument of public pedagogy (Giroux, 20</w:t>
      </w:r>
      <w:r>
        <w:rPr>
          <w:rFonts w:ascii="Garamond" w:hAnsi="Garamond" w:cs="Times New Roman"/>
          <w:sz w:val="24"/>
          <w:szCs w:val="24"/>
        </w:rPr>
        <w:t>04</w:t>
      </w:r>
      <w:r w:rsidRPr="00473B8C">
        <w:rPr>
          <w:rFonts w:ascii="Garamond" w:hAnsi="Garamond" w:cs="Times New Roman"/>
          <w:sz w:val="24"/>
          <w:szCs w:val="24"/>
        </w:rPr>
        <w:t>) and as a ‘technology of community’ (Rose, 1999) through their London ACT network</w:t>
      </w:r>
      <w:r>
        <w:rPr>
          <w:rFonts w:ascii="Garamond" w:hAnsi="Garamond" w:cs="Times New Roman"/>
          <w:sz w:val="24"/>
          <w:szCs w:val="24"/>
        </w:rPr>
        <w:t>.</w:t>
      </w:r>
    </w:p>
    <w:p w:rsidR="00A05ED2" w:rsidRDefault="00A05ED2" w:rsidP="00A05ED2">
      <w:pPr>
        <w:spacing w:after="0" w:line="360" w:lineRule="auto"/>
        <w:jc w:val="both"/>
        <w:rPr>
          <w:rFonts w:ascii="Garamond" w:hAnsi="Garamond" w:cs="Times New Roman"/>
          <w:sz w:val="24"/>
          <w:szCs w:val="24"/>
        </w:rPr>
      </w:pPr>
    </w:p>
    <w:p w:rsidR="00A05ED2" w:rsidRPr="00D51BB2" w:rsidRDefault="00A05ED2" w:rsidP="00293D4C">
      <w:pPr>
        <w:pBdr>
          <w:top w:val="single" w:sz="4" w:space="1" w:color="auto"/>
          <w:left w:val="single" w:sz="4" w:space="4" w:color="auto"/>
          <w:bottom w:val="single" w:sz="4" w:space="1" w:color="auto"/>
          <w:right w:val="single" w:sz="4" w:space="4" w:color="auto"/>
        </w:pBdr>
        <w:spacing w:after="0" w:line="360" w:lineRule="auto"/>
        <w:jc w:val="center"/>
        <w:rPr>
          <w:rFonts w:ascii="Calibri" w:hAnsi="Calibri" w:cs="Times New Roman"/>
          <w:b/>
          <w:sz w:val="24"/>
          <w:szCs w:val="24"/>
        </w:rPr>
      </w:pPr>
      <w:r w:rsidRPr="00D51BB2">
        <w:rPr>
          <w:rFonts w:ascii="Calibri" w:hAnsi="Calibri" w:cs="Times New Roman"/>
          <w:b/>
          <w:sz w:val="24"/>
          <w:szCs w:val="24"/>
        </w:rPr>
        <w:lastRenderedPageBreak/>
        <w:t>When people ACT, things change</w:t>
      </w:r>
    </w:p>
    <w:p w:rsidR="00A05ED2" w:rsidRPr="00D51BB2" w:rsidRDefault="00A05ED2" w:rsidP="00A05ED2">
      <w:pPr>
        <w:pBdr>
          <w:top w:val="single" w:sz="4" w:space="1" w:color="auto"/>
          <w:left w:val="single" w:sz="4" w:space="4" w:color="auto"/>
          <w:bottom w:val="single" w:sz="4" w:space="1" w:color="auto"/>
          <w:right w:val="single" w:sz="4" w:space="4" w:color="auto"/>
        </w:pBdr>
        <w:spacing w:after="0" w:line="360" w:lineRule="auto"/>
        <w:jc w:val="both"/>
        <w:rPr>
          <w:rFonts w:ascii="Calibri" w:hAnsi="Calibri" w:cs="Times New Roman"/>
          <w:sz w:val="24"/>
          <w:szCs w:val="24"/>
        </w:rPr>
      </w:pPr>
      <w:r w:rsidRPr="00D51BB2">
        <w:rPr>
          <w:rFonts w:ascii="Calibri" w:hAnsi="Calibri" w:cs="Times New Roman"/>
          <w:sz w:val="24"/>
          <w:szCs w:val="24"/>
        </w:rPr>
        <w:t>We have three different teams:</w:t>
      </w:r>
    </w:p>
    <w:p w:rsidR="00A05ED2" w:rsidRPr="00D51BB2" w:rsidRDefault="00A05ED2" w:rsidP="00A05ED2">
      <w:pPr>
        <w:pBdr>
          <w:top w:val="single" w:sz="4" w:space="1" w:color="auto"/>
          <w:left w:val="single" w:sz="4" w:space="4" w:color="auto"/>
          <w:bottom w:val="single" w:sz="4" w:space="1" w:color="auto"/>
          <w:right w:val="single" w:sz="4" w:space="4" w:color="auto"/>
        </w:pBdr>
        <w:spacing w:after="0" w:line="360" w:lineRule="auto"/>
        <w:jc w:val="both"/>
        <w:rPr>
          <w:rFonts w:ascii="Calibri" w:hAnsi="Calibri" w:cs="Times New Roman"/>
          <w:b/>
          <w:sz w:val="24"/>
          <w:szCs w:val="24"/>
        </w:rPr>
      </w:pPr>
      <w:r w:rsidRPr="00D51BB2">
        <w:rPr>
          <w:rFonts w:ascii="Calibri" w:hAnsi="Calibri" w:cs="Times New Roman"/>
          <w:b/>
          <w:sz w:val="24"/>
          <w:szCs w:val="24"/>
        </w:rPr>
        <w:t>Advocacy</w:t>
      </w:r>
    </w:p>
    <w:p w:rsidR="00A05ED2" w:rsidRPr="00D51BB2" w:rsidRDefault="00A05ED2" w:rsidP="00A05ED2">
      <w:pPr>
        <w:pBdr>
          <w:top w:val="single" w:sz="4" w:space="1" w:color="auto"/>
          <w:left w:val="single" w:sz="4" w:space="4" w:color="auto"/>
          <w:bottom w:val="single" w:sz="4" w:space="1" w:color="auto"/>
          <w:right w:val="single" w:sz="4" w:space="4" w:color="auto"/>
        </w:pBdr>
        <w:spacing w:after="0" w:line="360" w:lineRule="auto"/>
        <w:jc w:val="both"/>
        <w:rPr>
          <w:rFonts w:ascii="Calibri" w:hAnsi="Calibri" w:cs="Times New Roman"/>
          <w:sz w:val="24"/>
          <w:szCs w:val="24"/>
        </w:rPr>
      </w:pPr>
      <w:r w:rsidRPr="00D51BB2">
        <w:rPr>
          <w:rFonts w:ascii="Calibri" w:hAnsi="Calibri"/>
          <w:color w:val="000000"/>
          <w:sz w:val="24"/>
          <w:szCs w:val="18"/>
        </w:rPr>
        <w:t>Our Advocacy Team engages in lobbying key councillors, MPs and other policymakers, to help raise the profile of the issue of human trafficking</w:t>
      </w:r>
    </w:p>
    <w:p w:rsidR="00A05ED2" w:rsidRPr="00D51BB2" w:rsidRDefault="00A05ED2" w:rsidP="00A05ED2">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360" w:lineRule="auto"/>
        <w:jc w:val="both"/>
        <w:rPr>
          <w:rStyle w:val="Strong"/>
          <w:rFonts w:asciiTheme="minorHAnsi" w:eastAsiaTheme="minorHAnsi" w:hAnsiTheme="minorHAnsi" w:cstheme="minorBidi"/>
          <w:sz w:val="22"/>
          <w:szCs w:val="22"/>
          <w:lang w:eastAsia="en-US"/>
        </w:rPr>
      </w:pPr>
      <w:r w:rsidRPr="00D51BB2">
        <w:rPr>
          <w:rStyle w:val="Strong"/>
          <w:rFonts w:ascii="Calibri" w:hAnsi="Calibri"/>
          <w:color w:val="000000"/>
          <w:szCs w:val="18"/>
        </w:rPr>
        <w:t>Outreach</w:t>
      </w:r>
    </w:p>
    <w:p w:rsidR="00A05ED2" w:rsidRPr="00D51BB2" w:rsidRDefault="00A05ED2" w:rsidP="00A05ED2">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360" w:lineRule="auto"/>
        <w:jc w:val="both"/>
        <w:rPr>
          <w:rStyle w:val="Strong"/>
        </w:rPr>
      </w:pPr>
      <w:r w:rsidRPr="00D51BB2">
        <w:rPr>
          <w:rFonts w:ascii="Calibri" w:hAnsi="Calibri"/>
          <w:color w:val="000000"/>
          <w:szCs w:val="18"/>
        </w:rPr>
        <w:t>The Outreach team run a wide variety of schemes, campaigning across communities to raise awareness of human trafficking – its causes, symptoms and how best to prevent and combat this form of exploitation in their own neighbourhoods. </w:t>
      </w:r>
    </w:p>
    <w:p w:rsidR="00A05ED2" w:rsidRPr="00D51BB2" w:rsidRDefault="00A05ED2" w:rsidP="00A05ED2">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line="360" w:lineRule="auto"/>
        <w:jc w:val="both"/>
        <w:rPr>
          <w:rFonts w:ascii="Calibri" w:hAnsi="Calibri"/>
          <w:color w:val="000000"/>
          <w:szCs w:val="18"/>
        </w:rPr>
      </w:pPr>
      <w:r w:rsidRPr="00D51BB2">
        <w:rPr>
          <w:rStyle w:val="Strong"/>
          <w:rFonts w:ascii="Calibri" w:hAnsi="Calibri"/>
          <w:color w:val="000000"/>
          <w:szCs w:val="18"/>
        </w:rPr>
        <w:t>Research</w:t>
      </w:r>
    </w:p>
    <w:p w:rsidR="00A05ED2" w:rsidRPr="00D51BB2" w:rsidRDefault="00A05ED2" w:rsidP="00A05ED2">
      <w:pPr>
        <w:pBdr>
          <w:top w:val="single" w:sz="4" w:space="1" w:color="auto"/>
          <w:left w:val="single" w:sz="4" w:space="4" w:color="auto"/>
          <w:bottom w:val="single" w:sz="4" w:space="1" w:color="auto"/>
          <w:right w:val="single" w:sz="4" w:space="4" w:color="auto"/>
        </w:pBdr>
        <w:autoSpaceDE w:val="0"/>
        <w:autoSpaceDN w:val="0"/>
        <w:adjustRightInd w:val="0"/>
        <w:spacing w:line="360" w:lineRule="auto"/>
        <w:jc w:val="both"/>
        <w:rPr>
          <w:rFonts w:ascii="Calibri" w:hAnsi="Calibri" w:cs="Times New Roman"/>
          <w:sz w:val="24"/>
        </w:rPr>
      </w:pPr>
      <w:r w:rsidRPr="00D51BB2">
        <w:rPr>
          <w:rFonts w:ascii="Calibri" w:hAnsi="Calibri" w:cs="Times New Roman"/>
          <w:color w:val="000000"/>
          <w:sz w:val="24"/>
          <w:szCs w:val="18"/>
          <w:shd w:val="clear" w:color="auto" w:fill="FFFFFF"/>
        </w:rPr>
        <w:t>Volunteers conduct independent research into the incidence of human trafficking for sexual exploitation in key London boroughs.</w:t>
      </w:r>
      <w:r w:rsidRPr="00D51BB2">
        <w:rPr>
          <w:rFonts w:ascii="Calibri" w:hAnsi="Calibri" w:cs="Times New Roman"/>
          <w:sz w:val="24"/>
          <w:szCs w:val="18"/>
        </w:rPr>
        <w:t xml:space="preserve"> </w:t>
      </w:r>
    </w:p>
    <w:p w:rsidR="00A05ED2" w:rsidRPr="00293D4C" w:rsidRDefault="00293D4C" w:rsidP="00293D4C">
      <w:pPr>
        <w:pStyle w:val="Caption"/>
        <w:rPr>
          <w:rFonts w:ascii="Perpetua" w:hAnsi="Perpetua" w:cs="Times New Roman"/>
          <w:b w:val="0"/>
          <w:color w:val="auto"/>
          <w:sz w:val="20"/>
        </w:rPr>
      </w:pPr>
      <w:bookmarkStart w:id="646" w:name="_Toc244578429"/>
      <w:r w:rsidRPr="00293D4C">
        <w:rPr>
          <w:rFonts w:ascii="Perpetua" w:hAnsi="Perpetua"/>
          <w:color w:val="auto"/>
          <w:sz w:val="20"/>
        </w:rPr>
        <w:t xml:space="preserve">Table </w:t>
      </w:r>
      <w:r w:rsidR="00DF2DF8" w:rsidRPr="00293D4C">
        <w:rPr>
          <w:rFonts w:ascii="Perpetua" w:hAnsi="Perpetua"/>
          <w:color w:val="auto"/>
          <w:sz w:val="20"/>
        </w:rPr>
        <w:fldChar w:fldCharType="begin"/>
      </w:r>
      <w:r w:rsidRPr="00293D4C">
        <w:rPr>
          <w:rFonts w:ascii="Perpetua" w:hAnsi="Perpetua"/>
          <w:color w:val="auto"/>
          <w:sz w:val="20"/>
        </w:rPr>
        <w:instrText xml:space="preserve"> SEQ Table \* ARABIC </w:instrText>
      </w:r>
      <w:r w:rsidR="00DF2DF8" w:rsidRPr="00293D4C">
        <w:rPr>
          <w:rFonts w:ascii="Perpetua" w:hAnsi="Perpetua"/>
          <w:color w:val="auto"/>
          <w:sz w:val="20"/>
        </w:rPr>
        <w:fldChar w:fldCharType="separate"/>
      </w:r>
      <w:r w:rsidR="002B3E92">
        <w:rPr>
          <w:rFonts w:ascii="Perpetua" w:hAnsi="Perpetua"/>
          <w:noProof/>
          <w:color w:val="auto"/>
          <w:sz w:val="20"/>
        </w:rPr>
        <w:t>8</w:t>
      </w:r>
      <w:r w:rsidR="00DF2DF8" w:rsidRPr="00293D4C">
        <w:rPr>
          <w:rFonts w:ascii="Perpetua" w:hAnsi="Perpetua"/>
          <w:color w:val="auto"/>
          <w:sz w:val="20"/>
        </w:rPr>
        <w:fldChar w:fldCharType="end"/>
      </w:r>
      <w:r w:rsidR="00A05ED2" w:rsidRPr="00293D4C">
        <w:rPr>
          <w:rFonts w:ascii="Perpetua" w:hAnsi="Perpetua" w:cs="Times New Roman"/>
          <w:color w:val="auto"/>
          <w:sz w:val="20"/>
        </w:rPr>
        <w:t>:</w:t>
      </w:r>
      <w:r w:rsidR="00A05ED2" w:rsidRPr="00293D4C">
        <w:rPr>
          <w:rFonts w:ascii="Perpetua" w:hAnsi="Perpetua" w:cs="Times New Roman"/>
          <w:b w:val="0"/>
          <w:color w:val="auto"/>
          <w:sz w:val="20"/>
        </w:rPr>
        <w:t xml:space="preserve"> ACT: Engaging the citizen-consumer in anti-trafficking</w:t>
      </w:r>
      <w:r w:rsidR="004F49DC">
        <w:rPr>
          <w:rFonts w:ascii="Perpetua" w:hAnsi="Perpetua" w:cs="Times New Roman"/>
          <w:b w:val="0"/>
          <w:color w:val="auto"/>
          <w:sz w:val="20"/>
        </w:rPr>
        <w:t xml:space="preserve"> advoacy, outreach and research</w:t>
      </w:r>
      <w:r w:rsidR="00A05ED2" w:rsidRPr="00293D4C">
        <w:rPr>
          <w:rFonts w:ascii="Perpetua" w:hAnsi="Perpetua" w:cs="Times New Roman"/>
          <w:b w:val="0"/>
          <w:color w:val="auto"/>
          <w:sz w:val="20"/>
        </w:rPr>
        <w:t xml:space="preserve"> in London. (http://actlondonforum.wordpress.com/what-we-do/.) Last accessed 18/01/2012</w:t>
      </w:r>
      <w:bookmarkEnd w:id="646"/>
    </w:p>
    <w:p w:rsidR="007E10FB" w:rsidRDefault="007E10FB" w:rsidP="00A05ED2">
      <w:pPr>
        <w:spacing w:line="360" w:lineRule="auto"/>
        <w:jc w:val="both"/>
        <w:rPr>
          <w:rFonts w:ascii="Garamond" w:hAnsi="Garamond" w:cs="Times New Roman"/>
          <w:sz w:val="24"/>
          <w:szCs w:val="24"/>
        </w:rPr>
      </w:pPr>
    </w:p>
    <w:p w:rsidR="00A05ED2" w:rsidRPr="00D51BB2" w:rsidRDefault="00A05ED2" w:rsidP="00A05ED2">
      <w:pPr>
        <w:spacing w:line="360" w:lineRule="auto"/>
        <w:jc w:val="both"/>
        <w:rPr>
          <w:rFonts w:ascii="Perpetua" w:hAnsi="Perpetua" w:cs="Times New Roman"/>
        </w:rPr>
      </w:pPr>
      <w:r w:rsidRPr="00473B8C">
        <w:rPr>
          <w:rFonts w:ascii="Garamond" w:hAnsi="Garamond" w:cs="Times New Roman"/>
          <w:sz w:val="24"/>
          <w:szCs w:val="24"/>
        </w:rPr>
        <w:t>STT foster anti-trafficking alliances between consumers and ethico-political organizations. As a technology of community STT seek to administer, survey and share anti-trafficking knowledge.</w:t>
      </w:r>
      <w:r>
        <w:rPr>
          <w:rFonts w:ascii="Garamond" w:hAnsi="Garamond" w:cs="Times New Roman"/>
          <w:sz w:val="24"/>
          <w:szCs w:val="24"/>
        </w:rPr>
        <w:t xml:space="preserve"> This became clearer during an interview with Sophie:</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t>HUGH: How do you present issues of trafficking to the public?</w:t>
      </w:r>
    </w:p>
    <w:p w:rsidR="00A05ED2" w:rsidRPr="00D51BB2" w:rsidDel="006F0F0B" w:rsidRDefault="00A05ED2" w:rsidP="00A05ED2">
      <w:pPr>
        <w:spacing w:line="360" w:lineRule="auto"/>
        <w:ind w:left="284" w:right="284"/>
        <w:jc w:val="both"/>
        <w:rPr>
          <w:rFonts w:ascii="Garamond" w:hAnsi="Garamond" w:cs="Times New Roman"/>
        </w:rPr>
      </w:pPr>
      <w:r w:rsidRPr="00D51BB2">
        <w:rPr>
          <w:rFonts w:ascii="Garamond" w:hAnsi="Garamond" w:cs="Times New Roman"/>
        </w:rPr>
        <w:t>SOPHIE: I think the way I’ll answer that is by talking about how ACT is set up. Martin has divided us into three sections. Advocacy and policy, outreach and research. So in those three sections we have different approaches to ways of approaching trafficking. So for an example, our advocacy and policy section is run by two girls, they recently started emailing letters to MPs, so that they d</w:t>
      </w:r>
      <w:r w:rsidRPr="00D51BB2">
        <w:rPr>
          <w:rStyle w:val="CommentReference"/>
          <w:rFonts w:ascii="Garamond" w:hAnsi="Garamond"/>
          <w:vanish/>
          <w:sz w:val="22"/>
        </w:rPr>
        <w:t xml:space="preserve">they  </w:t>
      </w:r>
      <w:r w:rsidRPr="00D51BB2">
        <w:rPr>
          <w:rFonts w:ascii="Garamond" w:hAnsi="Garamond" w:cs="Times New Roman"/>
        </w:rPr>
        <w:t>on’t necessarily have a view about trafficking, they get ACT volunteers to send letters to their own MPs as concerned citizens. It’s a little thing but it just takes one thing to change. They’re working on stuff to change laws. Research, two things, we are starting to identify forced begging in a community campaign which is directly related to STT. And something we’ve been doing in the last year is research connected with the police. So we collect information and we ask questions about certain brothels and then we give it to the police, who then deem if there’s going to be a problem.</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t xml:space="preserve">HUGH: So, do you speak to prostitutes themselves and do it that way? </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t>SOPHIE: No, we do it another way, through calls.</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lastRenderedPageBreak/>
        <w:t>HUGH: To the brothels?</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t xml:space="preserve">SOPHIE: Yeah, and then the police can investigate what’s going on and it's up to them if there is criminal activity. </w:t>
      </w:r>
    </w:p>
    <w:p w:rsidR="00A05ED2" w:rsidRPr="00D51BB2" w:rsidRDefault="00A05ED2" w:rsidP="00A05ED2">
      <w:pPr>
        <w:spacing w:line="360" w:lineRule="auto"/>
        <w:ind w:left="284" w:right="284"/>
        <w:jc w:val="both"/>
        <w:rPr>
          <w:rFonts w:ascii="Garamond" w:hAnsi="Garamond" w:cs="Times New Roman"/>
        </w:rPr>
      </w:pPr>
      <w:r w:rsidRPr="00D51BB2">
        <w:rPr>
          <w:rFonts w:ascii="Garamond" w:hAnsi="Garamond" w:cs="Times New Roman"/>
        </w:rPr>
        <w:t>HUGH: So it's like a witness thing, and providing leads?</w:t>
      </w:r>
    </w:p>
    <w:p w:rsidR="00A05ED2" w:rsidRDefault="00A05ED2" w:rsidP="00A05ED2">
      <w:pPr>
        <w:spacing w:line="360" w:lineRule="auto"/>
        <w:ind w:left="284" w:right="284"/>
        <w:jc w:val="both"/>
        <w:rPr>
          <w:rFonts w:ascii="Garamond" w:hAnsi="Garamond" w:cs="Times New Roman"/>
        </w:rPr>
      </w:pPr>
      <w:r w:rsidRPr="00D51BB2">
        <w:rPr>
          <w:rFonts w:ascii="Garamond" w:hAnsi="Garamond" w:cs="Times New Roman"/>
        </w:rPr>
        <w:t>SOPHIE: Yeah. And then Outreach is quite broadly conceived, like reaching out to schools, people as we to go to their events, form ... we get other groups to come to our meetings if they are outside London, we support those groups, and we do media and Facebook forum, as well as …there’s a volunteer coming in July who will do church stuff, so she’ll contact the churches. I’m from the outreach part, it's not necessarily a big campaign we just spread ourselves, our volunteers across different areas. So we have schools and youth groups interested in different areas.</w:t>
      </w:r>
    </w:p>
    <w:p w:rsidR="00A05ED2" w:rsidRPr="00D51BB2" w:rsidRDefault="00A05ED2" w:rsidP="00A05ED2">
      <w:pPr>
        <w:spacing w:line="360" w:lineRule="auto"/>
        <w:ind w:left="284" w:right="284"/>
        <w:jc w:val="both"/>
        <w:rPr>
          <w:rFonts w:ascii="Garamond" w:hAnsi="Garamond" w:cs="Times New Roman"/>
        </w:rPr>
      </w:pPr>
      <w:r>
        <w:rPr>
          <w:rFonts w:ascii="Garamond" w:hAnsi="Garamond" w:cs="Times New Roman"/>
        </w:rPr>
        <w:t>(Interview Sophie 2011)</w:t>
      </w:r>
    </w:p>
    <w:p w:rsidR="00A05ED2" w:rsidRPr="00473B8C" w:rsidRDefault="00A05ED2" w:rsidP="00A05ED2">
      <w:pPr>
        <w:spacing w:after="0" w:line="360" w:lineRule="auto"/>
        <w:ind w:left="284" w:right="284"/>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Working with various ACT groups in tandem with the police STT</w:t>
      </w:r>
      <w:r w:rsidRPr="00473B8C">
        <w:rPr>
          <w:rFonts w:ascii="Garamond" w:hAnsi="Garamond" w:cs="Times New Roman"/>
          <w:sz w:val="24"/>
          <w:szCs w:val="24"/>
        </w:rPr>
        <w:t xml:space="preserve"> source intelligence gathering on sex-trafficking through several campaigns directed at taxi drivers, the police force and other public groups they encourage to perfo</w:t>
      </w:r>
      <w:r>
        <w:rPr>
          <w:rFonts w:ascii="Garamond" w:hAnsi="Garamond" w:cs="Times New Roman"/>
          <w:sz w:val="24"/>
          <w:szCs w:val="24"/>
        </w:rPr>
        <w:t>rm community surveillance (</w:t>
      </w:r>
      <w:r w:rsidRPr="00473B8C">
        <w:rPr>
          <w:rFonts w:ascii="Garamond" w:hAnsi="Garamond" w:cs="Times New Roman"/>
          <w:sz w:val="24"/>
          <w:szCs w:val="24"/>
        </w:rPr>
        <w:t>interview,</w:t>
      </w:r>
      <w:r>
        <w:rPr>
          <w:rFonts w:ascii="Garamond" w:hAnsi="Garamond" w:cs="Times New Roman"/>
          <w:sz w:val="24"/>
          <w:szCs w:val="24"/>
        </w:rPr>
        <w:t xml:space="preserve"> Sophie</w:t>
      </w:r>
      <w:r w:rsidRPr="00473B8C">
        <w:rPr>
          <w:rFonts w:ascii="Garamond" w:hAnsi="Garamond" w:cs="Times New Roman"/>
          <w:sz w:val="24"/>
          <w:szCs w:val="24"/>
        </w:rPr>
        <w:t xml:space="preserve"> 2011)</w:t>
      </w:r>
      <w:r>
        <w:rPr>
          <w:rFonts w:ascii="Garamond" w:hAnsi="Garamond" w:cs="Times New Roman"/>
          <w:sz w:val="24"/>
          <w:szCs w:val="24"/>
        </w:rPr>
        <w:t xml:space="preserve">. They also </w:t>
      </w:r>
      <w:r w:rsidRPr="00473B8C">
        <w:rPr>
          <w:rFonts w:ascii="Garamond" w:hAnsi="Garamond" w:cs="Times New Roman"/>
          <w:sz w:val="24"/>
          <w:szCs w:val="24"/>
        </w:rPr>
        <w:t>contribute to the increasing cyber-terrain of the</w:t>
      </w:r>
      <w:r>
        <w:rPr>
          <w:rFonts w:ascii="Garamond" w:hAnsi="Garamond" w:cs="Times New Roman"/>
          <w:sz w:val="24"/>
          <w:szCs w:val="24"/>
        </w:rPr>
        <w:t xml:space="preserve"> security society (Graham, 2004,</w:t>
      </w:r>
      <w:r w:rsidRPr="00473B8C">
        <w:rPr>
          <w:rFonts w:ascii="Garamond" w:hAnsi="Garamond" w:cs="Times New Roman"/>
          <w:sz w:val="24"/>
          <w:szCs w:val="24"/>
        </w:rPr>
        <w:t xml:space="preserve"> Rosati, 2007). </w:t>
      </w:r>
      <w:r w:rsidRPr="00473B8C">
        <w:rPr>
          <w:rFonts w:ascii="Garamond" w:hAnsi="Garamond" w:cs="Minion-Regular"/>
          <w:sz w:val="24"/>
          <w:szCs w:val="24"/>
        </w:rPr>
        <w:t>STT are specialists in narrating and brand marketing. Their volunteers are often social media graduates (</w:t>
      </w:r>
      <w:r>
        <w:rPr>
          <w:rFonts w:ascii="Garamond" w:hAnsi="Garamond" w:cs="Minion-Regular"/>
          <w:sz w:val="24"/>
          <w:szCs w:val="24"/>
        </w:rPr>
        <w:t>i</w:t>
      </w:r>
      <w:r w:rsidRPr="00473B8C">
        <w:rPr>
          <w:rFonts w:ascii="Garamond" w:hAnsi="Garamond" w:cs="Minion-Regular"/>
          <w:sz w:val="24"/>
          <w:szCs w:val="24"/>
        </w:rPr>
        <w:t xml:space="preserve">nterview Lucy, 2011) who design innovative means to </w:t>
      </w:r>
      <w:r>
        <w:rPr>
          <w:rFonts w:ascii="Garamond" w:hAnsi="Garamond" w:cs="Minion-Regular"/>
          <w:sz w:val="24"/>
          <w:szCs w:val="24"/>
        </w:rPr>
        <w:t>crowd-</w:t>
      </w:r>
      <w:r w:rsidRPr="00473B8C">
        <w:rPr>
          <w:rFonts w:ascii="Garamond" w:hAnsi="Garamond" w:cs="Minion-Regular"/>
          <w:sz w:val="24"/>
          <w:szCs w:val="24"/>
        </w:rPr>
        <w:t>share anti-trafficking sound bites for targeted audiences. The results are neatly packaged micro anti-trafficking actions that tap into the quick breaks and fast-click routines of internet consumers.</w:t>
      </w:r>
    </w:p>
    <w:p w:rsidR="00A05ED2" w:rsidRPr="00473B8C" w:rsidRDefault="00A05ED2" w:rsidP="00A05ED2">
      <w:pPr>
        <w:autoSpaceDE w:val="0"/>
        <w:autoSpaceDN w:val="0"/>
        <w:adjustRightInd w:val="0"/>
        <w:spacing w:after="0" w:line="360" w:lineRule="auto"/>
        <w:jc w:val="both"/>
        <w:rPr>
          <w:rFonts w:ascii="Garamond" w:hAnsi="Garamond" w:cs="Minion-Regular"/>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implication of an underlying capitalist logic to multiculturalism sheds </w:t>
      </w:r>
      <w:r>
        <w:rPr>
          <w:rFonts w:ascii="Garamond" w:hAnsi="Garamond" w:cs="Times New Roman"/>
          <w:sz w:val="24"/>
          <w:szCs w:val="24"/>
        </w:rPr>
        <w:t xml:space="preserve">further </w:t>
      </w:r>
      <w:r w:rsidRPr="00473B8C">
        <w:rPr>
          <w:rFonts w:ascii="Garamond" w:hAnsi="Garamond" w:cs="Times New Roman"/>
          <w:sz w:val="24"/>
          <w:szCs w:val="24"/>
        </w:rPr>
        <w:t xml:space="preserve">light on STT’s campaigns. The Frankfurt school’s critique of progress, modernity and enlightenment has found new resonance in recent critiques of race and state multiculturalism (Lentin, 2005; Goldberg, 2003, 2009; Keith, 2008; Lentin </w:t>
      </w:r>
      <w:r w:rsidR="00F152DB">
        <w:rPr>
          <w:rFonts w:ascii="Garamond" w:hAnsi="Garamond" w:cs="Times New Roman"/>
          <w:sz w:val="24"/>
          <w:szCs w:val="24"/>
        </w:rPr>
        <w:t>and</w:t>
      </w:r>
      <w:r w:rsidRPr="00473B8C">
        <w:rPr>
          <w:rFonts w:ascii="Garamond" w:hAnsi="Garamond" w:cs="Times New Roman"/>
          <w:sz w:val="24"/>
          <w:szCs w:val="24"/>
        </w:rPr>
        <w:t xml:space="preserve"> Titley, 2011). Multiculture, Al</w:t>
      </w:r>
      <w:r>
        <w:rPr>
          <w:rFonts w:ascii="Garamond" w:hAnsi="Garamond" w:cs="Times New Roman"/>
          <w:sz w:val="24"/>
          <w:szCs w:val="24"/>
        </w:rPr>
        <w:t>a</w:t>
      </w:r>
      <w:r w:rsidRPr="00473B8C">
        <w:rPr>
          <w:rFonts w:ascii="Garamond" w:hAnsi="Garamond" w:cs="Times New Roman"/>
          <w:sz w:val="24"/>
          <w:szCs w:val="24"/>
        </w:rPr>
        <w:t>s</w:t>
      </w:r>
      <w:r>
        <w:rPr>
          <w:rFonts w:ascii="Garamond" w:hAnsi="Garamond" w:cs="Times New Roman"/>
          <w:sz w:val="24"/>
          <w:szCs w:val="24"/>
        </w:rPr>
        <w:t>t</w:t>
      </w:r>
      <w:r w:rsidRPr="00473B8C">
        <w:rPr>
          <w:rFonts w:ascii="Garamond" w:hAnsi="Garamond" w:cs="Times New Roman"/>
          <w:sz w:val="24"/>
          <w:szCs w:val="24"/>
        </w:rPr>
        <w:t>air Bonnett remarks, offered political potential for antiracist struggles in the Britain during the early 1990s. However its anti-essentialist and progressive potential is now widely understood on the political left to be a product of late modern capitalism rather than antiracism:</w:t>
      </w:r>
    </w:p>
    <w:p w:rsidR="00A05ED2" w:rsidRPr="00473B8C" w:rsidRDefault="00A05ED2" w:rsidP="00A05ED2">
      <w:pPr>
        <w:autoSpaceDE w:val="0"/>
        <w:autoSpaceDN w:val="0"/>
        <w:adjustRightInd w:val="0"/>
        <w:spacing w:after="0" w:line="360" w:lineRule="auto"/>
        <w:ind w:left="284" w:right="284"/>
        <w:jc w:val="both"/>
        <w:rPr>
          <w:rFonts w:ascii="Garamond" w:hAnsi="Garamond" w:cs="Times New Roman"/>
        </w:rPr>
      </w:pPr>
    </w:p>
    <w:p w:rsidR="00A05ED2" w:rsidRPr="00473B8C" w:rsidRDefault="00A05ED2" w:rsidP="00A05ED2">
      <w:pPr>
        <w:autoSpaceDE w:val="0"/>
        <w:autoSpaceDN w:val="0"/>
        <w:adjustRightInd w:val="0"/>
        <w:spacing w:after="0" w:line="360" w:lineRule="auto"/>
        <w:ind w:left="284" w:right="284"/>
        <w:jc w:val="both"/>
        <w:rPr>
          <w:rFonts w:ascii="Garamond" w:hAnsi="Garamond" w:cs="Times New Roman"/>
        </w:rPr>
      </w:pPr>
      <w:r w:rsidRPr="00473B8C">
        <w:rPr>
          <w:rFonts w:ascii="Garamond" w:hAnsi="Garamond" w:cs="Times New Roman"/>
        </w:rPr>
        <w:t xml:space="preserve">The attempt to find in antiessentialism, or its associated shifting multiculture, a new articulation of radical politics is a fraught undertaking. The associations of these themes </w:t>
      </w:r>
      <w:r w:rsidRPr="00473B8C">
        <w:rPr>
          <w:rFonts w:ascii="Garamond" w:hAnsi="Garamond" w:cs="Times New Roman"/>
        </w:rPr>
        <w:lastRenderedPageBreak/>
        <w:t>with liberalism and neoliberal capitalism makes their deployment as agents of radical change prone to contradiction and evasion. For some critics on the left, multiculturalism is still better understood as a product of late modern capitalism than as political heir to the radical</w:t>
      </w:r>
      <w:r>
        <w:rPr>
          <w:rFonts w:ascii="Garamond" w:hAnsi="Garamond" w:cs="Times New Roman"/>
        </w:rPr>
        <w:t xml:space="preserve"> tradition. (Bonnett, 2010: 2360)</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M</w:t>
      </w:r>
      <w:r w:rsidRPr="00473B8C">
        <w:rPr>
          <w:rFonts w:ascii="Garamond" w:hAnsi="Garamond" w:cs="Times New Roman"/>
          <w:sz w:val="24"/>
          <w:szCs w:val="24"/>
        </w:rPr>
        <w:t>ulticultur</w:t>
      </w:r>
      <w:r>
        <w:rPr>
          <w:rFonts w:ascii="Garamond" w:hAnsi="Garamond" w:cs="Times New Roman"/>
          <w:sz w:val="24"/>
          <w:szCs w:val="24"/>
        </w:rPr>
        <w:t xml:space="preserve">e </w:t>
      </w:r>
      <w:r w:rsidRPr="00473B8C">
        <w:rPr>
          <w:rFonts w:ascii="Garamond" w:hAnsi="Garamond" w:cs="Times New Roman"/>
          <w:sz w:val="24"/>
          <w:szCs w:val="24"/>
        </w:rPr>
        <w:t xml:space="preserve">is prone to fixing cultural subject positions by attributing minority groups with particular ‘essences’. Where racial naturalism at the turn of the twentieth century used skin colour, hair type and physiognomy to denote insurmountable “fundamental differences in human capacity” (Alcoff, 2006; 164) along biological lines, today racial naturalism often convinces that phenotypic differences signify fundamental differences along cultural lines. Racial naturalism has always worked as an expression of a tension between nature and culture (Keith, 2008; Goldberg, 2009). Despite the empirical impossibility of supporting naturalist claims, groups of people are taken to have cultural ‘essences’ that are immovable and bounded. This culturalist logic, Alcoff (2006), Keith (2005) and Lentin </w:t>
      </w:r>
      <w:r w:rsidR="00F152DB">
        <w:rPr>
          <w:rFonts w:ascii="Garamond" w:hAnsi="Garamond" w:cs="Times New Roman"/>
          <w:sz w:val="24"/>
          <w:szCs w:val="24"/>
        </w:rPr>
        <w:t>and</w:t>
      </w:r>
      <w:r>
        <w:rPr>
          <w:rFonts w:ascii="Garamond" w:hAnsi="Garamond" w:cs="Times New Roman"/>
          <w:sz w:val="24"/>
          <w:szCs w:val="24"/>
        </w:rPr>
        <w:t xml:space="preserve"> </w:t>
      </w:r>
      <w:r w:rsidRPr="00473B8C">
        <w:rPr>
          <w:rFonts w:ascii="Garamond" w:hAnsi="Garamond" w:cs="Times New Roman"/>
          <w:sz w:val="24"/>
          <w:szCs w:val="24"/>
        </w:rPr>
        <w:t>Titley (2011) insist, operates under official types of multiculture and antiracism respectively. Official types of antiracism, Alcoff goes</w:t>
      </w:r>
      <w:r>
        <w:rPr>
          <w:rFonts w:ascii="Garamond" w:hAnsi="Garamond" w:cs="Times New Roman"/>
          <w:sz w:val="24"/>
          <w:szCs w:val="24"/>
        </w:rPr>
        <w:t xml:space="preserve"> so far as to </w:t>
      </w:r>
      <w:r w:rsidRPr="00473B8C">
        <w:rPr>
          <w:rFonts w:ascii="Garamond" w:hAnsi="Garamond" w:cs="Times New Roman"/>
          <w:sz w:val="24"/>
          <w:szCs w:val="24"/>
        </w:rPr>
        <w:t>suggest, “conceal the racism that motivates the claim of cultural intractability” (2006</w:t>
      </w:r>
      <w:r>
        <w:rPr>
          <w:rFonts w:ascii="Garamond" w:hAnsi="Garamond" w:cs="Times New Roman"/>
          <w:sz w:val="24"/>
          <w:szCs w:val="24"/>
        </w:rPr>
        <w:t>:</w:t>
      </w:r>
      <w:r w:rsidRPr="00473B8C">
        <w:rPr>
          <w:rFonts w:ascii="Garamond" w:hAnsi="Garamond" w:cs="Times New Roman"/>
          <w:sz w:val="24"/>
          <w:szCs w:val="24"/>
        </w:rPr>
        <w:t xml:space="preserve"> 164). Two questions now arise. What are these official typ</w:t>
      </w:r>
      <w:r>
        <w:rPr>
          <w:rFonts w:ascii="Garamond" w:hAnsi="Garamond" w:cs="Times New Roman"/>
          <w:sz w:val="24"/>
          <w:szCs w:val="24"/>
        </w:rPr>
        <w:t>es of multiculture and anti</w:t>
      </w:r>
      <w:r w:rsidRPr="00473B8C">
        <w:rPr>
          <w:rFonts w:ascii="Garamond" w:hAnsi="Garamond" w:cs="Times New Roman"/>
          <w:sz w:val="24"/>
          <w:szCs w:val="24"/>
        </w:rPr>
        <w:t xml:space="preserve">racism? And what is their relationship to Stop The Traffik’s chocolate campaigns? </w:t>
      </w:r>
    </w:p>
    <w:p w:rsidR="00A05ED2" w:rsidRPr="00473B8C" w:rsidRDefault="00A05ED2" w:rsidP="00A05ED2">
      <w:pPr>
        <w:spacing w:after="0" w:line="360" w:lineRule="auto"/>
        <w:jc w:val="both"/>
        <w:rPr>
          <w:rFonts w:ascii="Garamond" w:hAnsi="Garamond" w:cs="Times New Roman"/>
          <w:i/>
          <w:sz w:val="24"/>
          <w:szCs w:val="24"/>
        </w:rPr>
      </w:pPr>
    </w:p>
    <w:p w:rsidR="00A05ED2" w:rsidRPr="00473B8C" w:rsidRDefault="00A05ED2" w:rsidP="00A05ED2">
      <w:pPr>
        <w:autoSpaceDE w:val="0"/>
        <w:autoSpaceDN w:val="0"/>
        <w:adjustRightInd w:val="0"/>
        <w:spacing w:after="0" w:line="360" w:lineRule="auto"/>
        <w:ind w:left="284" w:right="284"/>
        <w:jc w:val="both"/>
        <w:rPr>
          <w:rFonts w:ascii="Garamond" w:hAnsi="Garamond" w:cs="Minion-Regular"/>
        </w:rPr>
      </w:pPr>
      <w:r w:rsidRPr="00473B8C">
        <w:rPr>
          <w:rFonts w:ascii="Garamond" w:hAnsi="Garamond" w:cs="Minion-Regular"/>
        </w:rPr>
        <w:t>Antiracialism is to take a stand, instrumental or institutional, against a concept, a name, a category, a categorizing. It does not itself involve standing (up) against (a set of) conditions of being or living, as it is not always clear what those conditions might in fact be for which race is considered to stand as a sort of shorthand. (Goldberg, 2009; 11).</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According to Gilmore (2006), McKittrick (2006), Goldberg (2009, 2010), Lentin </w:t>
      </w:r>
      <w:r w:rsidR="00F152DB">
        <w:rPr>
          <w:rFonts w:ascii="Garamond" w:hAnsi="Garamond" w:cs="Times New Roman"/>
          <w:sz w:val="24"/>
          <w:szCs w:val="24"/>
        </w:rPr>
        <w:t>and</w:t>
      </w:r>
      <w:r w:rsidRPr="00473B8C">
        <w:rPr>
          <w:rFonts w:ascii="Garamond" w:hAnsi="Garamond" w:cs="Times New Roman"/>
          <w:sz w:val="24"/>
          <w:szCs w:val="24"/>
        </w:rPr>
        <w:t xml:space="preserve"> Titley (2011) and Winant (2011) late modernity has presented a series of racial proble</w:t>
      </w:r>
      <w:r>
        <w:rPr>
          <w:rFonts w:ascii="Garamond" w:hAnsi="Garamond" w:cs="Times New Roman"/>
          <w:sz w:val="24"/>
          <w:szCs w:val="24"/>
        </w:rPr>
        <w:t xml:space="preserve">ms that in various guises – </w:t>
      </w:r>
      <w:r w:rsidRPr="00473B8C">
        <w:rPr>
          <w:rFonts w:ascii="Garamond" w:hAnsi="Garamond" w:cs="Times New Roman"/>
          <w:sz w:val="24"/>
          <w:szCs w:val="24"/>
        </w:rPr>
        <w:t xml:space="preserve">colour-blindness (Giroux, 2006; Alcoff, 2006), anti-racialism (Goldberg, 2009), post-racialism (Lentin </w:t>
      </w:r>
      <w:r w:rsidR="00F152DB">
        <w:rPr>
          <w:rFonts w:ascii="Garamond" w:hAnsi="Garamond" w:cs="Times New Roman"/>
          <w:sz w:val="24"/>
          <w:szCs w:val="24"/>
        </w:rPr>
        <w:t>and</w:t>
      </w:r>
      <w:r>
        <w:rPr>
          <w:rFonts w:ascii="Garamond" w:hAnsi="Garamond" w:cs="Times New Roman"/>
          <w:sz w:val="24"/>
          <w:szCs w:val="24"/>
        </w:rPr>
        <w:t xml:space="preserve"> Titley, 2011) – </w:t>
      </w:r>
      <w:r w:rsidRPr="00473B8C">
        <w:rPr>
          <w:rFonts w:ascii="Garamond" w:hAnsi="Garamond" w:cs="Times New Roman"/>
          <w:sz w:val="24"/>
          <w:szCs w:val="24"/>
        </w:rPr>
        <w:t>materialize through varying degrees of denial about the existence of race</w:t>
      </w:r>
      <w:r>
        <w:rPr>
          <w:rFonts w:ascii="Garamond" w:hAnsi="Garamond" w:cs="Times New Roman"/>
          <w:sz w:val="24"/>
          <w:szCs w:val="24"/>
        </w:rPr>
        <w:t>;</w:t>
      </w:r>
      <w:r w:rsidRPr="00473B8C">
        <w:rPr>
          <w:rFonts w:ascii="Garamond" w:hAnsi="Garamond" w:cs="Times New Roman"/>
          <w:sz w:val="24"/>
          <w:szCs w:val="24"/>
        </w:rPr>
        <w:t xml:space="preserve"> denial of its cut and thrust across public institutions and services, and denial of its effects in the distribution of everyday rights, requirements and privileges (Goldberg, 2009). Post-racialism</w:t>
      </w:r>
      <w:r>
        <w:rPr>
          <w:rFonts w:ascii="Garamond" w:hAnsi="Garamond" w:cs="Times New Roman"/>
          <w:sz w:val="24"/>
          <w:szCs w:val="24"/>
        </w:rPr>
        <w:t>,</w:t>
      </w:r>
      <w:r w:rsidRPr="00473B8C">
        <w:rPr>
          <w:rFonts w:ascii="Garamond" w:hAnsi="Garamond" w:cs="Times New Roman"/>
          <w:sz w:val="24"/>
          <w:szCs w:val="24"/>
        </w:rPr>
        <w:t xml:space="preserve"> Lentin </w:t>
      </w:r>
      <w:r w:rsidR="00F152DB">
        <w:rPr>
          <w:rFonts w:ascii="Garamond" w:hAnsi="Garamond" w:cs="Times New Roman"/>
          <w:sz w:val="24"/>
          <w:szCs w:val="24"/>
        </w:rPr>
        <w:t>and</w:t>
      </w:r>
      <w:r w:rsidRPr="00473B8C">
        <w:rPr>
          <w:rFonts w:ascii="Garamond" w:hAnsi="Garamond" w:cs="Times New Roman"/>
          <w:sz w:val="24"/>
          <w:szCs w:val="24"/>
        </w:rPr>
        <w:t xml:space="preserve"> Titley argue, “denies the salience of race in the lived experiences of the racialized” (2011</w:t>
      </w:r>
      <w:r>
        <w:rPr>
          <w:rFonts w:ascii="Garamond" w:hAnsi="Garamond" w:cs="Times New Roman"/>
          <w:sz w:val="24"/>
          <w:szCs w:val="24"/>
        </w:rPr>
        <w:t>:</w:t>
      </w:r>
      <w:r w:rsidRPr="00473B8C">
        <w:rPr>
          <w:rFonts w:ascii="Garamond" w:hAnsi="Garamond" w:cs="Times New Roman"/>
          <w:sz w:val="24"/>
          <w:szCs w:val="24"/>
        </w:rPr>
        <w:t xml:space="preserve"> 79) and locates racism as a historical relic </w:t>
      </w:r>
      <w:r>
        <w:rPr>
          <w:rFonts w:ascii="Garamond" w:hAnsi="Garamond" w:cs="Times New Roman"/>
          <w:sz w:val="24"/>
          <w:szCs w:val="24"/>
        </w:rPr>
        <w:t xml:space="preserve">(e.g. </w:t>
      </w:r>
      <w:r w:rsidRPr="00473B8C">
        <w:rPr>
          <w:rFonts w:ascii="Garamond" w:hAnsi="Garamond" w:cs="Times New Roman"/>
          <w:sz w:val="24"/>
          <w:szCs w:val="24"/>
        </w:rPr>
        <w:t>of fascism, apartheid South Africa</w:t>
      </w:r>
      <w:r>
        <w:rPr>
          <w:rFonts w:ascii="Garamond" w:hAnsi="Garamond" w:cs="Times New Roman"/>
          <w:sz w:val="24"/>
          <w:szCs w:val="24"/>
        </w:rPr>
        <w:t xml:space="preserve"> or</w:t>
      </w:r>
      <w:r w:rsidRPr="00473B8C">
        <w:rPr>
          <w:rFonts w:ascii="Garamond" w:hAnsi="Garamond" w:cs="Times New Roman"/>
          <w:sz w:val="24"/>
          <w:szCs w:val="24"/>
        </w:rPr>
        <w:t xml:space="preserve"> colonialism</w:t>
      </w:r>
      <w:r>
        <w:rPr>
          <w:rFonts w:ascii="Garamond" w:hAnsi="Garamond" w:cs="Times New Roman"/>
          <w:sz w:val="24"/>
          <w:szCs w:val="24"/>
        </w:rPr>
        <w:t>)</w:t>
      </w:r>
      <w:r w:rsidRPr="00473B8C">
        <w:rPr>
          <w:rFonts w:ascii="Garamond" w:hAnsi="Garamond" w:cs="Times New Roman"/>
          <w:sz w:val="24"/>
          <w:szCs w:val="24"/>
        </w:rPr>
        <w:t>. Refusing the existence of race while it persists in complex and nuanced ways as “a political system of exclusion and differential privilege” (Mills, 1997</w:t>
      </w:r>
      <w:r>
        <w:rPr>
          <w:rFonts w:ascii="Garamond" w:hAnsi="Garamond" w:cs="Times New Roman"/>
          <w:sz w:val="24"/>
          <w:szCs w:val="24"/>
        </w:rPr>
        <w:t>:</w:t>
      </w:r>
      <w:r w:rsidRPr="00473B8C">
        <w:rPr>
          <w:rFonts w:ascii="Garamond" w:hAnsi="Garamond" w:cs="Times New Roman"/>
          <w:sz w:val="24"/>
          <w:szCs w:val="24"/>
        </w:rPr>
        <w:t xml:space="preserve"> 131)</w:t>
      </w:r>
      <w:r>
        <w:rPr>
          <w:rFonts w:ascii="Garamond" w:hAnsi="Garamond" w:cs="Times New Roman"/>
          <w:sz w:val="24"/>
          <w:szCs w:val="24"/>
        </w:rPr>
        <w:t>,</w:t>
      </w:r>
      <w:r w:rsidRPr="00473B8C">
        <w:rPr>
          <w:rFonts w:ascii="Garamond" w:hAnsi="Garamond" w:cs="Times New Roman"/>
          <w:sz w:val="24"/>
          <w:szCs w:val="24"/>
        </w:rPr>
        <w:t xml:space="preserve"> is to perpetuate </w:t>
      </w:r>
      <w:r w:rsidRPr="00473B8C">
        <w:rPr>
          <w:rFonts w:ascii="Garamond" w:hAnsi="Garamond" w:cs="Times New Roman"/>
          <w:sz w:val="24"/>
          <w:szCs w:val="24"/>
        </w:rPr>
        <w:lastRenderedPageBreak/>
        <w:t xml:space="preserve">what Lentin </w:t>
      </w:r>
      <w:r w:rsidR="00F152DB">
        <w:rPr>
          <w:rFonts w:ascii="Garamond" w:hAnsi="Garamond" w:cs="Times New Roman"/>
          <w:sz w:val="24"/>
          <w:szCs w:val="24"/>
        </w:rPr>
        <w:t>and</w:t>
      </w:r>
      <w:r w:rsidRPr="00473B8C">
        <w:rPr>
          <w:rFonts w:ascii="Garamond" w:hAnsi="Garamond" w:cs="Times New Roman"/>
          <w:sz w:val="24"/>
          <w:szCs w:val="24"/>
        </w:rPr>
        <w:t xml:space="preserve"> Titley argue is “the main expression of racism in our times” (2011</w:t>
      </w:r>
      <w:r>
        <w:rPr>
          <w:rFonts w:ascii="Garamond" w:hAnsi="Garamond" w:cs="Times New Roman"/>
          <w:sz w:val="24"/>
          <w:szCs w:val="24"/>
        </w:rPr>
        <w:t>:</w:t>
      </w:r>
      <w:r w:rsidRPr="00473B8C">
        <w:rPr>
          <w:rFonts w:ascii="Garamond" w:hAnsi="Garamond" w:cs="Times New Roman"/>
          <w:sz w:val="24"/>
          <w:szCs w:val="24"/>
        </w:rPr>
        <w:t xml:space="preserve"> 84). To end a dialogue on race, to silence its referral and ban racist terminology while claiming the erasure of race as a modality of power, marks a transition from antiracism to anti-racialism</w:t>
      </w:r>
      <w:r>
        <w:rPr>
          <w:rFonts w:ascii="Garamond" w:hAnsi="Garamond" w:cs="Times New Roman"/>
          <w:sz w:val="24"/>
          <w:szCs w:val="24"/>
        </w:rPr>
        <w:t>. This,</w:t>
      </w:r>
      <w:r w:rsidRPr="00473B8C">
        <w:rPr>
          <w:rFonts w:ascii="Garamond" w:hAnsi="Garamond" w:cs="Times New Roman"/>
          <w:sz w:val="24"/>
          <w:szCs w:val="24"/>
        </w:rPr>
        <w:t xml:space="preserve"> David Theo Goldberg (2009) argues</w:t>
      </w:r>
      <w:r>
        <w:rPr>
          <w:rFonts w:ascii="Garamond" w:hAnsi="Garamond" w:cs="Times New Roman"/>
          <w:sz w:val="24"/>
          <w:szCs w:val="24"/>
        </w:rPr>
        <w:t>, now</w:t>
      </w:r>
      <w:r w:rsidRPr="00473B8C">
        <w:rPr>
          <w:rFonts w:ascii="Garamond" w:hAnsi="Garamond" w:cs="Times New Roman"/>
          <w:sz w:val="24"/>
          <w:szCs w:val="24"/>
        </w:rPr>
        <w:t xml:space="preserve"> defines official government policy in the UK and USA. Anti-racialism </w:t>
      </w:r>
      <w:r>
        <w:rPr>
          <w:rFonts w:ascii="Garamond" w:hAnsi="Garamond" w:cs="Times New Roman"/>
          <w:sz w:val="24"/>
          <w:szCs w:val="24"/>
        </w:rPr>
        <w:t xml:space="preserve">in turn </w:t>
      </w:r>
      <w:r w:rsidRPr="00473B8C">
        <w:rPr>
          <w:rFonts w:ascii="Garamond" w:hAnsi="Garamond" w:cs="Times New Roman"/>
          <w:sz w:val="24"/>
          <w:szCs w:val="24"/>
        </w:rPr>
        <w:t xml:space="preserve">moves the power of critique away from state sanctioned, public and structural forms of racialization and racism to individual and private expressions of racism. </w:t>
      </w:r>
    </w:p>
    <w:p w:rsidR="00A05ED2" w:rsidRDefault="00A05ED2" w:rsidP="00A05ED2">
      <w:pPr>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Fonts w:ascii="Garamond" w:hAnsi="Garamond" w:cs="Minion-Regular"/>
        </w:rPr>
      </w:pPr>
      <w:r w:rsidRPr="00473B8C">
        <w:rPr>
          <w:rFonts w:ascii="Garamond" w:hAnsi="Garamond" w:cs="Times New Roman"/>
          <w:sz w:val="24"/>
          <w:szCs w:val="24"/>
        </w:rPr>
        <w:t>Th</w:t>
      </w:r>
      <w:r>
        <w:rPr>
          <w:rFonts w:ascii="Garamond" w:hAnsi="Garamond" w:cs="Times New Roman"/>
          <w:sz w:val="24"/>
          <w:szCs w:val="24"/>
        </w:rPr>
        <w:t>is</w:t>
      </w:r>
      <w:r w:rsidRPr="00473B8C">
        <w:rPr>
          <w:rFonts w:ascii="Garamond" w:hAnsi="Garamond" w:cs="Times New Roman"/>
          <w:sz w:val="24"/>
          <w:szCs w:val="24"/>
        </w:rPr>
        <w:t xml:space="preserve"> wider shift from state to individual culpability</w:t>
      </w:r>
      <w:r>
        <w:rPr>
          <w:rFonts w:ascii="Garamond" w:hAnsi="Garamond" w:cs="Times New Roman"/>
          <w:sz w:val="24"/>
          <w:szCs w:val="24"/>
        </w:rPr>
        <w:t xml:space="preserve"> promoted by </w:t>
      </w:r>
      <w:r w:rsidRPr="00473B8C">
        <w:rPr>
          <w:rFonts w:ascii="Garamond" w:hAnsi="Garamond" w:cs="Times New Roman"/>
          <w:sz w:val="24"/>
          <w:szCs w:val="24"/>
        </w:rPr>
        <w:t>anti-racialist d</w:t>
      </w:r>
      <w:r>
        <w:rPr>
          <w:rFonts w:ascii="Garamond" w:hAnsi="Garamond" w:cs="Times New Roman"/>
          <w:sz w:val="24"/>
          <w:szCs w:val="24"/>
        </w:rPr>
        <w:t>iscours</w:t>
      </w:r>
      <w:r w:rsidRPr="00473B8C">
        <w:rPr>
          <w:rFonts w:ascii="Garamond" w:hAnsi="Garamond" w:cs="Times New Roman"/>
          <w:sz w:val="24"/>
          <w:szCs w:val="24"/>
        </w:rPr>
        <w:t>e is also marked in anti-trafficking policy</w:t>
      </w:r>
      <w:r>
        <w:rPr>
          <w:rFonts w:ascii="Garamond" w:hAnsi="Garamond" w:cs="Times New Roman"/>
          <w:sz w:val="24"/>
          <w:szCs w:val="24"/>
        </w:rPr>
        <w:t xml:space="preserve">. Notably, </w:t>
      </w:r>
      <w:r w:rsidRPr="00473B8C">
        <w:rPr>
          <w:rFonts w:ascii="Garamond" w:hAnsi="Garamond" w:cs="Times New Roman"/>
          <w:sz w:val="24"/>
          <w:szCs w:val="24"/>
        </w:rPr>
        <w:t>the Palermo protocols define human smuggling as violence done by individuals to the state (Liempt, 2010). Discourses on anti-racialism and anti-trafficking are similar; they work through similar laws, rhetoric and bodies, and share a dynamic between universalism and particularism (where Western frameworks of individual rights are universalized). They twist responsibility for racism and slavery away from the state and towards individuals operating clandestinely outside the jurisdiction of international law</w:t>
      </w:r>
      <w:r>
        <w:rPr>
          <w:rFonts w:ascii="Garamond" w:hAnsi="Garamond" w:cs="Times New Roman"/>
          <w:sz w:val="24"/>
          <w:szCs w:val="24"/>
        </w:rPr>
        <w:t>. T</w:t>
      </w:r>
      <w:r w:rsidRPr="00473B8C">
        <w:rPr>
          <w:rFonts w:ascii="Garamond" w:hAnsi="Garamond" w:cs="Times New Roman"/>
          <w:sz w:val="24"/>
          <w:szCs w:val="24"/>
        </w:rPr>
        <w:t>hey both apply absolutist terminology towards a teleological abolition. Communicated profusely through cyberspace and ‘new’ media technologies, anti-trafficking campaigns propose universal frameworks for perceiving, identifying and acting on clearly defined social injustice</w:t>
      </w:r>
      <w:r>
        <w:rPr>
          <w:rFonts w:ascii="Garamond" w:hAnsi="Garamond" w:cs="Times New Roman"/>
          <w:sz w:val="24"/>
          <w:szCs w:val="24"/>
        </w:rPr>
        <w:t xml:space="preserve">. </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Campaigners argue that these injustices can be eliminated th</w:t>
      </w:r>
      <w:r w:rsidR="004F49DC">
        <w:rPr>
          <w:rFonts w:ascii="Garamond" w:hAnsi="Garamond" w:cs="Times New Roman"/>
          <w:sz w:val="24"/>
          <w:szCs w:val="24"/>
        </w:rPr>
        <w:t xml:space="preserve">rough story telling narrative (Interview Dearnley </w:t>
      </w:r>
      <w:r w:rsidRPr="00473B8C">
        <w:rPr>
          <w:rFonts w:ascii="Garamond" w:hAnsi="Garamond" w:cs="Times New Roman"/>
          <w:sz w:val="24"/>
          <w:szCs w:val="24"/>
        </w:rPr>
        <w:t xml:space="preserve">2011), by increasing public recognition and vigilance (against racist language and trafficking), combating ignorance, and unveiling, shaming and bringing to justice perpetrators. On the ACTivist guide, </w:t>
      </w:r>
      <w:r w:rsidRPr="00473B8C">
        <w:rPr>
          <w:rFonts w:ascii="Garamond" w:hAnsi="Garamond" w:cs="Times New Roman"/>
          <w:i/>
          <w:sz w:val="24"/>
          <w:szCs w:val="24"/>
        </w:rPr>
        <w:t xml:space="preserve">How to form, recruit and run your own group </w:t>
      </w:r>
      <w:r w:rsidRPr="00473B8C">
        <w:rPr>
          <w:rFonts w:ascii="Garamond" w:hAnsi="Garamond" w:cs="Times New Roman"/>
          <w:sz w:val="24"/>
          <w:szCs w:val="24"/>
        </w:rPr>
        <w:t xml:space="preserve">the organization point to a list of potential anti-trafficking start-up projects. These include chocolate, trafficking for cannabis cultivation, trafficking for agriculture and forced labour, sexual exploitation, street crime, </w:t>
      </w:r>
      <w:r>
        <w:rPr>
          <w:rFonts w:ascii="Garamond" w:hAnsi="Garamond" w:cs="Times New Roman"/>
          <w:sz w:val="24"/>
          <w:szCs w:val="24"/>
        </w:rPr>
        <w:t xml:space="preserve">and </w:t>
      </w:r>
      <w:r w:rsidRPr="00473B8C">
        <w:rPr>
          <w:rFonts w:ascii="Garamond" w:hAnsi="Garamond" w:cs="Times New Roman"/>
          <w:sz w:val="24"/>
          <w:szCs w:val="24"/>
        </w:rPr>
        <w:t xml:space="preserve">trafficking for forced marriage. </w:t>
      </w:r>
      <w:r>
        <w:rPr>
          <w:rFonts w:ascii="Garamond" w:hAnsi="Garamond" w:cs="Times New Roman"/>
          <w:sz w:val="24"/>
          <w:szCs w:val="24"/>
        </w:rPr>
        <w:t>Apply popular geographical imaginations to this taxonomy of trafficked businesses and t</w:t>
      </w:r>
      <w:r w:rsidRPr="00473B8C">
        <w:rPr>
          <w:rFonts w:ascii="Garamond" w:hAnsi="Garamond" w:cs="Times New Roman"/>
          <w:sz w:val="24"/>
          <w:szCs w:val="24"/>
        </w:rPr>
        <w:t>he unspoken coda</w:t>
      </w:r>
      <w:r>
        <w:rPr>
          <w:rFonts w:ascii="Garamond" w:hAnsi="Garamond" w:cs="Times New Roman"/>
          <w:sz w:val="24"/>
          <w:szCs w:val="24"/>
        </w:rPr>
        <w:t xml:space="preserve"> here</w:t>
      </w:r>
      <w:r w:rsidRPr="00473B8C">
        <w:rPr>
          <w:rFonts w:ascii="Garamond" w:hAnsi="Garamond" w:cs="Times New Roman"/>
          <w:sz w:val="24"/>
          <w:szCs w:val="24"/>
        </w:rPr>
        <w:t xml:space="preserve"> is race</w:t>
      </w:r>
      <w:r>
        <w:rPr>
          <w:rFonts w:ascii="Garamond" w:hAnsi="Garamond" w:cs="Times New Roman"/>
          <w:sz w:val="24"/>
          <w:szCs w:val="24"/>
        </w:rPr>
        <w:t xml:space="preserve"> and</w:t>
      </w:r>
      <w:r w:rsidRPr="00473B8C">
        <w:rPr>
          <w:rFonts w:ascii="Garamond" w:hAnsi="Garamond" w:cs="Times New Roman"/>
          <w:sz w:val="24"/>
          <w:szCs w:val="24"/>
        </w:rPr>
        <w:t xml:space="preserve"> migration</w:t>
      </w:r>
      <w:r>
        <w:rPr>
          <w:rFonts w:ascii="Garamond" w:hAnsi="Garamond" w:cs="Times New Roman"/>
          <w:sz w:val="24"/>
          <w:szCs w:val="24"/>
        </w:rPr>
        <w:t>.</w:t>
      </w:r>
      <w:r w:rsidRPr="00473B8C">
        <w:rPr>
          <w:rFonts w:ascii="Garamond" w:hAnsi="Garamond" w:cs="Times New Roman"/>
          <w:sz w:val="24"/>
          <w:szCs w:val="24"/>
        </w:rPr>
        <w:t xml:space="preserve"> When spatialized</w:t>
      </w:r>
      <w:r>
        <w:rPr>
          <w:rFonts w:ascii="Garamond" w:hAnsi="Garamond" w:cs="Times New Roman"/>
          <w:sz w:val="24"/>
          <w:szCs w:val="24"/>
        </w:rPr>
        <w:t>,</w:t>
      </w:r>
      <w:r w:rsidRPr="00473B8C">
        <w:rPr>
          <w:rFonts w:ascii="Garamond" w:hAnsi="Garamond" w:cs="Times New Roman"/>
          <w:sz w:val="24"/>
          <w:szCs w:val="24"/>
        </w:rPr>
        <w:t xml:space="preserve"> these campaigns risk fostering defensively reactionary attitude</w:t>
      </w:r>
      <w:r>
        <w:rPr>
          <w:rFonts w:ascii="Garamond" w:hAnsi="Garamond" w:cs="Times New Roman"/>
          <w:sz w:val="24"/>
          <w:szCs w:val="24"/>
        </w:rPr>
        <w:t>s</w:t>
      </w:r>
      <w:r w:rsidRPr="00473B8C">
        <w:rPr>
          <w:rFonts w:ascii="Garamond" w:hAnsi="Garamond" w:cs="Times New Roman"/>
          <w:sz w:val="24"/>
          <w:szCs w:val="24"/>
        </w:rPr>
        <w:t xml:space="preserve"> towards place and the entrenching of racisms. Step three </w:t>
      </w:r>
      <w:r>
        <w:rPr>
          <w:rFonts w:ascii="Garamond" w:hAnsi="Garamond" w:cs="Times New Roman"/>
          <w:sz w:val="24"/>
          <w:szCs w:val="24"/>
        </w:rPr>
        <w:t>of the guide</w:t>
      </w:r>
      <w:r w:rsidRPr="00473B8C">
        <w:rPr>
          <w:rFonts w:ascii="Garamond" w:hAnsi="Garamond" w:cs="Times New Roman"/>
          <w:sz w:val="24"/>
          <w:szCs w:val="24"/>
        </w:rPr>
        <w:t xml:space="preserve"> on recruiting 'the right people' is instructive</w:t>
      </w:r>
      <w:r>
        <w:rPr>
          <w:rFonts w:ascii="Garamond" w:hAnsi="Garamond" w:cs="Times New Roman"/>
          <w:sz w:val="24"/>
          <w:szCs w:val="24"/>
        </w:rPr>
        <w:t>, suggesting that STT themselves recognize the danger and seek to address it</w:t>
      </w:r>
      <w:r w:rsidRPr="00473B8C">
        <w:rPr>
          <w:rFonts w:ascii="Garamond" w:hAnsi="Garamond" w:cs="Times New Roman"/>
          <w:sz w:val="24"/>
          <w:szCs w:val="24"/>
        </w:rPr>
        <w:t>:</w:t>
      </w:r>
    </w:p>
    <w:p w:rsidR="00A05ED2" w:rsidRPr="00473B8C" w:rsidRDefault="00A05ED2" w:rsidP="00A05ED2">
      <w:pPr>
        <w:autoSpaceDE w:val="0"/>
        <w:autoSpaceDN w:val="0"/>
        <w:adjustRightInd w:val="0"/>
        <w:spacing w:after="0" w:line="360" w:lineRule="auto"/>
        <w:rPr>
          <w:rFonts w:ascii="Garamond" w:hAnsi="Garamond" w:cs="Times New Roman"/>
          <w:color w:val="000000"/>
        </w:rPr>
      </w:pPr>
    </w:p>
    <w:p w:rsidR="00A05ED2" w:rsidRPr="00473B8C" w:rsidRDefault="00A05ED2" w:rsidP="00A05ED2">
      <w:pPr>
        <w:autoSpaceDE w:val="0"/>
        <w:autoSpaceDN w:val="0"/>
        <w:adjustRightInd w:val="0"/>
        <w:spacing w:after="0" w:line="360" w:lineRule="auto"/>
        <w:ind w:left="284" w:right="237"/>
        <w:jc w:val="both"/>
        <w:rPr>
          <w:rFonts w:ascii="Garamond" w:hAnsi="Garamond" w:cs="Times New Roman"/>
        </w:rPr>
      </w:pPr>
      <w:r w:rsidRPr="00473B8C">
        <w:rPr>
          <w:rFonts w:ascii="Garamond" w:hAnsi="Garamond" w:cs="Times New Roman"/>
        </w:rPr>
        <w:lastRenderedPageBreak/>
        <w:t>Although most people will want to get involved as they feel passionate about putting an end to people trafficking, a project like this could potentially attract all kinds of people with unsuit</w:t>
      </w:r>
      <w:r w:rsidRPr="00473B8C">
        <w:rPr>
          <w:rFonts w:ascii="Garamond" w:hAnsi="Garamond" w:cs="Times New Roman"/>
        </w:rPr>
        <w:softHyphen/>
        <w:t>able motivations and intentions.</w:t>
      </w:r>
    </w:p>
    <w:p w:rsidR="00A05ED2" w:rsidRPr="00473B8C" w:rsidRDefault="00A05ED2" w:rsidP="00A05ED2">
      <w:pPr>
        <w:autoSpaceDE w:val="0"/>
        <w:autoSpaceDN w:val="0"/>
        <w:adjustRightInd w:val="0"/>
        <w:spacing w:after="0" w:line="360" w:lineRule="auto"/>
        <w:ind w:left="284" w:right="237"/>
        <w:jc w:val="both"/>
        <w:rPr>
          <w:rFonts w:ascii="Garamond" w:hAnsi="Garamond" w:cs="Times New Roman"/>
        </w:rPr>
      </w:pPr>
    </w:p>
    <w:p w:rsidR="00A05ED2" w:rsidRPr="00473B8C" w:rsidRDefault="00A05ED2" w:rsidP="00A05ED2">
      <w:pPr>
        <w:autoSpaceDE w:val="0"/>
        <w:autoSpaceDN w:val="0"/>
        <w:adjustRightInd w:val="0"/>
        <w:spacing w:after="0" w:line="360" w:lineRule="auto"/>
        <w:ind w:left="284" w:right="237"/>
        <w:jc w:val="both"/>
        <w:rPr>
          <w:rFonts w:ascii="Garamond" w:hAnsi="Garamond" w:cs="Times New Roman"/>
        </w:rPr>
      </w:pPr>
      <w:r w:rsidRPr="00473B8C">
        <w:rPr>
          <w:rFonts w:ascii="Garamond" w:hAnsi="Garamond" w:cs="Times New Roman"/>
        </w:rPr>
        <w:t>If anyone suspects a group member wants to use tra</w:t>
      </w:r>
      <w:r>
        <w:rPr>
          <w:rFonts w:ascii="Garamond" w:hAnsi="Garamond" w:cs="Times New Roman"/>
        </w:rPr>
        <w:t>fficking as a way to promote an</w:t>
      </w:r>
      <w:r w:rsidRPr="00473B8C">
        <w:rPr>
          <w:rFonts w:ascii="Garamond" w:hAnsi="Garamond" w:cs="Times New Roman"/>
        </w:rPr>
        <w:t xml:space="preserve"> anti-immigration or anti-prostitution agenda, it MUST be discussed with the group leader and that the person is asked to leave</w:t>
      </w:r>
      <w:r>
        <w:rPr>
          <w:rFonts w:ascii="Garamond" w:hAnsi="Garamond" w:cs="Times New Roman"/>
        </w:rPr>
        <w:t>.</w:t>
      </w:r>
      <w:r w:rsidRPr="00473B8C">
        <w:rPr>
          <w:rStyle w:val="FootnoteReference"/>
          <w:rFonts w:cs="Times New Roman"/>
        </w:rPr>
        <w:footnoteReference w:id="135"/>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Neoliberal governance, Foucault opines in </w:t>
      </w:r>
      <w:r w:rsidRPr="00473B8C">
        <w:rPr>
          <w:rFonts w:ascii="Garamond" w:hAnsi="Garamond" w:cs="Times New Roman"/>
          <w:i/>
          <w:sz w:val="24"/>
          <w:szCs w:val="24"/>
        </w:rPr>
        <w:t>Society must be defended</w:t>
      </w:r>
      <w:r w:rsidRPr="00473B8C">
        <w:rPr>
          <w:rFonts w:ascii="Garamond" w:hAnsi="Garamond" w:cs="Times New Roman"/>
          <w:sz w:val="24"/>
          <w:szCs w:val="24"/>
        </w:rPr>
        <w:t xml:space="preserve"> (2003), entails the individual taking responsibility for social risks such as unemployment, illness and poverty. Thus, in forwarding ‘technologies of the self’ neoliberal governance leaves the social accidents that contribute to the material conditions of existence to be worked on by</w:t>
      </w:r>
      <w:r>
        <w:rPr>
          <w:rFonts w:ascii="Garamond" w:hAnsi="Garamond" w:cs="Times New Roman"/>
          <w:sz w:val="24"/>
          <w:szCs w:val="24"/>
        </w:rPr>
        <w:t xml:space="preserve"> the</w:t>
      </w:r>
      <w:r w:rsidRPr="00473B8C">
        <w:rPr>
          <w:rFonts w:ascii="Garamond" w:hAnsi="Garamond" w:cs="Times New Roman"/>
          <w:sz w:val="24"/>
          <w:szCs w:val="24"/>
        </w:rPr>
        <w:t xml:space="preserve"> individual – as long as this selfhood-making does</w:t>
      </w:r>
      <w:r>
        <w:rPr>
          <w:rFonts w:ascii="Garamond" w:hAnsi="Garamond" w:cs="Times New Roman"/>
          <w:sz w:val="24"/>
          <w:szCs w:val="24"/>
        </w:rPr>
        <w:t xml:space="preserve"> no</w:t>
      </w:r>
      <w:r w:rsidRPr="00473B8C">
        <w:rPr>
          <w:rFonts w:ascii="Garamond" w:hAnsi="Garamond" w:cs="Times New Roman"/>
          <w:sz w:val="24"/>
          <w:szCs w:val="24"/>
        </w:rPr>
        <w:t>t threaten the functioning of ratified markets. As the means to produc</w:t>
      </w:r>
      <w:r>
        <w:rPr>
          <w:rFonts w:ascii="Garamond" w:hAnsi="Garamond" w:cs="Times New Roman"/>
          <w:sz w:val="24"/>
          <w:szCs w:val="24"/>
        </w:rPr>
        <w:t>e</w:t>
      </w:r>
      <w:r w:rsidRPr="00473B8C">
        <w:rPr>
          <w:rFonts w:ascii="Garamond" w:hAnsi="Garamond" w:cs="Times New Roman"/>
          <w:sz w:val="24"/>
          <w:szCs w:val="24"/>
        </w:rPr>
        <w:t xml:space="preserve"> and govern </w:t>
      </w:r>
      <w:r>
        <w:rPr>
          <w:rFonts w:ascii="Garamond" w:hAnsi="Garamond" w:cs="Times New Roman"/>
          <w:sz w:val="24"/>
          <w:szCs w:val="24"/>
        </w:rPr>
        <w:t>'</w:t>
      </w:r>
      <w:r w:rsidRPr="00473B8C">
        <w:rPr>
          <w:rFonts w:ascii="Garamond" w:hAnsi="Garamond" w:cs="Times New Roman"/>
          <w:sz w:val="24"/>
          <w:szCs w:val="24"/>
        </w:rPr>
        <w:t>third space</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 xml:space="preserve">(the space of civil society between markets and governance - see Rose, 1999) </w:t>
      </w:r>
      <w:r w:rsidRPr="00473B8C">
        <w:rPr>
          <w:rFonts w:ascii="Garamond" w:hAnsi="Garamond" w:cs="Times New Roman"/>
          <w:sz w:val="24"/>
          <w:szCs w:val="24"/>
        </w:rPr>
        <w:t>interactions are significantly in white and middle class hands, threats tend to come</w:t>
      </w:r>
      <w:r>
        <w:rPr>
          <w:rFonts w:ascii="Garamond" w:hAnsi="Garamond" w:cs="Times New Roman"/>
          <w:sz w:val="24"/>
          <w:szCs w:val="24"/>
        </w:rPr>
        <w:t xml:space="preserve"> from the lower classes or non-</w:t>
      </w:r>
      <w:r w:rsidRPr="00473B8C">
        <w:rPr>
          <w:rFonts w:ascii="Garamond" w:hAnsi="Garamond" w:cs="Times New Roman"/>
          <w:sz w:val="24"/>
          <w:szCs w:val="24"/>
        </w:rPr>
        <w:t>whites. Hence, laws that forward the importance of birthplace also tend to be laws that protect the interests of white capital. With this in mind</w:t>
      </w:r>
      <w:r>
        <w:rPr>
          <w:rFonts w:ascii="Garamond" w:hAnsi="Garamond" w:cs="Times New Roman"/>
          <w:sz w:val="24"/>
          <w:szCs w:val="24"/>
        </w:rPr>
        <w:t>,</w:t>
      </w:r>
      <w:r w:rsidRPr="00473B8C">
        <w:rPr>
          <w:rFonts w:ascii="Garamond" w:hAnsi="Garamond" w:cs="Times New Roman"/>
          <w:sz w:val="24"/>
          <w:szCs w:val="24"/>
        </w:rPr>
        <w:t xml:space="preserve"> what do community campaigns against cannabis trafficking achieve? For whom would </w:t>
      </w:r>
      <w:r>
        <w:rPr>
          <w:rFonts w:ascii="Garamond" w:hAnsi="Garamond" w:cs="Times New Roman"/>
          <w:sz w:val="24"/>
          <w:szCs w:val="24"/>
        </w:rPr>
        <w:t>‘</w:t>
      </w:r>
      <w:r w:rsidRPr="00473B8C">
        <w:rPr>
          <w:rFonts w:ascii="Garamond" w:hAnsi="Garamond" w:cs="Times New Roman"/>
          <w:sz w:val="24"/>
          <w:szCs w:val="24"/>
        </w:rPr>
        <w:t>ACTivsts</w:t>
      </w:r>
      <w:r>
        <w:rPr>
          <w:rFonts w:ascii="Garamond" w:hAnsi="Garamond" w:cs="Times New Roman"/>
          <w:sz w:val="24"/>
          <w:szCs w:val="24"/>
        </w:rPr>
        <w:t>’</w:t>
      </w:r>
      <w:r w:rsidRPr="00473B8C">
        <w:rPr>
          <w:rFonts w:ascii="Garamond" w:hAnsi="Garamond" w:cs="Times New Roman"/>
          <w:sz w:val="24"/>
          <w:szCs w:val="24"/>
        </w:rPr>
        <w:t xml:space="preserve"> be looking? How would they identify her/him? What would happen to the trafficked victim/smuggler if caught? As a neoliberal instrument with interest in policing borders, </w:t>
      </w:r>
      <w:r>
        <w:rPr>
          <w:rFonts w:ascii="Garamond" w:hAnsi="Garamond" w:cs="Times New Roman"/>
          <w:sz w:val="24"/>
          <w:szCs w:val="24"/>
        </w:rPr>
        <w:t xml:space="preserve">and </w:t>
      </w:r>
      <w:r w:rsidRPr="00473B8C">
        <w:rPr>
          <w:rFonts w:ascii="Garamond" w:hAnsi="Garamond" w:cs="Times New Roman"/>
          <w:sz w:val="24"/>
          <w:szCs w:val="24"/>
        </w:rPr>
        <w:t xml:space="preserve">as a technology of community, STT advocate vigilance and surveillance of proximate surroundings and shadow economies in local communities. </w:t>
      </w:r>
      <w:r>
        <w:rPr>
          <w:rFonts w:ascii="Garamond" w:hAnsi="Garamond" w:cs="Times New Roman"/>
          <w:sz w:val="24"/>
          <w:szCs w:val="24"/>
        </w:rPr>
        <w:t xml:space="preserve">In so doing, their </w:t>
      </w:r>
      <w:r w:rsidRPr="00473B8C">
        <w:rPr>
          <w:rFonts w:ascii="Garamond" w:hAnsi="Garamond" w:cs="Times New Roman"/>
          <w:sz w:val="24"/>
          <w:szCs w:val="24"/>
        </w:rPr>
        <w:t xml:space="preserve">proximate anti-trafficking campaigns </w:t>
      </w:r>
      <w:r>
        <w:rPr>
          <w:rFonts w:ascii="Garamond" w:hAnsi="Garamond" w:cs="Times New Roman"/>
          <w:sz w:val="24"/>
          <w:szCs w:val="24"/>
        </w:rPr>
        <w:t>run the risk of</w:t>
      </w:r>
      <w:r w:rsidRPr="00473B8C">
        <w:rPr>
          <w:rFonts w:ascii="Garamond" w:hAnsi="Garamond" w:cs="Times New Roman"/>
          <w:sz w:val="24"/>
          <w:szCs w:val="24"/>
        </w:rPr>
        <w:t xml:space="preserve"> perpetuat</w:t>
      </w:r>
      <w:r>
        <w:rPr>
          <w:rFonts w:ascii="Garamond" w:hAnsi="Garamond" w:cs="Times New Roman"/>
          <w:sz w:val="24"/>
          <w:szCs w:val="24"/>
        </w:rPr>
        <w:t>ing</w:t>
      </w:r>
      <w:r w:rsidRPr="00473B8C">
        <w:rPr>
          <w:rFonts w:ascii="Garamond" w:hAnsi="Garamond" w:cs="Times New Roman"/>
          <w:sz w:val="24"/>
          <w:szCs w:val="24"/>
        </w:rPr>
        <w:t xml:space="preserve"> nationalist ideas of community, belonging and whiteness.</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Default="00A05ED2" w:rsidP="00A05ED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As noted above, STT are not unaware of these risks, nor indeed of </w:t>
      </w:r>
      <w:r w:rsidRPr="00473B8C">
        <w:rPr>
          <w:rFonts w:ascii="Garamond" w:hAnsi="Garamond" w:cs="Times New Roman"/>
          <w:sz w:val="24"/>
          <w:szCs w:val="24"/>
        </w:rPr>
        <w:t>the negative racializing affects of the child-chocolate topoi</w:t>
      </w:r>
      <w:r>
        <w:rPr>
          <w:rFonts w:ascii="Garamond" w:hAnsi="Garamond" w:cs="Times New Roman"/>
          <w:sz w:val="24"/>
          <w:szCs w:val="24"/>
        </w:rPr>
        <w:t xml:space="preserve"> that I introduced in Chapter Four and returned to above</w:t>
      </w:r>
      <w:r w:rsidRPr="00473B8C">
        <w:rPr>
          <w:rFonts w:ascii="Garamond" w:hAnsi="Garamond" w:cs="Times New Roman"/>
          <w:sz w:val="24"/>
          <w:szCs w:val="24"/>
        </w:rPr>
        <w:t xml:space="preserve">. </w:t>
      </w:r>
      <w:r>
        <w:rPr>
          <w:rFonts w:ascii="Garamond" w:hAnsi="Garamond" w:cs="Times New Roman"/>
          <w:sz w:val="24"/>
          <w:szCs w:val="24"/>
        </w:rPr>
        <w:t xml:space="preserve">One response is to be found in </w:t>
      </w:r>
      <w:r w:rsidRPr="00473B8C">
        <w:rPr>
          <w:rFonts w:ascii="Garamond" w:hAnsi="Garamond" w:cs="Times New Roman"/>
          <w:sz w:val="24"/>
          <w:szCs w:val="24"/>
        </w:rPr>
        <w:t>STT Amsterdam</w:t>
      </w:r>
      <w:r>
        <w:rPr>
          <w:rFonts w:ascii="Garamond" w:hAnsi="Garamond" w:cs="Times New Roman"/>
          <w:sz w:val="24"/>
          <w:szCs w:val="24"/>
        </w:rPr>
        <w:t>’</w:t>
      </w:r>
      <w:r w:rsidRPr="00473B8C">
        <w:rPr>
          <w:rFonts w:ascii="Garamond" w:hAnsi="Garamond" w:cs="Times New Roman"/>
          <w:sz w:val="24"/>
          <w:szCs w:val="24"/>
        </w:rPr>
        <w:t>s interventions in the material relations of cocoa production. STT Amsterdam are more than a consumer advocacy organization, and their grassroots and corporate advocacy activism works to alter the social relations of production in the cocoa in</w:t>
      </w:r>
      <w:r>
        <w:rPr>
          <w:rFonts w:ascii="Garamond" w:hAnsi="Garamond" w:cs="Times New Roman"/>
          <w:sz w:val="24"/>
          <w:szCs w:val="24"/>
        </w:rPr>
        <w:t>dustry in meaningful ways. It is to this work that I now turn.</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BB2949" w:rsidRDefault="00A05ED2" w:rsidP="004F49DC">
      <w:pPr>
        <w:pStyle w:val="Heading2"/>
        <w:rPr>
          <w:rStyle w:val="addmd"/>
          <w:rFonts w:asciiTheme="minorHAnsi" w:eastAsiaTheme="minorHAnsi" w:hAnsiTheme="minorHAnsi" w:cstheme="minorBidi"/>
          <w:b w:val="0"/>
          <w:bCs w:val="0"/>
          <w:sz w:val="22"/>
          <w:szCs w:val="22"/>
        </w:rPr>
      </w:pPr>
      <w:bookmarkStart w:id="647" w:name="_Toc244535765"/>
      <w:bookmarkStart w:id="648" w:name="_Toc244578397"/>
      <w:bookmarkStart w:id="649" w:name="_Toc244578781"/>
      <w:bookmarkStart w:id="650" w:name="_Toc263452032"/>
      <w:bookmarkStart w:id="651" w:name="_Toc263510950"/>
      <w:r w:rsidRPr="00BB2949">
        <w:lastRenderedPageBreak/>
        <w:t>Intervening in the Political Economy of Cocoa: STT Amsterdam</w:t>
      </w:r>
      <w:bookmarkEnd w:id="647"/>
      <w:bookmarkEnd w:id="648"/>
      <w:bookmarkEnd w:id="649"/>
      <w:bookmarkEnd w:id="650"/>
      <w:bookmarkEnd w:id="651"/>
    </w:p>
    <w:p w:rsidR="00A05ED2" w:rsidRDefault="00A05ED2" w:rsidP="00A05ED2">
      <w:pPr>
        <w:autoSpaceDE w:val="0"/>
        <w:autoSpaceDN w:val="0"/>
        <w:adjustRightInd w:val="0"/>
        <w:spacing w:after="0" w:line="360" w:lineRule="auto"/>
        <w:jc w:val="both"/>
        <w:rPr>
          <w:rFonts w:ascii="Garamond" w:hAnsi="Garamond" w:cs="Times New Roman"/>
          <w:i/>
          <w:sz w:val="24"/>
          <w:szCs w:val="24"/>
        </w:rPr>
      </w:pPr>
    </w:p>
    <w:p w:rsidR="00A05ED2" w:rsidRPr="004F49DC" w:rsidRDefault="00A05ED2" w:rsidP="004F49DC">
      <w:pPr>
        <w:autoSpaceDE w:val="0"/>
        <w:autoSpaceDN w:val="0"/>
        <w:adjustRightInd w:val="0"/>
        <w:spacing w:after="0" w:line="360" w:lineRule="auto"/>
        <w:jc w:val="both"/>
      </w:pPr>
      <w:r w:rsidRPr="00473B8C">
        <w:rPr>
          <w:rFonts w:ascii="Garamond" w:hAnsi="Garamond" w:cs="Times New Roman"/>
          <w:sz w:val="24"/>
          <w:szCs w:val="24"/>
        </w:rPr>
        <w:t>As I have demonstrated, many of STT</w:t>
      </w:r>
      <w:r>
        <w:rPr>
          <w:rFonts w:ascii="Garamond" w:hAnsi="Garamond" w:cs="Times New Roman"/>
          <w:sz w:val="24"/>
          <w:szCs w:val="24"/>
        </w:rPr>
        <w:t>’</w:t>
      </w:r>
      <w:r w:rsidRPr="00473B8C">
        <w:rPr>
          <w:rFonts w:ascii="Garamond" w:hAnsi="Garamond" w:cs="Times New Roman"/>
          <w:sz w:val="24"/>
          <w:szCs w:val="24"/>
        </w:rPr>
        <w:t xml:space="preserve">s campaigns </w:t>
      </w:r>
      <w:r>
        <w:rPr>
          <w:rFonts w:ascii="Garamond" w:hAnsi="Garamond" w:cs="Times New Roman"/>
          <w:sz w:val="24"/>
          <w:szCs w:val="24"/>
        </w:rPr>
        <w:t>could be seen as</w:t>
      </w:r>
      <w:r w:rsidRPr="00473B8C">
        <w:rPr>
          <w:rFonts w:ascii="Garamond" w:hAnsi="Garamond" w:cs="Times New Roman"/>
          <w:sz w:val="24"/>
          <w:szCs w:val="24"/>
        </w:rPr>
        <w:t xml:space="preserve"> complicit with perpetuating forms of oppressive whiteness. However, whiteness does not </w:t>
      </w:r>
      <w:r>
        <w:rPr>
          <w:rFonts w:ascii="Garamond" w:hAnsi="Garamond" w:cs="Times New Roman"/>
          <w:sz w:val="24"/>
          <w:szCs w:val="24"/>
        </w:rPr>
        <w:t>have to be applied in ways that</w:t>
      </w:r>
      <w:r w:rsidRPr="00473B8C">
        <w:rPr>
          <w:rFonts w:ascii="Garamond" w:hAnsi="Garamond" w:cs="Times New Roman"/>
          <w:sz w:val="24"/>
          <w:szCs w:val="24"/>
        </w:rPr>
        <w:t xml:space="preserve"> are subjugating. </w:t>
      </w:r>
      <w:r>
        <w:rPr>
          <w:rFonts w:ascii="Garamond" w:hAnsi="Garamond" w:cs="Times New Roman"/>
          <w:sz w:val="24"/>
          <w:szCs w:val="24"/>
        </w:rPr>
        <w:t>The</w:t>
      </w:r>
      <w:r w:rsidRPr="00473B8C">
        <w:rPr>
          <w:rFonts w:ascii="Garamond" w:hAnsi="Garamond" w:cs="Times New Roman"/>
          <w:sz w:val="24"/>
          <w:szCs w:val="24"/>
        </w:rPr>
        <w:t xml:space="preserve"> </w:t>
      </w:r>
      <w:r>
        <w:rPr>
          <w:rFonts w:ascii="Garamond" w:hAnsi="Garamond" w:cs="Times New Roman"/>
          <w:sz w:val="24"/>
          <w:szCs w:val="24"/>
        </w:rPr>
        <w:t xml:space="preserve">challenge for geographers is </w:t>
      </w:r>
      <w:r w:rsidRPr="00473B8C">
        <w:rPr>
          <w:rFonts w:ascii="Garamond" w:hAnsi="Garamond" w:cs="Times New Roman"/>
          <w:sz w:val="24"/>
          <w:szCs w:val="24"/>
        </w:rPr>
        <w:t xml:space="preserve">not </w:t>
      </w:r>
      <w:r>
        <w:rPr>
          <w:rFonts w:ascii="Garamond" w:hAnsi="Garamond" w:cs="Times New Roman"/>
          <w:sz w:val="24"/>
          <w:szCs w:val="24"/>
        </w:rPr>
        <w:t>only to</w:t>
      </w:r>
      <w:r w:rsidRPr="00473B8C">
        <w:rPr>
          <w:rFonts w:ascii="Garamond" w:hAnsi="Garamond" w:cs="Times New Roman"/>
          <w:sz w:val="24"/>
          <w:szCs w:val="24"/>
        </w:rPr>
        <w:t xml:space="preserve"> unmask the “presumptive positive associations” that are attached t</w:t>
      </w:r>
      <w:r>
        <w:rPr>
          <w:rFonts w:ascii="Garamond" w:hAnsi="Garamond" w:cs="Times New Roman"/>
          <w:sz w:val="24"/>
          <w:szCs w:val="24"/>
        </w:rPr>
        <w:t xml:space="preserve">o whiteness (Young, 2004: 268) or to show “how whiteness </w:t>
      </w:r>
      <w:r w:rsidRPr="00473B8C">
        <w:rPr>
          <w:rFonts w:ascii="Garamond" w:hAnsi="Garamond" w:cs="Times New Roman"/>
          <w:sz w:val="24"/>
          <w:szCs w:val="24"/>
        </w:rPr>
        <w:t>is silently summoned to life through id</w:t>
      </w:r>
      <w:r>
        <w:rPr>
          <w:rFonts w:ascii="Garamond" w:hAnsi="Garamond" w:cs="Times New Roman"/>
          <w:sz w:val="24"/>
          <w:szCs w:val="24"/>
        </w:rPr>
        <w:t xml:space="preserve">yllic notions of rural suburbia” (Nayak, 2010: 2388). Rather, the challenge is both to </w:t>
      </w:r>
      <w:r w:rsidRPr="00473B8C">
        <w:rPr>
          <w:rFonts w:ascii="Garamond" w:hAnsi="Garamond" w:cs="Times New Roman"/>
          <w:sz w:val="24"/>
          <w:szCs w:val="24"/>
        </w:rPr>
        <w:t>critique how whiteness is summoned by activist groups</w:t>
      </w:r>
      <w:r>
        <w:rPr>
          <w:rFonts w:ascii="Garamond" w:hAnsi="Garamond" w:cs="Times New Roman"/>
          <w:sz w:val="24"/>
          <w:szCs w:val="24"/>
        </w:rPr>
        <w:t xml:space="preserve"> (including STT)</w:t>
      </w:r>
      <w:r w:rsidRPr="00473B8C">
        <w:rPr>
          <w:rFonts w:ascii="Garamond" w:hAnsi="Garamond" w:cs="Times New Roman"/>
          <w:sz w:val="24"/>
          <w:szCs w:val="24"/>
        </w:rPr>
        <w:t xml:space="preserve"> and </w:t>
      </w:r>
      <w:r>
        <w:rPr>
          <w:rFonts w:ascii="Garamond" w:hAnsi="Garamond" w:cs="Times New Roman"/>
          <w:sz w:val="24"/>
          <w:szCs w:val="24"/>
        </w:rPr>
        <w:t xml:space="preserve">to explore </w:t>
      </w:r>
      <w:r w:rsidRPr="00473B8C">
        <w:rPr>
          <w:rFonts w:ascii="Garamond" w:hAnsi="Garamond" w:cs="Times New Roman"/>
          <w:sz w:val="24"/>
          <w:szCs w:val="24"/>
        </w:rPr>
        <w:t xml:space="preserve">how </w:t>
      </w:r>
      <w:r>
        <w:rPr>
          <w:rFonts w:ascii="Garamond" w:hAnsi="Garamond" w:cs="Times New Roman"/>
          <w:sz w:val="24"/>
          <w:szCs w:val="24"/>
        </w:rPr>
        <w:t>these groups</w:t>
      </w:r>
      <w:r w:rsidRPr="00473B8C">
        <w:rPr>
          <w:rFonts w:ascii="Garamond" w:hAnsi="Garamond" w:cs="Times New Roman"/>
          <w:sz w:val="24"/>
          <w:szCs w:val="24"/>
        </w:rPr>
        <w:t xml:space="preserve"> </w:t>
      </w:r>
      <w:r>
        <w:rPr>
          <w:rFonts w:ascii="Garamond" w:hAnsi="Garamond" w:cs="Times New Roman"/>
          <w:sz w:val="24"/>
          <w:szCs w:val="24"/>
        </w:rPr>
        <w:t>create</w:t>
      </w:r>
      <w:r w:rsidRPr="00473B8C">
        <w:rPr>
          <w:rFonts w:ascii="Garamond" w:hAnsi="Garamond" w:cs="Times New Roman"/>
          <w:sz w:val="24"/>
          <w:szCs w:val="24"/>
        </w:rPr>
        <w:t xml:space="preserve"> spaces of ‘cross-racial coalitions’ (Glassman, 2009) with progressive potential</w:t>
      </w:r>
      <w:r>
        <w:rPr>
          <w:rFonts w:ascii="Garamond" w:hAnsi="Garamond" w:cs="Times New Roman"/>
          <w:sz w:val="24"/>
          <w:szCs w:val="24"/>
        </w:rPr>
        <w:t xml:space="preserve">. </w:t>
      </w:r>
      <w:r w:rsidRPr="00473B8C">
        <w:rPr>
          <w:rFonts w:ascii="Garamond" w:hAnsi="Garamond" w:cs="Times New Roman"/>
          <w:sz w:val="24"/>
          <w:szCs w:val="24"/>
        </w:rPr>
        <w:t>STT Amsterdam work towards</w:t>
      </w:r>
      <w:r>
        <w:rPr>
          <w:rFonts w:ascii="Garamond" w:hAnsi="Garamond" w:cs="Times New Roman"/>
          <w:sz w:val="24"/>
          <w:szCs w:val="24"/>
        </w:rPr>
        <w:t xml:space="preserve"> these</w:t>
      </w:r>
      <w:r w:rsidRPr="00473B8C">
        <w:rPr>
          <w:rFonts w:ascii="Garamond" w:hAnsi="Garamond" w:cs="Times New Roman"/>
          <w:sz w:val="24"/>
          <w:szCs w:val="24"/>
        </w:rPr>
        <w:t xml:space="preserve"> ends </w:t>
      </w:r>
      <w:r>
        <w:rPr>
          <w:rFonts w:ascii="Garamond" w:hAnsi="Garamond" w:cs="Times New Roman"/>
          <w:sz w:val="24"/>
          <w:szCs w:val="24"/>
        </w:rPr>
        <w:t xml:space="preserve">in </w:t>
      </w:r>
      <w:r w:rsidRPr="00473B8C">
        <w:rPr>
          <w:rFonts w:ascii="Garamond" w:hAnsi="Garamond" w:cs="Times New Roman"/>
          <w:sz w:val="24"/>
          <w:szCs w:val="24"/>
        </w:rPr>
        <w:t>that</w:t>
      </w:r>
      <w:r>
        <w:rPr>
          <w:rFonts w:ascii="Garamond" w:hAnsi="Garamond" w:cs="Times New Roman"/>
          <w:sz w:val="24"/>
          <w:szCs w:val="24"/>
        </w:rPr>
        <w:t xml:space="preserve"> they</w:t>
      </w:r>
      <w:r w:rsidRPr="00473B8C">
        <w:rPr>
          <w:rFonts w:ascii="Garamond" w:hAnsi="Garamond" w:cs="Times New Roman"/>
          <w:sz w:val="24"/>
          <w:szCs w:val="24"/>
        </w:rPr>
        <w:t xml:space="preserve"> undermine white privilege through </w:t>
      </w:r>
      <w:r>
        <w:rPr>
          <w:rFonts w:ascii="Garamond" w:hAnsi="Garamond" w:cs="Times New Roman"/>
          <w:sz w:val="24"/>
          <w:szCs w:val="24"/>
        </w:rPr>
        <w:t xml:space="preserve">critical engagement with the political economy of </w:t>
      </w:r>
      <w:r w:rsidRPr="00473B8C">
        <w:rPr>
          <w:rFonts w:ascii="Garamond" w:hAnsi="Garamond" w:cs="Times New Roman"/>
          <w:sz w:val="24"/>
          <w:szCs w:val="24"/>
        </w:rPr>
        <w:t xml:space="preserve">the chocolate industry. </w:t>
      </w:r>
      <w:r>
        <w:rPr>
          <w:rFonts w:ascii="Garamond" w:hAnsi="Garamond" w:cs="Times New Roman"/>
          <w:sz w:val="24"/>
          <w:szCs w:val="24"/>
        </w:rPr>
        <w:t>While maintaining STT’s</w:t>
      </w:r>
      <w:r w:rsidRPr="00473B8C">
        <w:rPr>
          <w:rFonts w:ascii="Garamond" w:hAnsi="Garamond" w:cs="Times New Roman"/>
          <w:sz w:val="24"/>
          <w:szCs w:val="24"/>
        </w:rPr>
        <w:t xml:space="preserve"> focus on the exploitation of children</w:t>
      </w:r>
      <w:r>
        <w:rPr>
          <w:rFonts w:ascii="Garamond" w:hAnsi="Garamond" w:cs="Times New Roman"/>
          <w:sz w:val="24"/>
          <w:szCs w:val="24"/>
        </w:rPr>
        <w:t xml:space="preserve"> within their </w:t>
      </w:r>
      <w:r w:rsidRPr="00473B8C">
        <w:rPr>
          <w:rFonts w:ascii="Garamond" w:hAnsi="Garamond" w:cs="Times New Roman"/>
          <w:sz w:val="24"/>
          <w:szCs w:val="24"/>
        </w:rPr>
        <w:t>anti-</w:t>
      </w:r>
      <w:r>
        <w:rPr>
          <w:rFonts w:ascii="Garamond" w:hAnsi="Garamond" w:cs="Times New Roman"/>
          <w:sz w:val="24"/>
          <w:szCs w:val="24"/>
        </w:rPr>
        <w:t>trafficking chocolate campaigns</w:t>
      </w:r>
      <w:r w:rsidRPr="00473B8C">
        <w:rPr>
          <w:rFonts w:ascii="Garamond" w:hAnsi="Garamond" w:cs="Times New Roman"/>
          <w:sz w:val="24"/>
          <w:szCs w:val="24"/>
        </w:rPr>
        <w:t xml:space="preserve">, </w:t>
      </w:r>
      <w:r>
        <w:rPr>
          <w:rFonts w:ascii="Garamond" w:hAnsi="Garamond" w:cs="Times New Roman"/>
          <w:sz w:val="24"/>
          <w:szCs w:val="24"/>
        </w:rPr>
        <w:t>STT Amsterdam explicitly sets this concern within a broader context. T</w:t>
      </w:r>
      <w:r w:rsidRPr="00473B8C">
        <w:rPr>
          <w:rFonts w:ascii="Garamond" w:hAnsi="Garamond" w:cs="Times New Roman"/>
          <w:sz w:val="24"/>
          <w:szCs w:val="24"/>
        </w:rPr>
        <w:t xml:space="preserve">he wider project of STT Amsterdam is to use chocolate advocacy to put pressure on state actors and governing bodies to initiate structural changes in the cultural economy of </w:t>
      </w:r>
      <w:r>
        <w:rPr>
          <w:rFonts w:ascii="Garamond" w:hAnsi="Garamond" w:cs="Times New Roman"/>
          <w:sz w:val="24"/>
          <w:szCs w:val="24"/>
        </w:rPr>
        <w:t xml:space="preserve">its </w:t>
      </w:r>
      <w:r w:rsidRPr="00473B8C">
        <w:rPr>
          <w:rFonts w:ascii="Garamond" w:hAnsi="Garamond" w:cs="Times New Roman"/>
          <w:sz w:val="24"/>
          <w:szCs w:val="24"/>
        </w:rPr>
        <w:t>global trade</w:t>
      </w:r>
      <w:r>
        <w:rPr>
          <w:rFonts w:ascii="Garamond" w:hAnsi="Garamond" w:cs="Times New Roman"/>
          <w:sz w:val="24"/>
          <w:szCs w:val="24"/>
        </w:rPr>
        <w:t xml:space="preserve">, which in turn would ameliorate the conditions that underpin dynamics around child labour and migration. In essence, they look to mobilize their power to speak for and to consumers in negotiations with chocolate companies. In doing this they lead us to the terrain of historical materialist work on the dynamics of capitalist accumulation. It is to that literature that I now detour, before turning to the cocoa industry more specifically (focusing </w:t>
      </w:r>
      <w:r w:rsidRPr="00733D8F">
        <w:rPr>
          <w:rFonts w:ascii="Garamond" w:hAnsi="Garamond" w:cs="Times New Roman"/>
          <w:sz w:val="24"/>
          <w:szCs w:val="24"/>
        </w:rPr>
        <w:t xml:space="preserve">on </w:t>
      </w:r>
      <w:r w:rsidRPr="00733D8F">
        <w:rPr>
          <w:rStyle w:val="Emphasis"/>
          <w:rFonts w:ascii="Garamond" w:hAnsi="Garamond" w:cs="Arial"/>
          <w:bCs/>
          <w:i w:val="0"/>
          <w:iCs w:val="0"/>
          <w:sz w:val="24"/>
          <w:szCs w:val="24"/>
          <w:shd w:val="clear" w:color="auto" w:fill="FFFFFF"/>
        </w:rPr>
        <w:t>Côte</w:t>
      </w:r>
      <w:r>
        <w:rPr>
          <w:rStyle w:val="Emphasis"/>
          <w:rFonts w:ascii="Arial" w:hAnsi="Arial" w:cs="Arial"/>
          <w:b/>
          <w:bCs/>
          <w:i w:val="0"/>
          <w:iCs w:val="0"/>
          <w:color w:val="444444"/>
          <w:shd w:val="clear" w:color="auto" w:fill="FFFFFF"/>
        </w:rPr>
        <w:t xml:space="preserve"> </w:t>
      </w:r>
      <w:r>
        <w:rPr>
          <w:rFonts w:ascii="Garamond" w:hAnsi="Garamond" w:cs="Times New Roman"/>
          <w:sz w:val="24"/>
          <w:szCs w:val="24"/>
        </w:rPr>
        <w:t>d’Ivoire in particular), and then STT Amsterdam’s industrial lobbying and negotiation at the end of the discussion.</w:t>
      </w:r>
    </w:p>
    <w:p w:rsidR="00A05ED2" w:rsidRDefault="00A05ED2" w:rsidP="00A05ED2">
      <w:pPr>
        <w:spacing w:after="0" w:line="360" w:lineRule="auto"/>
        <w:jc w:val="both"/>
        <w:rPr>
          <w:rFonts w:ascii="Garamond" w:hAnsi="Garamond" w:cs="Times New Roman"/>
          <w:i/>
          <w:sz w:val="24"/>
          <w:szCs w:val="24"/>
        </w:rPr>
      </w:pPr>
    </w:p>
    <w:p w:rsidR="00A05ED2" w:rsidRPr="004F49DC" w:rsidRDefault="00A05ED2" w:rsidP="00A05ED2">
      <w:pPr>
        <w:spacing w:after="0" w:line="360" w:lineRule="auto"/>
        <w:jc w:val="both"/>
        <w:rPr>
          <w:rFonts w:ascii="Garamond" w:hAnsi="Garamond" w:cs="Times New Roman"/>
          <w:b/>
          <w:i/>
          <w:szCs w:val="24"/>
        </w:rPr>
      </w:pPr>
      <w:r w:rsidRPr="004F49DC">
        <w:rPr>
          <w:rFonts w:ascii="Garamond" w:hAnsi="Garamond" w:cs="Times New Roman"/>
          <w:b/>
          <w:i/>
          <w:szCs w:val="24"/>
        </w:rPr>
        <w:t>Primitive Accumulation and Capitalist Imperialisms</w:t>
      </w:r>
    </w:p>
    <w:p w:rsidR="00A05ED2" w:rsidRPr="00473B8C" w:rsidRDefault="00A05ED2" w:rsidP="00A05ED2">
      <w:pPr>
        <w:spacing w:after="0" w:line="360" w:lineRule="auto"/>
        <w:rPr>
          <w:rFonts w:ascii="Garamond" w:hAnsi="Garamond" w:cs="Times New Roman"/>
          <w:sz w:val="24"/>
          <w:szCs w:val="24"/>
        </w:rPr>
      </w:pPr>
    </w:p>
    <w:p w:rsidR="00A05ED2" w:rsidRDefault="00A05ED2" w:rsidP="00A05ED2">
      <w:pPr>
        <w:spacing w:after="0" w:line="360" w:lineRule="auto"/>
        <w:jc w:val="both"/>
        <w:rPr>
          <w:rFonts w:ascii="Garamond" w:eastAsia="Times New Roman" w:hAnsi="Garamond" w:cs="Times New Roman"/>
          <w:sz w:val="24"/>
          <w:szCs w:val="24"/>
          <w:lang w:eastAsia="en-GB"/>
        </w:rPr>
      </w:pPr>
      <w:r w:rsidRPr="00473B8C">
        <w:rPr>
          <w:rFonts w:ascii="Garamond" w:hAnsi="Garamond" w:cs="Times New Roman"/>
          <w:sz w:val="24"/>
          <w:szCs w:val="24"/>
        </w:rPr>
        <w:t>Historical materialism is a history that gives priority to man’s socially mediated relationship with nature (Marx, 197</w:t>
      </w:r>
      <w:r>
        <w:rPr>
          <w:rFonts w:ascii="Garamond" w:hAnsi="Garamond" w:cs="Times New Roman"/>
          <w:sz w:val="24"/>
          <w:szCs w:val="24"/>
        </w:rPr>
        <w:t>7</w:t>
      </w:r>
      <w:r w:rsidRPr="00473B8C">
        <w:rPr>
          <w:rFonts w:ascii="Garamond" w:hAnsi="Garamond" w:cs="Times New Roman"/>
          <w:sz w:val="24"/>
          <w:szCs w:val="24"/>
        </w:rPr>
        <w:t xml:space="preserve"> [18</w:t>
      </w:r>
      <w:r>
        <w:rPr>
          <w:rFonts w:ascii="Garamond" w:hAnsi="Garamond" w:cs="Times New Roman"/>
          <w:sz w:val="24"/>
          <w:szCs w:val="24"/>
        </w:rPr>
        <w:t>59</w:t>
      </w:r>
      <w:r w:rsidRPr="00473B8C">
        <w:rPr>
          <w:rFonts w:ascii="Garamond" w:hAnsi="Garamond" w:cs="Times New Roman"/>
          <w:sz w:val="24"/>
          <w:szCs w:val="24"/>
        </w:rPr>
        <w:t>])</w:t>
      </w:r>
      <w:r>
        <w:rPr>
          <w:rFonts w:ascii="Garamond" w:hAnsi="Garamond" w:cs="Times New Roman"/>
          <w:sz w:val="24"/>
          <w:szCs w:val="24"/>
        </w:rPr>
        <w:t xml:space="preserve">. </w:t>
      </w:r>
      <w:r w:rsidRPr="00473B8C">
        <w:rPr>
          <w:rFonts w:ascii="Garamond" w:hAnsi="Garamond" w:cs="Times New Roman"/>
          <w:sz w:val="24"/>
          <w:szCs w:val="24"/>
        </w:rPr>
        <w:t xml:space="preserve">The shift from feudalist to capitalist organization, </w:t>
      </w:r>
      <w:r>
        <w:rPr>
          <w:rFonts w:ascii="Garamond" w:hAnsi="Garamond" w:cs="Times New Roman"/>
          <w:sz w:val="24"/>
          <w:szCs w:val="24"/>
        </w:rPr>
        <w:t>Marx</w:t>
      </w:r>
      <w:r w:rsidRPr="00473B8C">
        <w:rPr>
          <w:rFonts w:ascii="Garamond" w:hAnsi="Garamond" w:cs="Times New Roman"/>
          <w:sz w:val="24"/>
          <w:szCs w:val="24"/>
        </w:rPr>
        <w:t xml:space="preserve"> argue</w:t>
      </w:r>
      <w:r>
        <w:rPr>
          <w:rFonts w:ascii="Garamond" w:hAnsi="Garamond" w:cs="Times New Roman"/>
          <w:sz w:val="24"/>
          <w:szCs w:val="24"/>
        </w:rPr>
        <w:t>d</w:t>
      </w:r>
      <w:r w:rsidRPr="00473B8C">
        <w:rPr>
          <w:rFonts w:ascii="Garamond" w:hAnsi="Garamond" w:cs="Times New Roman"/>
          <w:sz w:val="24"/>
          <w:szCs w:val="24"/>
        </w:rPr>
        <w:t>, is always enabled by the separation of the means of production from labour</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I</w:t>
      </w:r>
      <w:r w:rsidRPr="00473B8C">
        <w:rPr>
          <w:rFonts w:ascii="Garamond" w:hAnsi="Garamond" w:cs="Times New Roman"/>
          <w:sz w:val="24"/>
          <w:szCs w:val="24"/>
        </w:rPr>
        <w:t xml:space="preserve">n chapter 24 of </w:t>
      </w:r>
      <w:r w:rsidRPr="00473B8C">
        <w:rPr>
          <w:rFonts w:ascii="Garamond" w:hAnsi="Garamond" w:cs="Times New Roman"/>
          <w:i/>
          <w:sz w:val="24"/>
          <w:szCs w:val="24"/>
        </w:rPr>
        <w:t>Capital</w:t>
      </w:r>
      <w:r w:rsidRPr="00473B8C">
        <w:rPr>
          <w:rFonts w:ascii="Garamond" w:hAnsi="Garamond" w:cs="Times New Roman"/>
          <w:sz w:val="24"/>
          <w:szCs w:val="24"/>
        </w:rPr>
        <w:t xml:space="preserve"> Marx famously argues this is worked through ‘primitive accumulation’, a process of wrenching land and property from the commons. This was achieved in England through the great land dispossessions of the peasantry and church in the sixteenth century, and from the seventeenth century it became a global process through the imperial conquest of the ‘new world’ and the trans-Atlantic slave trade on which “</w:t>
      </w:r>
      <w:r w:rsidRPr="00473B8C">
        <w:rPr>
          <w:rFonts w:ascii="Garamond" w:eastAsia="Times New Roman" w:hAnsi="Garamond" w:cs="Times New Roman"/>
          <w:sz w:val="24"/>
          <w:szCs w:val="24"/>
          <w:lang w:eastAsia="en-GB"/>
        </w:rPr>
        <w:t>Liverpool waxed fat” (Marx, 1979:</w:t>
      </w:r>
      <w:r>
        <w:rPr>
          <w:rFonts w:ascii="Garamond" w:eastAsia="Times New Roman" w:hAnsi="Garamond" w:cs="Times New Roman"/>
          <w:sz w:val="24"/>
          <w:szCs w:val="24"/>
          <w:lang w:eastAsia="en-GB"/>
        </w:rPr>
        <w:t>5</w:t>
      </w:r>
      <w:r w:rsidRPr="00473B8C">
        <w:rPr>
          <w:rFonts w:ascii="Garamond" w:eastAsia="Times New Roman" w:hAnsi="Garamond" w:cs="Times New Roman"/>
          <w:sz w:val="24"/>
          <w:szCs w:val="24"/>
          <w:lang w:eastAsia="en-GB"/>
        </w:rPr>
        <w:t>32):</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ind w:left="284" w:right="284"/>
        <w:jc w:val="both"/>
        <w:rPr>
          <w:rFonts w:ascii="Garamond" w:eastAsia="Times New Roman" w:hAnsi="Garamond" w:cs="Times New Roman"/>
          <w:lang w:eastAsia="en-GB"/>
        </w:rPr>
      </w:pPr>
      <w:r w:rsidRPr="00473B8C">
        <w:rPr>
          <w:rFonts w:ascii="Garamond" w:eastAsia="Times New Roman" w:hAnsi="Garamond" w:cs="Times New Roman"/>
          <w:lang w:eastAsia="en-GB"/>
        </w:rPr>
        <w:t>The extirpation, enslavement and entombment in mines of the aboriginal population, the beginning of the conquest and looting of the East Indies, the turning of Africa into a warren for the commercial hunting of black-skins, signalised the rosy dawn of the era of capitalist production. These idyllic proceedings are the chief mo</w:t>
      </w:r>
      <w:r>
        <w:rPr>
          <w:rFonts w:ascii="Garamond" w:eastAsia="Times New Roman" w:hAnsi="Garamond" w:cs="Times New Roman"/>
          <w:lang w:eastAsia="en-GB"/>
        </w:rPr>
        <w:t>menta of primitive accumulation. (Marx, 1979: 533)</w:t>
      </w:r>
    </w:p>
    <w:p w:rsidR="00A05ED2" w:rsidRPr="00473B8C" w:rsidRDefault="00A05ED2" w:rsidP="00A05ED2">
      <w:pPr>
        <w:spacing w:after="0" w:line="360" w:lineRule="auto"/>
        <w:ind w:left="284" w:right="284"/>
        <w:jc w:val="both"/>
        <w:rPr>
          <w:rFonts w:ascii="Garamond" w:eastAsia="Times New Roman" w:hAnsi="Garamond" w:cs="Times New Roman"/>
          <w:lang w:eastAsia="en-GB"/>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Among the ‘new’ means of accumulation through dispossession that Harvey attributes to neo-liberal imperialism are the global credit system, the depletion of the global environmental commons, the development of intellectual property rights, the rollback of state social provision and the corporatization of previously public assets (2003: 147-50). While Harvey claims these are radically new developments, Hartsock (2006), Gregory (2006) and</w:t>
      </w:r>
      <w:r>
        <w:rPr>
          <w:rFonts w:ascii="Garamond" w:hAnsi="Garamond" w:cs="Times New Roman"/>
          <w:sz w:val="24"/>
          <w:szCs w:val="24"/>
        </w:rPr>
        <w:t>,</w:t>
      </w:r>
      <w:r w:rsidRPr="00473B8C">
        <w:rPr>
          <w:rFonts w:ascii="Garamond" w:hAnsi="Garamond" w:cs="Times New Roman"/>
          <w:sz w:val="24"/>
          <w:szCs w:val="24"/>
        </w:rPr>
        <w:t xml:space="preserve"> to a lesser extent, Smith (1990) maintain that the basic patterns (or momenta as Marx had it) of primitive accumulation have remained unchanged since the dawn of European capitalism</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T</w:t>
      </w:r>
      <w:r w:rsidRPr="00473B8C">
        <w:rPr>
          <w:rFonts w:ascii="Garamond" w:hAnsi="Garamond" w:cs="Times New Roman"/>
          <w:sz w:val="24"/>
          <w:szCs w:val="24"/>
        </w:rPr>
        <w:t xml:space="preserve">he key difference, they argue, has materialized through a shift in spatial co-ordinates rather than method: </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ind w:left="284" w:right="284"/>
        <w:jc w:val="both"/>
        <w:rPr>
          <w:rFonts w:ascii="Garamond" w:hAnsi="Garamond" w:cs="Times New Roman"/>
        </w:rPr>
      </w:pPr>
      <w:r w:rsidRPr="00473B8C">
        <w:rPr>
          <w:rFonts w:ascii="Garamond" w:hAnsi="Garamond" w:cs="Times New Roman"/>
        </w:rPr>
        <w:t>The global poor, now located more substantially in the global South are being systematically deprived of their ability to provide subsistence for themselves and being forced to seek work in factories and to find other employment possibilities i</w:t>
      </w:r>
      <w:r>
        <w:rPr>
          <w:rFonts w:ascii="Garamond" w:hAnsi="Garamond" w:cs="Times New Roman"/>
        </w:rPr>
        <w:t>n major cities around the world. (Hartsock, 2006: 178)</w:t>
      </w:r>
    </w:p>
    <w:p w:rsidR="00A05ED2" w:rsidRPr="00473B8C" w:rsidRDefault="00A05ED2" w:rsidP="00A05ED2">
      <w:pPr>
        <w:spacing w:after="0" w:line="360" w:lineRule="auto"/>
        <w:ind w:left="284" w:right="284"/>
        <w:jc w:val="both"/>
        <w:rPr>
          <w:rFonts w:ascii="Garamond" w:hAnsi="Garamond" w:cs="Times New Roman"/>
        </w:rPr>
      </w:pP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Capitalist imperialisms are produced, according to Harvey (2003) and Arrighi (2004), through a “dialectical relation between territorial and capitalist logics of power” (</w:t>
      </w:r>
      <w:r>
        <w:rPr>
          <w:rFonts w:ascii="Garamond" w:hAnsi="Garamond" w:cs="Times New Roman"/>
          <w:sz w:val="24"/>
          <w:szCs w:val="24"/>
        </w:rPr>
        <w:t xml:space="preserve">Harvey </w:t>
      </w:r>
      <w:r w:rsidRPr="00473B8C">
        <w:rPr>
          <w:rFonts w:ascii="Garamond" w:hAnsi="Garamond" w:cs="Times New Roman"/>
          <w:sz w:val="24"/>
          <w:szCs w:val="24"/>
        </w:rPr>
        <w:t xml:space="preserve">2003: 183). Therefore different territorial logics of states in flux with varying conditions of capital produce different types of governance and imperialisms. </w:t>
      </w: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 </w:t>
      </w: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Harvey’s line of enquiry in </w:t>
      </w:r>
      <w:r w:rsidRPr="00473B8C">
        <w:rPr>
          <w:rFonts w:ascii="Garamond" w:hAnsi="Garamond" w:cs="Times New Roman"/>
          <w:i/>
          <w:sz w:val="24"/>
          <w:szCs w:val="24"/>
        </w:rPr>
        <w:t xml:space="preserve">The New Imperialism </w:t>
      </w:r>
      <w:r w:rsidRPr="00473B8C">
        <w:rPr>
          <w:rFonts w:ascii="Garamond" w:hAnsi="Garamond" w:cs="Times New Roman"/>
          <w:sz w:val="24"/>
          <w:szCs w:val="24"/>
        </w:rPr>
        <w:t xml:space="preserve">(2003) poses difficult moral questions over the uneven spatial development of capitalism, not least because it resists any attempt to view solutions to the contemporary crisis of over-accumulation from subject positions that are not complicit with the violent dispossession of the global commons. In addition to the spatio-temporal fixes to over-accumulation distinctive of the shift from Fordist production to more flexible forms of accumulation and ‘turnkey production networks’ (Sturgeon, 1997), </w:t>
      </w:r>
      <w:r w:rsidRPr="00473B8C">
        <w:rPr>
          <w:rFonts w:ascii="Garamond" w:hAnsi="Garamond" w:cs="Times New Roman"/>
          <w:i/>
          <w:sz w:val="24"/>
          <w:szCs w:val="24"/>
        </w:rPr>
        <w:t xml:space="preserve">The New Imperialism </w:t>
      </w:r>
      <w:r w:rsidRPr="00473B8C">
        <w:rPr>
          <w:rFonts w:ascii="Garamond" w:hAnsi="Garamond" w:cs="Times New Roman"/>
          <w:sz w:val="24"/>
          <w:szCs w:val="24"/>
        </w:rPr>
        <w:t xml:space="preserve">analyses the internal and external expansion of American capital as a series of moments cut from the thrashings out between coercive and consensual power. Harvey argues that changes in US foreign policy </w:t>
      </w:r>
      <w:r w:rsidRPr="00473B8C">
        <w:rPr>
          <w:rFonts w:ascii="Garamond" w:hAnsi="Garamond" w:cs="Times New Roman"/>
          <w:sz w:val="24"/>
          <w:szCs w:val="24"/>
        </w:rPr>
        <w:lastRenderedPageBreak/>
        <w:t>over the last twenty years can be boiled down to the shifts in the relative power between the two intercutting circuits of imperialism</w:t>
      </w:r>
      <w:r>
        <w:rPr>
          <w:rFonts w:ascii="Garamond" w:hAnsi="Garamond" w:cs="Times New Roman"/>
          <w:sz w:val="24"/>
          <w:szCs w:val="24"/>
        </w:rPr>
        <w:t>:</w:t>
      </w:r>
      <w:r w:rsidRPr="00473B8C">
        <w:rPr>
          <w:rFonts w:ascii="Garamond" w:hAnsi="Garamond" w:cs="Times New Roman"/>
          <w:sz w:val="24"/>
          <w:szCs w:val="24"/>
        </w:rPr>
        <w:t xml:space="preserve"> neo-liberal (advocating privatization and footloose ‘predatory capital’)</w:t>
      </w:r>
      <w:r>
        <w:rPr>
          <w:rFonts w:ascii="Garamond" w:hAnsi="Garamond" w:cs="Times New Roman"/>
          <w:sz w:val="24"/>
          <w:szCs w:val="24"/>
        </w:rPr>
        <w:t>,</w:t>
      </w:r>
      <w:r w:rsidRPr="00473B8C">
        <w:rPr>
          <w:rFonts w:ascii="Garamond" w:hAnsi="Garamond" w:cs="Times New Roman"/>
          <w:sz w:val="24"/>
          <w:szCs w:val="24"/>
        </w:rPr>
        <w:t xml:space="preserve"> and neo-conservative (advocating militarizatio</w:t>
      </w:r>
      <w:r>
        <w:rPr>
          <w:rFonts w:ascii="Garamond" w:hAnsi="Garamond" w:cs="Times New Roman"/>
          <w:sz w:val="24"/>
          <w:szCs w:val="24"/>
        </w:rPr>
        <w:t>n, nationalism and territorializ</w:t>
      </w:r>
      <w:r w:rsidRPr="00473B8C">
        <w:rPr>
          <w:rFonts w:ascii="Garamond" w:hAnsi="Garamond" w:cs="Times New Roman"/>
          <w:sz w:val="24"/>
          <w:szCs w:val="24"/>
        </w:rPr>
        <w:t>ation).</w:t>
      </w:r>
      <w:r>
        <w:rPr>
          <w:rFonts w:ascii="Garamond" w:hAnsi="Garamond" w:cs="Times New Roman"/>
          <w:sz w:val="24"/>
          <w:szCs w:val="24"/>
        </w:rPr>
        <w:t xml:space="preserve"> </w:t>
      </w:r>
      <w:r w:rsidRPr="00473B8C">
        <w:rPr>
          <w:rFonts w:ascii="Garamond" w:hAnsi="Garamond" w:cs="Times New Roman"/>
          <w:sz w:val="24"/>
          <w:szCs w:val="24"/>
        </w:rPr>
        <w:t xml:space="preserve">Critically, these circuits must not be understood as antagonistic, but instead as a dialectical response to the crisis of over-accumulation. It is “more politically expedient to pillage and debase far away populations than to attempt home reforms” (Gregory, 2006: 14), but neoliberal imperialisms abroad can produce reactionary and territorializing effects at home: </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ind w:left="284" w:right="284"/>
        <w:jc w:val="both"/>
        <w:rPr>
          <w:rFonts w:ascii="Garamond" w:hAnsi="Garamond" w:cs="Times New Roman"/>
        </w:rPr>
      </w:pPr>
      <w:r w:rsidRPr="00473B8C">
        <w:rPr>
          <w:rFonts w:ascii="Garamond" w:hAnsi="Garamond" w:cs="Times New Roman"/>
        </w:rPr>
        <w:t>neo-liberal imperialism abroad tended to produce chronic insecurity a</w:t>
      </w:r>
      <w:r>
        <w:rPr>
          <w:rFonts w:ascii="Garamond" w:hAnsi="Garamond" w:cs="Times New Roman"/>
        </w:rPr>
        <w:t>t</w:t>
      </w:r>
      <w:r w:rsidRPr="00473B8C">
        <w:rPr>
          <w:rFonts w:ascii="Garamond" w:hAnsi="Garamond" w:cs="Times New Roman"/>
        </w:rPr>
        <w:t xml:space="preserve"> home…</w:t>
      </w:r>
      <w:r>
        <w:rPr>
          <w:rFonts w:ascii="Garamond" w:hAnsi="Garamond" w:cs="Times New Roman"/>
        </w:rPr>
        <w:t xml:space="preserve"> </w:t>
      </w:r>
      <w:r w:rsidRPr="00473B8C">
        <w:rPr>
          <w:rFonts w:ascii="Garamond" w:hAnsi="Garamond" w:cs="Times New Roman"/>
        </w:rPr>
        <w:t>Many of the middle class took to the defence of territory, nation and tradition as a way to arm themselves against a predatory neo-liberal capitalism. The racism and nationalism that had once bound nation-state and empire together remerged at the petty-bourgeois and working class level as a weapon to organize against the cos</w:t>
      </w:r>
      <w:r>
        <w:rPr>
          <w:rFonts w:ascii="Garamond" w:hAnsi="Garamond" w:cs="Times New Roman"/>
        </w:rPr>
        <w:t>mopolitanism of finance capital. (Harvey, 2003: 188)</w:t>
      </w:r>
    </w:p>
    <w:p w:rsidR="00A05ED2" w:rsidRPr="00473B8C" w:rsidRDefault="00A05ED2" w:rsidP="00A05ED2">
      <w:pPr>
        <w:spacing w:after="0" w:line="360" w:lineRule="auto"/>
        <w:ind w:left="284" w:right="284"/>
        <w:jc w:val="both"/>
        <w:rPr>
          <w:rFonts w:ascii="Garamond" w:hAnsi="Garamond" w:cs="Times New Roman"/>
        </w:rPr>
      </w:pPr>
    </w:p>
    <w:p w:rsidR="004F49D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Although appearing rather didactic without empirical evidence, Harvey’s statement ties in with the discourses of British multiculture introduced earlier. The causal relationship between neo-liberal imperialisms abroad, and place affirming and territorial actions within Western civil society</w:t>
      </w:r>
      <w:r>
        <w:rPr>
          <w:rFonts w:ascii="Garamond" w:hAnsi="Garamond" w:cs="Times New Roman"/>
          <w:sz w:val="24"/>
          <w:szCs w:val="24"/>
        </w:rPr>
        <w:t>,</w:t>
      </w:r>
      <w:r w:rsidRPr="00473B8C">
        <w:rPr>
          <w:rFonts w:ascii="Garamond" w:hAnsi="Garamond" w:cs="Times New Roman"/>
          <w:sz w:val="24"/>
          <w:szCs w:val="24"/>
        </w:rPr>
        <w:t xml:space="preserve"> is of particular interest</w:t>
      </w:r>
      <w:r>
        <w:rPr>
          <w:rFonts w:ascii="Garamond" w:hAnsi="Garamond" w:cs="Times New Roman"/>
          <w:sz w:val="24"/>
          <w:szCs w:val="24"/>
        </w:rPr>
        <w:t>. It suggests that</w:t>
      </w:r>
      <w:r w:rsidRPr="00473B8C">
        <w:rPr>
          <w:rFonts w:ascii="Garamond" w:hAnsi="Garamond" w:cs="Times New Roman"/>
          <w:sz w:val="24"/>
          <w:szCs w:val="24"/>
        </w:rPr>
        <w:t xml:space="preserve"> race becomes a commonly understood site for inscribing  limits to capital at home and abroad. But while Harvey uses numerous examples to illuminate the ways in which the “crisis of over-accumulation in the global North is resolved at the expense of the global South” (Gregory, 2006: 13), in the main his desire is to “solve the theoretical and practical problem of over-accumulation” (Hartsock, 2006: 177) rather than to examine the racialized or gendered dynamics of accumulation by dispossession. The </w:t>
      </w:r>
      <w:r w:rsidRPr="00473B8C">
        <w:rPr>
          <w:rFonts w:ascii="Garamond" w:hAnsi="Garamond" w:cs="Times New Roman"/>
          <w:i/>
          <w:sz w:val="24"/>
          <w:szCs w:val="24"/>
        </w:rPr>
        <w:t xml:space="preserve">New Imperialism </w:t>
      </w:r>
      <w:r>
        <w:rPr>
          <w:rFonts w:ascii="Garamond" w:hAnsi="Garamond" w:cs="Times New Roman"/>
          <w:sz w:val="24"/>
          <w:szCs w:val="24"/>
        </w:rPr>
        <w:t xml:space="preserve">thus </w:t>
      </w:r>
      <w:r w:rsidRPr="00473B8C">
        <w:rPr>
          <w:rFonts w:ascii="Garamond" w:hAnsi="Garamond" w:cs="Times New Roman"/>
          <w:sz w:val="24"/>
          <w:szCs w:val="24"/>
        </w:rPr>
        <w:t>loses some of Marx’s commitment to materialist analysis</w:t>
      </w:r>
      <w:r>
        <w:rPr>
          <w:rFonts w:ascii="Garamond" w:hAnsi="Garamond" w:cs="Times New Roman"/>
          <w:sz w:val="24"/>
          <w:szCs w:val="24"/>
        </w:rPr>
        <w:t xml:space="preserve">. </w:t>
      </w:r>
      <w:r w:rsidRPr="00473B8C">
        <w:rPr>
          <w:rFonts w:ascii="Garamond" w:hAnsi="Garamond" w:cs="Times New Roman"/>
          <w:sz w:val="24"/>
          <w:szCs w:val="24"/>
        </w:rPr>
        <w:t>Harvey’s arguments use examples of imperial violence from Afghanistan, China and Iraq to illustrate the abstract theory of accumulation by dispossession, but these examples are used to support his global master narrative rather than interrogated in any detail for elements of contestation and complexity (</w:t>
      </w:r>
      <w:r>
        <w:rPr>
          <w:rFonts w:ascii="Garamond" w:hAnsi="Garamond" w:cs="Times New Roman"/>
          <w:sz w:val="24"/>
          <w:szCs w:val="24"/>
        </w:rPr>
        <w:t>Gregory, 2008</w:t>
      </w:r>
      <w:r w:rsidRPr="00473B8C">
        <w:rPr>
          <w:rFonts w:ascii="Garamond" w:hAnsi="Garamond" w:cs="Times New Roman"/>
          <w:sz w:val="24"/>
          <w:szCs w:val="24"/>
        </w:rPr>
        <w:t>).</w:t>
      </w:r>
    </w:p>
    <w:p w:rsidR="00A05ED2" w:rsidRDefault="00A05ED2" w:rsidP="00A05ED2">
      <w:pPr>
        <w:spacing w:after="0" w:line="360" w:lineRule="auto"/>
        <w:jc w:val="both"/>
        <w:rPr>
          <w:rFonts w:ascii="Garamond" w:hAnsi="Garamond" w:cs="Times New Roman"/>
          <w:sz w:val="24"/>
          <w:szCs w:val="24"/>
        </w:rPr>
      </w:pP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Among its many achievements, </w:t>
      </w:r>
      <w:r w:rsidRPr="00473B8C">
        <w:rPr>
          <w:rFonts w:ascii="Garamond" w:hAnsi="Garamond" w:cs="Times New Roman"/>
          <w:i/>
          <w:sz w:val="24"/>
          <w:szCs w:val="24"/>
        </w:rPr>
        <w:t xml:space="preserve">The Colonial Present </w:t>
      </w:r>
      <w:r>
        <w:rPr>
          <w:rFonts w:ascii="Garamond" w:hAnsi="Garamond" w:cs="Times New Roman"/>
          <w:sz w:val="24"/>
          <w:szCs w:val="24"/>
        </w:rPr>
        <w:t>(Gregory, 2004</w:t>
      </w:r>
      <w:r w:rsidRPr="00473B8C">
        <w:rPr>
          <w:rFonts w:ascii="Garamond" w:hAnsi="Garamond" w:cs="Times New Roman"/>
          <w:sz w:val="24"/>
          <w:szCs w:val="24"/>
        </w:rPr>
        <w:t>) stands as a wonderful argument for broadening the scholastic remit of historical materialism beyond Marxist theory</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Gregory’s account suggests that t</w:t>
      </w:r>
      <w:r w:rsidRPr="00473B8C">
        <w:rPr>
          <w:rFonts w:ascii="Garamond" w:hAnsi="Garamond" w:cs="Times New Roman"/>
          <w:sz w:val="24"/>
          <w:szCs w:val="24"/>
        </w:rPr>
        <w:t xml:space="preserve">he multiple and contradictory materializations of race and gender in particular places should analysed in tandem with the impositions of </w:t>
      </w:r>
      <w:r w:rsidRPr="00473B8C">
        <w:rPr>
          <w:rFonts w:ascii="Garamond" w:hAnsi="Garamond" w:cs="Times New Roman"/>
          <w:sz w:val="24"/>
          <w:szCs w:val="24"/>
        </w:rPr>
        <w:lastRenderedPageBreak/>
        <w:t>capital’s imperialisms, and race and gender should not be reduced to uncomplicated sites through which capital speaks. This does not equate to a critique on the usefulness of historical-geographical m</w:t>
      </w:r>
      <w:r>
        <w:rPr>
          <w:rFonts w:ascii="Garamond" w:hAnsi="Garamond" w:cs="Times New Roman"/>
          <w:sz w:val="24"/>
          <w:szCs w:val="24"/>
        </w:rPr>
        <w:t>aterialism, but as Gregory (2008)</w:t>
      </w:r>
      <w:r w:rsidRPr="00473B8C">
        <w:rPr>
          <w:rFonts w:ascii="Garamond" w:hAnsi="Garamond" w:cs="Times New Roman"/>
          <w:sz w:val="24"/>
          <w:szCs w:val="24"/>
        </w:rPr>
        <w:t>, Gibson-Graham (1</w:t>
      </w:r>
      <w:r>
        <w:rPr>
          <w:rFonts w:ascii="Garamond" w:hAnsi="Garamond" w:cs="Times New Roman"/>
          <w:sz w:val="24"/>
          <w:szCs w:val="24"/>
        </w:rPr>
        <w:t xml:space="preserve">996) </w:t>
      </w:r>
      <w:r w:rsidRPr="00473B8C">
        <w:rPr>
          <w:rFonts w:ascii="Garamond" w:hAnsi="Garamond" w:cs="Times New Roman"/>
          <w:sz w:val="24"/>
          <w:szCs w:val="24"/>
        </w:rPr>
        <w:t>and Hartsock (2006) point out in their different ways, accumulation by dispossession is often part of contradictory processes of subject formation through gendering or racialization. Furthermore</w:t>
      </w:r>
      <w:r>
        <w:rPr>
          <w:rFonts w:ascii="Garamond" w:hAnsi="Garamond" w:cs="Times New Roman"/>
          <w:sz w:val="24"/>
          <w:szCs w:val="24"/>
        </w:rPr>
        <w:t>,</w:t>
      </w:r>
      <w:r w:rsidRPr="00473B8C">
        <w:rPr>
          <w:rFonts w:ascii="Garamond" w:hAnsi="Garamond" w:cs="Times New Roman"/>
          <w:sz w:val="24"/>
          <w:szCs w:val="24"/>
        </w:rPr>
        <w:t xml:space="preserve"> Harvey’s ‘architectonic’ (Gregory, 2006) high theory of accumulation by dispossession can lay the foundations for contemplating global trends and chains of complicity in capital, trade, development, migration and imperialism</w:t>
      </w:r>
      <w:r>
        <w:rPr>
          <w:rFonts w:ascii="Garamond" w:hAnsi="Garamond" w:cs="Times New Roman"/>
          <w:sz w:val="24"/>
          <w:szCs w:val="24"/>
        </w:rPr>
        <w:t>;</w:t>
      </w:r>
      <w:r w:rsidRPr="00473B8C">
        <w:rPr>
          <w:rFonts w:ascii="Garamond" w:hAnsi="Garamond" w:cs="Times New Roman"/>
          <w:sz w:val="24"/>
          <w:szCs w:val="24"/>
        </w:rPr>
        <w:t xml:space="preserve"> but without engaging with place based particularisms and messy situated knowledges (Katz, 1995), such theory risks writing back “dispersed geographies of life into the expansionist narrative of capital’s becoming – as variations in a singular, relentless process of capitalist development” (Gi</w:t>
      </w:r>
      <w:r>
        <w:rPr>
          <w:rFonts w:ascii="Garamond" w:hAnsi="Garamond" w:cs="Times New Roman"/>
          <w:sz w:val="24"/>
          <w:szCs w:val="24"/>
        </w:rPr>
        <w:t>dwani, 1997, in Gregory, 2008: 22</w:t>
      </w:r>
      <w:r w:rsidRPr="00473B8C">
        <w:rPr>
          <w:rFonts w:ascii="Garamond" w:hAnsi="Garamond" w:cs="Times New Roman"/>
          <w:sz w:val="24"/>
          <w:szCs w:val="24"/>
        </w:rPr>
        <w:t xml:space="preserve">). </w:t>
      </w:r>
    </w:p>
    <w:p w:rsidR="004F49DC" w:rsidRDefault="004F49DC" w:rsidP="00A05ED2">
      <w:pPr>
        <w:spacing w:after="0" w:line="360" w:lineRule="auto"/>
        <w:jc w:val="both"/>
        <w:rPr>
          <w:rFonts w:ascii="Garamond" w:hAnsi="Garamond" w:cs="Times New Roman"/>
          <w:i/>
          <w:sz w:val="24"/>
          <w:szCs w:val="24"/>
        </w:rPr>
      </w:pPr>
    </w:p>
    <w:p w:rsidR="00A05ED2" w:rsidRPr="009B370A" w:rsidRDefault="00A05ED2" w:rsidP="00A05ED2">
      <w:pPr>
        <w:spacing w:after="0" w:line="360" w:lineRule="auto"/>
        <w:jc w:val="both"/>
        <w:rPr>
          <w:rFonts w:ascii="Garamond" w:hAnsi="Garamond" w:cs="Times New Roman"/>
          <w:i/>
          <w:sz w:val="24"/>
          <w:szCs w:val="24"/>
        </w:rPr>
      </w:pPr>
    </w:p>
    <w:p w:rsidR="00A05ED2" w:rsidRPr="004F49DC" w:rsidRDefault="00A05ED2" w:rsidP="00A05ED2">
      <w:pPr>
        <w:spacing w:after="0" w:line="360" w:lineRule="auto"/>
        <w:jc w:val="both"/>
        <w:rPr>
          <w:rFonts w:ascii="Garamond" w:hAnsi="Garamond" w:cs="Times New Roman"/>
          <w:b/>
          <w:i/>
          <w:szCs w:val="24"/>
        </w:rPr>
      </w:pPr>
      <w:r w:rsidRPr="004F49DC">
        <w:rPr>
          <w:rFonts w:ascii="Garamond" w:hAnsi="Garamond" w:cs="Times New Roman"/>
          <w:b/>
          <w:i/>
          <w:szCs w:val="24"/>
        </w:rPr>
        <w:t>Alternative racializations of cocoa production in the Côte D’Ivoire</w:t>
      </w:r>
    </w:p>
    <w:p w:rsidR="00A05ED2" w:rsidRPr="009B370A" w:rsidRDefault="00A05ED2" w:rsidP="00A05ED2">
      <w:pPr>
        <w:spacing w:after="0" w:line="360" w:lineRule="auto"/>
        <w:jc w:val="both"/>
        <w:rPr>
          <w:rFonts w:ascii="Garamond" w:hAnsi="Garamond" w:cs="Times New Roman"/>
          <w:i/>
          <w:sz w:val="24"/>
          <w:szCs w:val="24"/>
        </w:rPr>
      </w:pPr>
    </w:p>
    <w:p w:rsidR="00A05ED2" w:rsidRPr="00473B8C"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With these qualifiers i</w:t>
      </w:r>
      <w:r>
        <w:rPr>
          <w:rFonts w:ascii="Garamond" w:hAnsi="Garamond" w:cs="Times New Roman"/>
          <w:sz w:val="24"/>
          <w:szCs w:val="24"/>
        </w:rPr>
        <w:t>n mind, I follow Guthman’s (2008</w:t>
      </w:r>
      <w:r w:rsidRPr="00473B8C">
        <w:rPr>
          <w:rFonts w:ascii="Garamond" w:hAnsi="Garamond" w:cs="Times New Roman"/>
          <w:sz w:val="24"/>
          <w:szCs w:val="24"/>
        </w:rPr>
        <w:t>) approach to food commodities in general</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M</w:t>
      </w:r>
      <w:r w:rsidRPr="00473B8C">
        <w:rPr>
          <w:rFonts w:ascii="Garamond" w:hAnsi="Garamond" w:cs="Times New Roman"/>
          <w:sz w:val="24"/>
          <w:szCs w:val="24"/>
        </w:rPr>
        <w:t xml:space="preserve">y intention is to integrate analyses of the cultural and symbolic life of chocolate with a materialist interpretation of the social relations of cocoa production and consumption. So what follows is a geographical materialist analysis of the racialization of cocoa production in the </w:t>
      </w:r>
      <w:r>
        <w:rPr>
          <w:rFonts w:ascii="Garamond" w:hAnsi="Garamond" w:cs="Times New Roman"/>
          <w:sz w:val="24"/>
          <w:szCs w:val="24"/>
        </w:rPr>
        <w:t>Côte</w:t>
      </w:r>
      <w:r w:rsidRPr="00473B8C">
        <w:rPr>
          <w:rFonts w:ascii="Garamond" w:hAnsi="Garamond" w:cs="Times New Roman"/>
          <w:sz w:val="24"/>
          <w:szCs w:val="24"/>
        </w:rPr>
        <w:t xml:space="preserve"> D’Ivoire. This interpretation opens up a means to identify </w:t>
      </w:r>
      <w:r>
        <w:rPr>
          <w:rFonts w:ascii="Garamond" w:hAnsi="Garamond" w:cs="Times New Roman"/>
          <w:sz w:val="24"/>
          <w:szCs w:val="24"/>
        </w:rPr>
        <w:t xml:space="preserve">the </w:t>
      </w:r>
      <w:r w:rsidRPr="00473B8C">
        <w:rPr>
          <w:rFonts w:ascii="Garamond" w:hAnsi="Garamond" w:cs="Times New Roman"/>
          <w:sz w:val="24"/>
          <w:szCs w:val="24"/>
        </w:rPr>
        <w:t xml:space="preserve">antiracist affects of STT's </w:t>
      </w:r>
      <w:r>
        <w:rPr>
          <w:rFonts w:ascii="Garamond" w:hAnsi="Garamond" w:cs="Times New Roman"/>
          <w:sz w:val="24"/>
          <w:szCs w:val="24"/>
        </w:rPr>
        <w:t>advocacy work.</w:t>
      </w:r>
      <w:r w:rsidRPr="00473B8C">
        <w:rPr>
          <w:rFonts w:ascii="Garamond" w:hAnsi="Garamond" w:cs="Times New Roman"/>
          <w:sz w:val="24"/>
          <w:szCs w:val="24"/>
        </w:rPr>
        <w:t xml:space="preserve"> </w:t>
      </w:r>
    </w:p>
    <w:p w:rsidR="00A05ED2" w:rsidRPr="00473B8C" w:rsidRDefault="00A05ED2" w:rsidP="00A05ED2">
      <w:pPr>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sidRPr="00473B8C">
        <w:rPr>
          <w:rStyle w:val="addmd"/>
          <w:rFonts w:ascii="Garamond" w:hAnsi="Garamond"/>
          <w:sz w:val="24"/>
          <w:szCs w:val="24"/>
        </w:rPr>
        <w:t xml:space="preserve">The </w:t>
      </w:r>
      <w:r>
        <w:rPr>
          <w:rStyle w:val="addmd"/>
          <w:rFonts w:ascii="Garamond" w:hAnsi="Garamond"/>
          <w:sz w:val="24"/>
          <w:szCs w:val="24"/>
        </w:rPr>
        <w:t>Côte</w:t>
      </w:r>
      <w:r w:rsidRPr="00473B8C">
        <w:rPr>
          <w:rStyle w:val="addmd"/>
          <w:rFonts w:ascii="Garamond" w:hAnsi="Garamond"/>
          <w:sz w:val="24"/>
          <w:szCs w:val="24"/>
        </w:rPr>
        <w:t xml:space="preserve"> D’Ivoire is the leading global exporter of cocoa (44</w:t>
      </w:r>
      <w:r>
        <w:rPr>
          <w:rStyle w:val="addmd"/>
          <w:rFonts w:ascii="Garamond" w:hAnsi="Garamond"/>
          <w:sz w:val="24"/>
          <w:szCs w:val="24"/>
        </w:rPr>
        <w:t xml:space="preserve"> per cent</w:t>
      </w:r>
      <w:r w:rsidRPr="00473B8C">
        <w:rPr>
          <w:rStyle w:val="addmd"/>
          <w:rFonts w:ascii="Garamond" w:hAnsi="Garamond"/>
          <w:sz w:val="24"/>
          <w:szCs w:val="24"/>
        </w:rPr>
        <w:t xml:space="preserve"> of global production), coffee and palm oil</w:t>
      </w:r>
      <w:r>
        <w:rPr>
          <w:rStyle w:val="addmd"/>
          <w:rFonts w:ascii="Garamond" w:hAnsi="Garamond"/>
          <w:sz w:val="24"/>
          <w:szCs w:val="24"/>
        </w:rPr>
        <w:t>.</w:t>
      </w:r>
      <w:r w:rsidRPr="00473B8C">
        <w:rPr>
          <w:rStyle w:val="addmd"/>
          <w:rFonts w:ascii="Garamond" w:hAnsi="Garamond"/>
          <w:sz w:val="24"/>
          <w:szCs w:val="24"/>
        </w:rPr>
        <w:t xml:space="preserve"> </w:t>
      </w:r>
      <w:r>
        <w:rPr>
          <w:rStyle w:val="addmd"/>
          <w:rFonts w:ascii="Garamond" w:hAnsi="Garamond"/>
          <w:sz w:val="24"/>
          <w:szCs w:val="24"/>
        </w:rPr>
        <w:t>T</w:t>
      </w:r>
      <w:r w:rsidRPr="00473B8C">
        <w:rPr>
          <w:rStyle w:val="addmd"/>
          <w:rFonts w:ascii="Garamond" w:hAnsi="Garamond"/>
          <w:sz w:val="24"/>
          <w:szCs w:val="24"/>
        </w:rPr>
        <w:t>he combined annual export revenue from the three industries is £3-4 billion</w:t>
      </w:r>
      <w:r>
        <w:rPr>
          <w:rStyle w:val="addmd"/>
          <w:rFonts w:ascii="Garamond" w:hAnsi="Garamond"/>
          <w:sz w:val="24"/>
          <w:szCs w:val="24"/>
        </w:rPr>
        <w:t>,</w:t>
      </w:r>
      <w:r w:rsidRPr="00473B8C">
        <w:rPr>
          <w:rStyle w:val="addmd"/>
          <w:rFonts w:ascii="Garamond" w:hAnsi="Garamond"/>
          <w:sz w:val="24"/>
          <w:szCs w:val="24"/>
        </w:rPr>
        <w:t xml:space="preserve"> or approximately one third of the nation’s GDP (ul Haque, 2004). Of these commodities, cocoa alone accounts for over 30 per cent of total export earnings in the </w:t>
      </w:r>
      <w:r>
        <w:rPr>
          <w:rStyle w:val="addmd"/>
          <w:rFonts w:ascii="Garamond" w:hAnsi="Garamond"/>
          <w:sz w:val="24"/>
          <w:szCs w:val="24"/>
        </w:rPr>
        <w:t>Côte</w:t>
      </w:r>
      <w:r w:rsidRPr="00473B8C">
        <w:rPr>
          <w:rStyle w:val="addmd"/>
          <w:rFonts w:ascii="Garamond" w:hAnsi="Garamond"/>
          <w:sz w:val="24"/>
          <w:szCs w:val="24"/>
        </w:rPr>
        <w:t xml:space="preserve"> D’Ivoire. One third of the Ivorian population are dependent on cocoa for their livelihood (Fell, 2007).  Following the recent civil war, EU sanctions have been imposed on exports of food commodities from Abidjan and San Pedro. The Ivorian president at the time, </w:t>
      </w:r>
      <w:r w:rsidRPr="00473B8C">
        <w:rPr>
          <w:rFonts w:ascii="Garamond" w:hAnsi="Garamond" w:cs="Times New Roman"/>
          <w:sz w:val="24"/>
          <w:szCs w:val="24"/>
        </w:rPr>
        <w:t>Laurent Gbagbo, responded b</w:t>
      </w:r>
      <w:r>
        <w:rPr>
          <w:rFonts w:ascii="Garamond" w:hAnsi="Garamond" w:cs="Times New Roman"/>
          <w:sz w:val="24"/>
          <w:szCs w:val="24"/>
        </w:rPr>
        <w:t>y announcing plans to nationaliz</w:t>
      </w:r>
      <w:r w:rsidRPr="00473B8C">
        <w:rPr>
          <w:rFonts w:ascii="Garamond" w:hAnsi="Garamond" w:cs="Times New Roman"/>
          <w:sz w:val="24"/>
          <w:szCs w:val="24"/>
        </w:rPr>
        <w:t xml:space="preserve">e the production and export of cocoa from March 2011 (DirectScoop.net), which in 2012 resulted in the formation of the national marketing board, the Cocoa and Coffee Council (CCC).  Despite the sanctions and the violence, cocoa production has largely remained constant, and much of the product is smuggled into Europe through </w:t>
      </w:r>
      <w:r w:rsidRPr="00473B8C">
        <w:rPr>
          <w:rFonts w:ascii="Garamond" w:hAnsi="Garamond" w:cs="Times New Roman"/>
          <w:sz w:val="24"/>
          <w:szCs w:val="24"/>
        </w:rPr>
        <w:lastRenderedPageBreak/>
        <w:t xml:space="preserve">Ghana, as inflated export figures from the deep water ports of Accra and Takoradi testify (interview Fountain, 2011). </w:t>
      </w: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p>
    <w:p w:rsidR="00A05ED2" w:rsidRDefault="00A05ED2" w:rsidP="00A05ED2">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These contemporary developments need some historical contextualization. </w:t>
      </w:r>
      <w:r w:rsidRPr="00473B8C">
        <w:rPr>
          <w:rFonts w:ascii="Garamond" w:hAnsi="Garamond" w:cs="Times New Roman"/>
          <w:sz w:val="24"/>
          <w:szCs w:val="24"/>
        </w:rPr>
        <w:t xml:space="preserve">Until 1985 the cocoa industry in the </w:t>
      </w:r>
      <w:r>
        <w:rPr>
          <w:rFonts w:ascii="Garamond" w:hAnsi="Garamond" w:cs="Times New Roman"/>
          <w:sz w:val="24"/>
          <w:szCs w:val="24"/>
        </w:rPr>
        <w:t>Côte</w:t>
      </w:r>
      <w:r w:rsidRPr="00473B8C">
        <w:rPr>
          <w:rFonts w:ascii="Garamond" w:hAnsi="Garamond" w:cs="Times New Roman"/>
          <w:sz w:val="24"/>
          <w:szCs w:val="24"/>
        </w:rPr>
        <w:t xml:space="preserve"> D’Ivoire </w:t>
      </w:r>
      <w:r>
        <w:rPr>
          <w:rFonts w:ascii="Garamond" w:hAnsi="Garamond" w:cs="Times New Roman"/>
          <w:sz w:val="24"/>
          <w:szCs w:val="24"/>
        </w:rPr>
        <w:t xml:space="preserve">had been </w:t>
      </w:r>
      <w:r w:rsidRPr="00473B8C">
        <w:rPr>
          <w:rFonts w:ascii="Garamond" w:hAnsi="Garamond" w:cs="Times New Roman"/>
          <w:sz w:val="24"/>
          <w:szCs w:val="24"/>
        </w:rPr>
        <w:t xml:space="preserve">centralized around the state and used a cocoa marketing board, the </w:t>
      </w:r>
      <w:r w:rsidRPr="00473B8C">
        <w:rPr>
          <w:rFonts w:ascii="Garamond" w:hAnsi="Garamond" w:cs="Times New Roman"/>
          <w:i/>
          <w:sz w:val="24"/>
          <w:szCs w:val="24"/>
        </w:rPr>
        <w:t>Caisse de stabilisation</w:t>
      </w:r>
      <w:r w:rsidRPr="00473B8C">
        <w:rPr>
          <w:rFonts w:ascii="Garamond" w:hAnsi="Garamond" w:cs="Times New Roman"/>
          <w:sz w:val="24"/>
          <w:szCs w:val="24"/>
        </w:rPr>
        <w:t xml:space="preserve">, to unite the labour of 600,000 producers, 800 buyers, two grinders, one chocolate factory and 50 exporters (Losch, 2002). In 1987 this system collapsed during the ‘cocoa wars’ waged by the long-term president, the Francophone Houphenet-Boigny, against international processors of cocoa. For over two years the </w:t>
      </w:r>
      <w:r>
        <w:rPr>
          <w:rFonts w:ascii="Garamond" w:hAnsi="Garamond" w:cs="Times New Roman"/>
          <w:sz w:val="24"/>
          <w:szCs w:val="24"/>
        </w:rPr>
        <w:t>Côte</w:t>
      </w:r>
      <w:r w:rsidRPr="00473B8C">
        <w:rPr>
          <w:rFonts w:ascii="Garamond" w:hAnsi="Garamond" w:cs="Times New Roman"/>
          <w:sz w:val="24"/>
          <w:szCs w:val="24"/>
        </w:rPr>
        <w:t xml:space="preserve"> D’Ivoire withdrew its share of cocoa production from the global market (around twenty to thirty percent) in an attempt to force the price of cocoa upwards.</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473B8C" w:rsidRDefault="00A05ED2" w:rsidP="00A05ED2">
      <w:pPr>
        <w:autoSpaceDE w:val="0"/>
        <w:autoSpaceDN w:val="0"/>
        <w:adjustRightInd w:val="0"/>
        <w:spacing w:after="0" w:line="360" w:lineRule="auto"/>
        <w:jc w:val="both"/>
        <w:rPr>
          <w:rStyle w:val="addmd"/>
        </w:rPr>
      </w:pPr>
      <w:r w:rsidRPr="00473B8C">
        <w:rPr>
          <w:rFonts w:ascii="Garamond" w:hAnsi="Garamond" w:cs="Times New Roman"/>
          <w:sz w:val="24"/>
          <w:szCs w:val="24"/>
        </w:rPr>
        <w:t xml:space="preserve"> In his study o</w:t>
      </w:r>
      <w:r>
        <w:rPr>
          <w:rFonts w:ascii="Garamond" w:hAnsi="Garamond" w:cs="Times New Roman"/>
          <w:sz w:val="24"/>
          <w:szCs w:val="24"/>
        </w:rPr>
        <w:t>f the liberalization of the Ivo</w:t>
      </w:r>
      <w:r w:rsidRPr="00473B8C">
        <w:rPr>
          <w:rFonts w:ascii="Garamond" w:hAnsi="Garamond" w:cs="Times New Roman"/>
          <w:sz w:val="24"/>
          <w:szCs w:val="24"/>
        </w:rPr>
        <w:t>r</w:t>
      </w:r>
      <w:r>
        <w:rPr>
          <w:rFonts w:ascii="Garamond" w:hAnsi="Garamond" w:cs="Times New Roman"/>
          <w:sz w:val="24"/>
          <w:szCs w:val="24"/>
        </w:rPr>
        <w:t>i</w:t>
      </w:r>
      <w:r w:rsidRPr="00473B8C">
        <w:rPr>
          <w:rFonts w:ascii="Garamond" w:hAnsi="Garamond" w:cs="Times New Roman"/>
          <w:sz w:val="24"/>
          <w:szCs w:val="24"/>
        </w:rPr>
        <w:t>an cocoa industry, Bruno Losch (2002) posits that ‘cocoa wars’ ended in total failure for Houphenet-Boigny and the Ivorian industry</w:t>
      </w:r>
      <w:r>
        <w:rPr>
          <w:rFonts w:ascii="Garamond" w:hAnsi="Garamond" w:cs="Times New Roman"/>
          <w:sz w:val="24"/>
          <w:szCs w:val="24"/>
        </w:rPr>
        <w:t>.</w:t>
      </w:r>
      <w:r w:rsidRPr="00473B8C">
        <w:rPr>
          <w:rFonts w:ascii="Garamond" w:hAnsi="Garamond" w:cs="Times New Roman"/>
          <w:sz w:val="24"/>
          <w:szCs w:val="24"/>
        </w:rPr>
        <w:t xml:space="preserve"> European and American grinders had procured vast stocks of cocoa beans in store</w:t>
      </w:r>
      <w:r>
        <w:rPr>
          <w:rFonts w:ascii="Garamond" w:hAnsi="Garamond" w:cs="Times New Roman"/>
          <w:sz w:val="24"/>
          <w:szCs w:val="24"/>
        </w:rPr>
        <w:t>-</w:t>
      </w:r>
      <w:r w:rsidRPr="00473B8C">
        <w:rPr>
          <w:rFonts w:ascii="Garamond" w:hAnsi="Garamond" w:cs="Times New Roman"/>
          <w:sz w:val="24"/>
          <w:szCs w:val="24"/>
        </w:rPr>
        <w:t xml:space="preserve">houses in Amsterdam and Antwerp before the crisis and the withdrawal encouraged a sharp increase in the production of cocoa on the large plantations in Malaysia and Brazil. The global cocoa economy, Losch argues, was no longer driven by physical cocoa but by futures markets, which greatly reduced Houphenet-Boigny’s global economic and political leverage. Following defaulting on IMF debt payments and the destabilization of the CFA franc in 1994, the Ivorian grinders and traders required funding from multinational industrial grinders and chocolate manufacturing coalitions. </w:t>
      </w:r>
      <w:r w:rsidRPr="00473B8C">
        <w:rPr>
          <w:rStyle w:val="addmd"/>
          <w:rFonts w:ascii="Garamond" w:hAnsi="Garamond"/>
          <w:sz w:val="24"/>
          <w:szCs w:val="24"/>
        </w:rPr>
        <w:t xml:space="preserve">The de-nationalization of the cocoa industry was materialized through the dismantling of the administrative system in the 1990s, the abolition of guaranteed administrative prices for cocoa, and a series of takeovers of Ivorian grinding and export companies by multinational firms (Losch, 2002; Fold, 2002). Without the administrative work of the </w:t>
      </w:r>
      <w:r w:rsidRPr="00473B8C">
        <w:rPr>
          <w:rStyle w:val="addmd"/>
          <w:rFonts w:ascii="Garamond" w:hAnsi="Garamond"/>
          <w:i/>
          <w:sz w:val="24"/>
          <w:szCs w:val="24"/>
        </w:rPr>
        <w:t>Caisse de stabilisation</w:t>
      </w:r>
      <w:r w:rsidRPr="00473B8C">
        <w:rPr>
          <w:rStyle w:val="addmd"/>
          <w:rFonts w:ascii="Garamond" w:hAnsi="Garamond"/>
          <w:sz w:val="24"/>
          <w:szCs w:val="24"/>
        </w:rPr>
        <w:t xml:space="preserve">, strategic leadership on quality control, market research and plant breeding was passed to multinational organizations (ul Haque, 2004) whose priorities lay elsewhere in securing large shipments of cheap cocoa product. Consequently, a standardized inferior ‘bulk’ export quality for Ivorian cocoa replaced the imperative for varied grades of cocoa quality, and the small domestic market for chocolate was side-lined. The neo-liberalization of the cocoa industry has impacted on producers and consumers, with the consequence of increasing ambiguity over the provenance of cocoa: </w:t>
      </w:r>
    </w:p>
    <w:p w:rsidR="00A05ED2" w:rsidRPr="00473B8C" w:rsidRDefault="00A05ED2" w:rsidP="00A05ED2">
      <w:pPr>
        <w:autoSpaceDE w:val="0"/>
        <w:autoSpaceDN w:val="0"/>
        <w:adjustRightInd w:val="0"/>
        <w:spacing w:after="0" w:line="360" w:lineRule="auto"/>
        <w:jc w:val="both"/>
        <w:rPr>
          <w:rStyle w:val="addmd"/>
        </w:rPr>
      </w:pPr>
    </w:p>
    <w:p w:rsidR="00A05ED2" w:rsidRPr="00473B8C" w:rsidRDefault="00A05ED2" w:rsidP="00A05ED2">
      <w:pPr>
        <w:autoSpaceDE w:val="0"/>
        <w:autoSpaceDN w:val="0"/>
        <w:adjustRightInd w:val="0"/>
        <w:spacing w:after="0" w:line="360" w:lineRule="auto"/>
        <w:ind w:left="284" w:right="284"/>
        <w:jc w:val="both"/>
        <w:rPr>
          <w:rStyle w:val="addmd"/>
        </w:rPr>
      </w:pPr>
      <w:r w:rsidRPr="00473B8C">
        <w:rPr>
          <w:rFonts w:ascii="Garamond" w:hAnsi="Garamond" w:cs="Times New Roman"/>
        </w:rPr>
        <w:lastRenderedPageBreak/>
        <w:t xml:space="preserve">There is a double disconnect in the chocolate commodity chain. The producers of cocoa, smallholders in developing nations, rarely consume the final product based on their labor. Consumers, mostly in developed nations, have no way of tracing back the origins of their chocolate bar to a particular country, much less a particular </w:t>
      </w:r>
      <w:r>
        <w:rPr>
          <w:rFonts w:ascii="Garamond" w:hAnsi="Garamond" w:cs="Times New Roman"/>
        </w:rPr>
        <w:t>site of agricultural production.</w:t>
      </w:r>
      <w:r w:rsidRPr="00473B8C">
        <w:rPr>
          <w:rFonts w:ascii="Garamond" w:hAnsi="Garamond" w:cs="Times New Roman"/>
        </w:rPr>
        <w:t xml:space="preserve"> (Cidell </w:t>
      </w:r>
      <w:r w:rsidR="00F152DB">
        <w:rPr>
          <w:rFonts w:ascii="Garamond" w:hAnsi="Garamond" w:cs="Times New Roman"/>
        </w:rPr>
        <w:t>and</w:t>
      </w:r>
      <w:r w:rsidRPr="00473B8C">
        <w:rPr>
          <w:rFonts w:ascii="Garamond" w:hAnsi="Garamond" w:cs="Times New Roman"/>
        </w:rPr>
        <w:t xml:space="preserve"> Alberts, 2007: 1003)</w:t>
      </w:r>
    </w:p>
    <w:p w:rsidR="00A05ED2" w:rsidRPr="00473B8C" w:rsidRDefault="00A05ED2" w:rsidP="00A05ED2">
      <w:pPr>
        <w:autoSpaceDE w:val="0"/>
        <w:autoSpaceDN w:val="0"/>
        <w:adjustRightInd w:val="0"/>
        <w:spacing w:after="0" w:line="360" w:lineRule="auto"/>
        <w:ind w:left="284" w:right="284"/>
        <w:jc w:val="both"/>
        <w:rPr>
          <w:rStyle w:val="addmd"/>
        </w:rPr>
      </w:pPr>
    </w:p>
    <w:p w:rsidR="00A05ED2" w:rsidRPr="00473B8C" w:rsidRDefault="00A05ED2" w:rsidP="00A05ED2">
      <w:pPr>
        <w:autoSpaceDE w:val="0"/>
        <w:autoSpaceDN w:val="0"/>
        <w:adjustRightInd w:val="0"/>
        <w:spacing w:after="0" w:line="360" w:lineRule="auto"/>
        <w:jc w:val="both"/>
        <w:rPr>
          <w:rStyle w:val="addmd"/>
        </w:rPr>
      </w:pPr>
      <w:r w:rsidRPr="00473B8C">
        <w:rPr>
          <w:rStyle w:val="addmd"/>
          <w:rFonts w:ascii="Garamond" w:hAnsi="Garamond"/>
          <w:sz w:val="24"/>
          <w:szCs w:val="24"/>
        </w:rPr>
        <w:t xml:space="preserve">Strategic control over chocolate revenues is contested between multinational grinder and manufacturing firms, leading to a </w:t>
      </w:r>
      <w:r w:rsidRPr="00473B8C">
        <w:rPr>
          <w:rFonts w:ascii="Garamond" w:eastAsia="Times New Roman" w:hAnsi="Garamond" w:cs="Times New Roman"/>
          <w:sz w:val="24"/>
          <w:szCs w:val="24"/>
          <w:lang w:val="en-US"/>
        </w:rPr>
        <w:t xml:space="preserve">‘bi-polar’ organization of the industry (Fold, 2002). </w:t>
      </w:r>
      <w:r w:rsidRPr="00473B8C">
        <w:rPr>
          <w:rStyle w:val="addmd"/>
          <w:rFonts w:ascii="Garamond" w:hAnsi="Garamond"/>
          <w:sz w:val="24"/>
          <w:szCs w:val="24"/>
        </w:rPr>
        <w:t>The majority of global cocoa bean grinding occurs in Europe and the USA where the beans can be stored for longer periods in cooler temperatures (</w:t>
      </w:r>
      <w:r>
        <w:rPr>
          <w:rStyle w:val="addmd"/>
          <w:rFonts w:ascii="Garamond" w:hAnsi="Garamond"/>
          <w:sz w:val="24"/>
          <w:szCs w:val="24"/>
        </w:rPr>
        <w:t>Fold</w:t>
      </w:r>
      <w:r w:rsidRPr="00473B8C">
        <w:rPr>
          <w:rStyle w:val="addmd"/>
          <w:rFonts w:ascii="Garamond" w:hAnsi="Garamond"/>
          <w:sz w:val="24"/>
          <w:szCs w:val="24"/>
        </w:rPr>
        <w:t>, 2002). Ivorian grinding operations are limited to a small share of the market, and are owned by the French food conglomerate Barry Callebout. Once imported to Europe the exchange value of non fair</w:t>
      </w:r>
      <w:r>
        <w:rPr>
          <w:rStyle w:val="addmd"/>
          <w:rFonts w:ascii="Garamond" w:hAnsi="Garamond"/>
          <w:sz w:val="24"/>
          <w:szCs w:val="24"/>
        </w:rPr>
        <w:t xml:space="preserve"> </w:t>
      </w:r>
      <w:r w:rsidRPr="00473B8C">
        <w:rPr>
          <w:rStyle w:val="addmd"/>
          <w:rFonts w:ascii="Garamond" w:hAnsi="Garamond"/>
          <w:sz w:val="24"/>
          <w:szCs w:val="24"/>
        </w:rPr>
        <w:t xml:space="preserve">trade cocoa is officially three to four times the farm-gate price of Ivorian cocoa, about £2.70/kg compared to £0.80/kg, and it is floated on the global commodities market (ul Haque, 2004). However, the farm-gate price of £0.80/kg is subject to nine fluctuating taxes which are passed on from multinational exporters </w:t>
      </w:r>
      <w:r>
        <w:rPr>
          <w:rStyle w:val="addmd"/>
          <w:rFonts w:ascii="Garamond" w:hAnsi="Garamond"/>
          <w:sz w:val="24"/>
          <w:szCs w:val="24"/>
        </w:rPr>
        <w:t xml:space="preserve">to </w:t>
      </w:r>
      <w:r w:rsidRPr="00473B8C">
        <w:rPr>
          <w:rStyle w:val="addmd"/>
          <w:rFonts w:ascii="Garamond" w:hAnsi="Garamond"/>
          <w:sz w:val="24"/>
          <w:szCs w:val="24"/>
        </w:rPr>
        <w:t>the farmer (</w:t>
      </w:r>
      <w:r>
        <w:rPr>
          <w:rStyle w:val="addmd"/>
          <w:rFonts w:ascii="Garamond" w:hAnsi="Garamond"/>
          <w:sz w:val="24"/>
          <w:szCs w:val="24"/>
        </w:rPr>
        <w:t>Global Witness, 2007). Tom Ne</w:t>
      </w:r>
      <w:r w:rsidRPr="00473B8C">
        <w:rPr>
          <w:rStyle w:val="addmd"/>
          <w:rFonts w:ascii="Garamond" w:hAnsi="Garamond"/>
          <w:sz w:val="24"/>
          <w:szCs w:val="24"/>
        </w:rPr>
        <w:t>uhaus, the founder of Sweet Earth Chocolates explains:</w:t>
      </w:r>
    </w:p>
    <w:p w:rsidR="00A05ED2" w:rsidRPr="00473B8C" w:rsidRDefault="00A05ED2" w:rsidP="00A05ED2">
      <w:pPr>
        <w:autoSpaceDE w:val="0"/>
        <w:autoSpaceDN w:val="0"/>
        <w:adjustRightInd w:val="0"/>
        <w:spacing w:after="0" w:line="360" w:lineRule="auto"/>
        <w:jc w:val="both"/>
        <w:rPr>
          <w:rStyle w:val="addmd"/>
        </w:rPr>
      </w:pPr>
    </w:p>
    <w:p w:rsidR="00A05ED2" w:rsidRPr="00473B8C" w:rsidRDefault="00A05ED2" w:rsidP="00A05ED2">
      <w:pPr>
        <w:autoSpaceDE w:val="0"/>
        <w:autoSpaceDN w:val="0"/>
        <w:adjustRightInd w:val="0"/>
        <w:spacing w:after="0" w:line="360" w:lineRule="auto"/>
        <w:ind w:left="284" w:right="284"/>
        <w:jc w:val="both"/>
        <w:rPr>
          <w:rStyle w:val="addmd"/>
        </w:rPr>
      </w:pPr>
      <w:r w:rsidRPr="00473B8C">
        <w:rPr>
          <w:rFonts w:ascii="Garamond" w:hAnsi="Garamond" w:cs="Times New Roman"/>
        </w:rPr>
        <w:t>A trip to five villages in August, 2006, convinced this author that Ivorian farmers receive approximately 125 CFA per Kg, which is just under one-third what</w:t>
      </w:r>
      <w:r>
        <w:rPr>
          <w:rFonts w:ascii="Garamond" w:hAnsi="Garamond" w:cs="Times New Roman"/>
        </w:rPr>
        <w:t xml:space="preserve"> the government itself receives. (Ne</w:t>
      </w:r>
      <w:r w:rsidRPr="00473B8C">
        <w:rPr>
          <w:rFonts w:ascii="Garamond" w:hAnsi="Garamond" w:cs="Times New Roman"/>
        </w:rPr>
        <w:t>uhaus, 2010</w:t>
      </w:r>
      <w:r>
        <w:rPr>
          <w:rFonts w:ascii="Garamond" w:hAnsi="Garamond" w:cs="Times New Roman"/>
        </w:rPr>
        <w:t>)</w:t>
      </w:r>
      <w:r w:rsidRPr="00473B8C">
        <w:rPr>
          <w:rStyle w:val="FootnoteReference"/>
          <w:rFonts w:cs="Times New Roman"/>
        </w:rPr>
        <w:footnoteReference w:id="136"/>
      </w:r>
    </w:p>
    <w:p w:rsidR="00A05ED2" w:rsidRPr="00473B8C" w:rsidRDefault="00A05ED2" w:rsidP="00A05ED2">
      <w:pPr>
        <w:autoSpaceDE w:val="0"/>
        <w:autoSpaceDN w:val="0"/>
        <w:adjustRightInd w:val="0"/>
        <w:spacing w:after="0" w:line="360" w:lineRule="auto"/>
        <w:jc w:val="both"/>
        <w:rPr>
          <w:rStyle w:val="addmd"/>
        </w:rPr>
      </w:pPr>
    </w:p>
    <w:p w:rsidR="00A05ED2" w:rsidRDefault="00A05ED2" w:rsidP="00A05ED2">
      <w:pPr>
        <w:autoSpaceDE w:val="0"/>
        <w:autoSpaceDN w:val="0"/>
        <w:adjustRightInd w:val="0"/>
        <w:spacing w:after="0" w:line="360" w:lineRule="auto"/>
        <w:jc w:val="both"/>
        <w:rPr>
          <w:rStyle w:val="addmd"/>
        </w:rPr>
      </w:pPr>
      <w:r>
        <w:rPr>
          <w:rStyle w:val="addmd"/>
          <w:rFonts w:ascii="Garamond" w:hAnsi="Garamond"/>
          <w:sz w:val="24"/>
          <w:szCs w:val="24"/>
        </w:rPr>
        <w:t>Ne</w:t>
      </w:r>
      <w:r w:rsidRPr="00473B8C">
        <w:rPr>
          <w:rStyle w:val="addmd"/>
          <w:rFonts w:ascii="Garamond" w:hAnsi="Garamond"/>
          <w:sz w:val="24"/>
          <w:szCs w:val="24"/>
        </w:rPr>
        <w:t>uhaus claims that after registration and export taxes have been levied</w:t>
      </w:r>
      <w:r>
        <w:rPr>
          <w:rStyle w:val="addmd"/>
          <w:rFonts w:ascii="Garamond" w:hAnsi="Garamond"/>
          <w:sz w:val="24"/>
          <w:szCs w:val="24"/>
        </w:rPr>
        <w:t>,</w:t>
      </w:r>
      <w:r w:rsidRPr="00473B8C">
        <w:rPr>
          <w:rStyle w:val="addmd"/>
          <w:rFonts w:ascii="Garamond" w:hAnsi="Garamond"/>
          <w:sz w:val="24"/>
          <w:szCs w:val="24"/>
        </w:rPr>
        <w:t xml:space="preserve"> from the £0.80/kg farmers are paid as little as £0.15/kg. A report by the NGO Global Witness on the role of cocoa in the north/south civil war puts the figure for government tax and farm labour on level par for the 2006/7 season. For the 2010/11 season, Irin news estimate that producers were paid 35% of the export price paid at San Pedro and Abidjan</w:t>
      </w:r>
      <w:r>
        <w:rPr>
          <w:rStyle w:val="addmd"/>
          <w:rFonts w:ascii="Garamond" w:hAnsi="Garamond"/>
          <w:sz w:val="24"/>
          <w:szCs w:val="24"/>
        </w:rPr>
        <w:t>.</w:t>
      </w:r>
      <w:r w:rsidRPr="00473B8C">
        <w:rPr>
          <w:rStyle w:val="FootnoteReference"/>
          <w:rFonts w:cs="Times New Roman"/>
          <w:sz w:val="24"/>
          <w:szCs w:val="24"/>
        </w:rPr>
        <w:footnoteReference w:id="137"/>
      </w:r>
      <w:r w:rsidRPr="00473B8C">
        <w:rPr>
          <w:rStyle w:val="addmd"/>
          <w:rFonts w:ascii="Garamond" w:hAnsi="Garamond"/>
          <w:sz w:val="24"/>
          <w:szCs w:val="24"/>
        </w:rPr>
        <w:t xml:space="preserve"> The high taxes are in part a reflection of the costs for insurance and freight that the seller pre-pays to export the cocoa to European and American destinations. </w:t>
      </w:r>
    </w:p>
    <w:p w:rsidR="00A05ED2" w:rsidRDefault="00A05ED2" w:rsidP="00A05ED2">
      <w:pPr>
        <w:autoSpaceDE w:val="0"/>
        <w:autoSpaceDN w:val="0"/>
        <w:adjustRightInd w:val="0"/>
        <w:spacing w:after="0" w:line="360" w:lineRule="auto"/>
        <w:jc w:val="both"/>
        <w:rPr>
          <w:rStyle w:val="addmd"/>
        </w:rPr>
      </w:pPr>
    </w:p>
    <w:p w:rsidR="00713C2E" w:rsidRDefault="00A05ED2" w:rsidP="00A05ED2">
      <w:pPr>
        <w:autoSpaceDE w:val="0"/>
        <w:autoSpaceDN w:val="0"/>
        <w:adjustRightInd w:val="0"/>
        <w:spacing w:after="0" w:line="360" w:lineRule="auto"/>
        <w:jc w:val="both"/>
        <w:rPr>
          <w:rStyle w:val="addmd"/>
        </w:rPr>
      </w:pPr>
      <w:r w:rsidRPr="00473B8C">
        <w:rPr>
          <w:rStyle w:val="addmd"/>
          <w:rFonts w:ascii="Garamond" w:hAnsi="Garamond"/>
          <w:sz w:val="24"/>
          <w:szCs w:val="24"/>
        </w:rPr>
        <w:t>Once in Europe the grinding firms process the cocoa into a liquor</w:t>
      </w:r>
      <w:r>
        <w:rPr>
          <w:rStyle w:val="addmd"/>
          <w:rFonts w:ascii="Garamond" w:hAnsi="Garamond"/>
          <w:sz w:val="24"/>
          <w:szCs w:val="24"/>
        </w:rPr>
        <w:t>. This is either used</w:t>
      </w:r>
      <w:r w:rsidRPr="00473B8C">
        <w:rPr>
          <w:rStyle w:val="addmd"/>
          <w:rFonts w:ascii="Garamond" w:hAnsi="Garamond"/>
          <w:sz w:val="24"/>
          <w:szCs w:val="24"/>
        </w:rPr>
        <w:t xml:space="preserve"> to produce over a thousand types of industrial chocolate for confectionary manufacturers (Fold, 2002)</w:t>
      </w:r>
      <w:r>
        <w:rPr>
          <w:rStyle w:val="addmd"/>
          <w:rFonts w:ascii="Garamond" w:hAnsi="Garamond"/>
          <w:sz w:val="24"/>
          <w:szCs w:val="24"/>
        </w:rPr>
        <w:t xml:space="preserve"> </w:t>
      </w:r>
      <w:r w:rsidRPr="00473B8C">
        <w:rPr>
          <w:rStyle w:val="addmd"/>
          <w:rFonts w:ascii="Garamond" w:hAnsi="Garamond"/>
          <w:sz w:val="24"/>
          <w:szCs w:val="24"/>
        </w:rPr>
        <w:t>or t</w:t>
      </w:r>
      <w:r>
        <w:rPr>
          <w:rStyle w:val="addmd"/>
          <w:rFonts w:ascii="Garamond" w:hAnsi="Garamond"/>
          <w:sz w:val="24"/>
          <w:szCs w:val="24"/>
        </w:rPr>
        <w:t>o</w:t>
      </w:r>
      <w:r w:rsidRPr="00473B8C">
        <w:rPr>
          <w:rStyle w:val="addmd"/>
          <w:rFonts w:ascii="Garamond" w:hAnsi="Garamond"/>
          <w:sz w:val="24"/>
          <w:szCs w:val="24"/>
        </w:rPr>
        <w:t xml:space="preserve"> make various grades of chocolate ‘cake’ which is sold to chocolate </w:t>
      </w:r>
      <w:r w:rsidRPr="00473B8C">
        <w:rPr>
          <w:rStyle w:val="addmd"/>
          <w:rFonts w:ascii="Garamond" w:hAnsi="Garamond"/>
          <w:sz w:val="24"/>
          <w:szCs w:val="24"/>
        </w:rPr>
        <w:lastRenderedPageBreak/>
        <w:t xml:space="preserve">manufacturers. Three multinational grinder companies (Cargill, ADM and Barry Callebout) and five multinational chocolate processor firms (Mars, </w:t>
      </w:r>
      <w:r>
        <w:rPr>
          <w:rStyle w:val="addmd"/>
          <w:rFonts w:ascii="Garamond" w:hAnsi="Garamond"/>
          <w:sz w:val="24"/>
          <w:szCs w:val="24"/>
        </w:rPr>
        <w:t>Nestlé</w:t>
      </w:r>
      <w:r w:rsidRPr="00473B8C">
        <w:rPr>
          <w:rStyle w:val="addmd"/>
          <w:rFonts w:ascii="Garamond" w:hAnsi="Garamond"/>
          <w:sz w:val="24"/>
          <w:szCs w:val="24"/>
        </w:rPr>
        <w:t xml:space="preserve">, Kraft, Hershey’s and Ferrero) jostle for lead position and governance (Gereffi, 1994) of the value chain through takeovers and vertical integration (Bernstein </w:t>
      </w:r>
      <w:r>
        <w:rPr>
          <w:rStyle w:val="addmd"/>
          <w:rFonts w:ascii="Garamond" w:hAnsi="Garamond"/>
          <w:sz w:val="24"/>
          <w:szCs w:val="24"/>
        </w:rPr>
        <w:t>and</w:t>
      </w:r>
      <w:r w:rsidRPr="00473B8C">
        <w:rPr>
          <w:rStyle w:val="addmd"/>
          <w:rFonts w:ascii="Garamond" w:hAnsi="Garamond"/>
          <w:sz w:val="24"/>
          <w:szCs w:val="24"/>
        </w:rPr>
        <w:t xml:space="preserve"> Campling, 2006), and share over eighty per cent of global chocolate revenue. </w:t>
      </w:r>
    </w:p>
    <w:p w:rsidR="00A05ED2" w:rsidRPr="00473B8C" w:rsidRDefault="00A05ED2" w:rsidP="00A05ED2">
      <w:pPr>
        <w:autoSpaceDE w:val="0"/>
        <w:autoSpaceDN w:val="0"/>
        <w:adjustRightInd w:val="0"/>
        <w:spacing w:after="0" w:line="360" w:lineRule="auto"/>
        <w:jc w:val="both"/>
        <w:rPr>
          <w:rStyle w:val="addmd"/>
        </w:rPr>
      </w:pPr>
    </w:p>
    <w:p w:rsidR="00A05ED2" w:rsidRPr="00473B8C" w:rsidRDefault="00A05ED2" w:rsidP="00A05ED2">
      <w:pPr>
        <w:autoSpaceDE w:val="0"/>
        <w:autoSpaceDN w:val="0"/>
        <w:adjustRightInd w:val="0"/>
        <w:spacing w:after="0" w:line="360" w:lineRule="auto"/>
        <w:jc w:val="both"/>
        <w:rPr>
          <w:rStyle w:val="addmd"/>
        </w:rPr>
      </w:pPr>
      <w:r w:rsidRPr="00473B8C">
        <w:rPr>
          <w:rStyle w:val="addmd"/>
          <w:rFonts w:ascii="Garamond" w:hAnsi="Garamond"/>
          <w:sz w:val="24"/>
          <w:szCs w:val="24"/>
        </w:rPr>
        <w:t xml:space="preserve">The grinder companies increasingly operate as merchant contract manufacturers for the processor firms in a ‘turn-key’ network system (Sturgeon, 2000; Fold, 2002). Consequently, investing capital in cocoa quality at source is less important than adding value and quality to the commodity in the manufacturing stages of the chain (Cidell </w:t>
      </w:r>
      <w:r>
        <w:rPr>
          <w:rStyle w:val="addmd"/>
          <w:rFonts w:ascii="Garamond" w:hAnsi="Garamond"/>
          <w:sz w:val="24"/>
          <w:szCs w:val="24"/>
        </w:rPr>
        <w:t>and</w:t>
      </w:r>
      <w:r w:rsidRPr="00473B8C">
        <w:rPr>
          <w:rStyle w:val="addmd"/>
          <w:rFonts w:ascii="Garamond" w:hAnsi="Garamond"/>
          <w:sz w:val="24"/>
          <w:szCs w:val="24"/>
        </w:rPr>
        <w:t xml:space="preserve"> Alberts, 2007), and in branding exercises that point to specific types of artisanal chocolate making or </w:t>
      </w:r>
      <w:r>
        <w:rPr>
          <w:rStyle w:val="addmd"/>
          <w:rFonts w:ascii="Garamond" w:hAnsi="Garamond"/>
          <w:sz w:val="24"/>
          <w:szCs w:val="24"/>
        </w:rPr>
        <w:t xml:space="preserve">to the </w:t>
      </w:r>
      <w:r w:rsidRPr="00473B8C">
        <w:rPr>
          <w:rStyle w:val="addmd"/>
          <w:rFonts w:ascii="Garamond" w:hAnsi="Garamond"/>
          <w:sz w:val="24"/>
          <w:szCs w:val="24"/>
        </w:rPr>
        <w:t xml:space="preserve">Western types of purity that I analysed in </w:t>
      </w:r>
      <w:r>
        <w:rPr>
          <w:rStyle w:val="addmd"/>
          <w:rFonts w:ascii="Garamond" w:hAnsi="Garamond"/>
          <w:sz w:val="24"/>
          <w:szCs w:val="24"/>
        </w:rPr>
        <w:t>Chapter Four</w:t>
      </w:r>
      <w:r w:rsidRPr="00473B8C">
        <w:rPr>
          <w:rStyle w:val="addmd"/>
          <w:rFonts w:ascii="Garamond" w:hAnsi="Garamond"/>
          <w:sz w:val="24"/>
          <w:szCs w:val="24"/>
        </w:rPr>
        <w:t xml:space="preserve">. Global annual revenue for the industry is approximately £62 billion, and annual profits are estimated at least £12 billion, nearly equivalent to the GDP of the </w:t>
      </w:r>
      <w:r>
        <w:rPr>
          <w:rStyle w:val="addmd"/>
          <w:rFonts w:ascii="Garamond" w:hAnsi="Garamond"/>
          <w:sz w:val="24"/>
          <w:szCs w:val="24"/>
        </w:rPr>
        <w:t>Côte</w:t>
      </w:r>
      <w:r w:rsidRPr="00473B8C">
        <w:rPr>
          <w:rStyle w:val="addmd"/>
          <w:rFonts w:ascii="Garamond" w:hAnsi="Garamond"/>
          <w:sz w:val="24"/>
          <w:szCs w:val="24"/>
        </w:rPr>
        <w:t xml:space="preserve"> D’Ivoire for 2009 (Trading Visions, 2011</w:t>
      </w:r>
      <w:r>
        <w:rPr>
          <w:rStyle w:val="FootnoteReference"/>
          <w:rFonts w:cs="Times New Roman"/>
          <w:sz w:val="24"/>
          <w:szCs w:val="24"/>
        </w:rPr>
        <w:footnoteReference w:id="138"/>
      </w:r>
      <w:r w:rsidRPr="00473B8C">
        <w:rPr>
          <w:rStyle w:val="addmd"/>
          <w:rFonts w:ascii="Garamond" w:hAnsi="Garamond"/>
          <w:sz w:val="24"/>
          <w:szCs w:val="24"/>
        </w:rPr>
        <w:t>; World Bank, 2009). Despite the mainstream integration of civic or welfare conventions into assessments of chocolate quality in the last decade (as suggested in convention theory –</w:t>
      </w:r>
      <w:r>
        <w:rPr>
          <w:rStyle w:val="addmd"/>
          <w:rFonts w:ascii="Garamond" w:hAnsi="Garamond"/>
          <w:sz w:val="24"/>
          <w:szCs w:val="24"/>
        </w:rPr>
        <w:t xml:space="preserve"> </w:t>
      </w:r>
      <w:r w:rsidRPr="00473B8C">
        <w:rPr>
          <w:rStyle w:val="addmd"/>
          <w:rFonts w:ascii="Garamond" w:hAnsi="Garamond"/>
          <w:sz w:val="24"/>
          <w:szCs w:val="24"/>
        </w:rPr>
        <w:t xml:space="preserve">see Gibbon </w:t>
      </w:r>
      <w:r w:rsidR="00F152DB">
        <w:rPr>
          <w:rStyle w:val="addmd"/>
          <w:rFonts w:ascii="Garamond" w:hAnsi="Garamond"/>
          <w:sz w:val="24"/>
          <w:szCs w:val="24"/>
        </w:rPr>
        <w:t>and</w:t>
      </w:r>
      <w:r w:rsidRPr="00473B8C">
        <w:rPr>
          <w:rStyle w:val="addmd"/>
          <w:rFonts w:ascii="Garamond" w:hAnsi="Garamond"/>
          <w:sz w:val="24"/>
          <w:szCs w:val="24"/>
        </w:rPr>
        <w:t xml:space="preserve"> Ponte, 2005), between them the leading chocolate manufacturers and grinders have committed about £25 million (or under 0.01% of their projected profits) spread over the next ten years into improving farming standards and infrastructure in Ghana and the </w:t>
      </w:r>
      <w:r>
        <w:rPr>
          <w:rStyle w:val="addmd"/>
          <w:rFonts w:ascii="Garamond" w:hAnsi="Garamond"/>
          <w:sz w:val="24"/>
          <w:szCs w:val="24"/>
        </w:rPr>
        <w:t>Côte</w:t>
      </w:r>
      <w:r w:rsidRPr="00473B8C">
        <w:rPr>
          <w:rStyle w:val="addmd"/>
          <w:rFonts w:ascii="Garamond" w:hAnsi="Garamond"/>
          <w:sz w:val="24"/>
          <w:szCs w:val="24"/>
        </w:rPr>
        <w:t xml:space="preserve"> D’Ivoire (Trading Visions, 2011). </w:t>
      </w:r>
    </w:p>
    <w:p w:rsidR="00A05ED2" w:rsidRPr="00473B8C" w:rsidRDefault="00A05ED2" w:rsidP="00A05ED2">
      <w:pPr>
        <w:autoSpaceDE w:val="0"/>
        <w:autoSpaceDN w:val="0"/>
        <w:adjustRightInd w:val="0"/>
        <w:spacing w:after="0" w:line="360" w:lineRule="auto"/>
        <w:jc w:val="both"/>
        <w:rPr>
          <w:rStyle w:val="addmd"/>
        </w:rPr>
      </w:pPr>
    </w:p>
    <w:p w:rsidR="00A05ED2"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current life expectancy in the </w:t>
      </w:r>
      <w:r>
        <w:rPr>
          <w:rFonts w:ascii="Garamond" w:hAnsi="Garamond" w:cs="Times New Roman"/>
          <w:sz w:val="24"/>
          <w:szCs w:val="24"/>
        </w:rPr>
        <w:t>Côte</w:t>
      </w:r>
      <w:r w:rsidRPr="00473B8C">
        <w:rPr>
          <w:rFonts w:ascii="Garamond" w:hAnsi="Garamond" w:cs="Times New Roman"/>
          <w:sz w:val="24"/>
          <w:szCs w:val="24"/>
        </w:rPr>
        <w:t xml:space="preserve"> D’Ivoire is forty-two, and in 2005 the country ranked 163 from 177 in the UN Human Development Index (Almberg, 2005). Conditions have worsened significantly since the 1970s when the </w:t>
      </w:r>
      <w:r>
        <w:rPr>
          <w:rFonts w:ascii="Garamond" w:hAnsi="Garamond" w:cs="Times New Roman"/>
          <w:sz w:val="24"/>
          <w:szCs w:val="24"/>
        </w:rPr>
        <w:t>Côte</w:t>
      </w:r>
      <w:r w:rsidRPr="00473B8C">
        <w:rPr>
          <w:rFonts w:ascii="Garamond" w:hAnsi="Garamond" w:cs="Times New Roman"/>
          <w:sz w:val="24"/>
          <w:szCs w:val="24"/>
        </w:rPr>
        <w:t xml:space="preserve"> D’Ivoire was hailed in the West as a post-colonial success story and the economic ‘miracle of Africa’. Common consent among scholars is that the neoliberal reforms to the cocoa industry in the 1990s have played a significant role</w:t>
      </w:r>
      <w:r>
        <w:rPr>
          <w:rFonts w:ascii="Garamond" w:hAnsi="Garamond" w:cs="Times New Roman"/>
          <w:sz w:val="24"/>
          <w:szCs w:val="24"/>
        </w:rPr>
        <w:t>,</w:t>
      </w:r>
      <w:r w:rsidRPr="00473B8C">
        <w:rPr>
          <w:rFonts w:ascii="Garamond" w:hAnsi="Garamond" w:cs="Times New Roman"/>
          <w:sz w:val="24"/>
          <w:szCs w:val="24"/>
        </w:rPr>
        <w:t xml:space="preserve"> alongside ethnic conflict and the stock market crash of 1999, in worsening poverty, increasing environmental threats, and aggravatin</w:t>
      </w:r>
      <w:r>
        <w:rPr>
          <w:rFonts w:ascii="Garamond" w:hAnsi="Garamond" w:cs="Times New Roman"/>
          <w:sz w:val="24"/>
          <w:szCs w:val="24"/>
        </w:rPr>
        <w:t>g ethnic conflict (</w:t>
      </w:r>
      <w:r w:rsidRPr="00473B8C">
        <w:rPr>
          <w:rFonts w:ascii="Garamond" w:hAnsi="Garamond" w:cs="Times New Roman"/>
          <w:sz w:val="24"/>
          <w:szCs w:val="24"/>
        </w:rPr>
        <w:t>Losch, 2002; Almberg, 2005; Fell, 2007). Under neoliberal reform the imperative to specialize the Ivorian economy around the standardized mono-crop undermines biological and economic diversity while increasing threats to both the health of the ecosystem and to national food security (</w:t>
      </w:r>
      <w:r>
        <w:rPr>
          <w:rFonts w:ascii="Garamond" w:hAnsi="Garamond" w:cs="Times New Roman"/>
          <w:sz w:val="24"/>
          <w:szCs w:val="24"/>
        </w:rPr>
        <w:t>Fell</w:t>
      </w:r>
      <w:r w:rsidRPr="00473B8C">
        <w:rPr>
          <w:rFonts w:ascii="Garamond" w:hAnsi="Garamond" w:cs="Times New Roman"/>
          <w:sz w:val="24"/>
          <w:szCs w:val="24"/>
        </w:rPr>
        <w:t xml:space="preserve">, 2007). </w:t>
      </w:r>
      <w:r>
        <w:rPr>
          <w:rFonts w:ascii="Garamond" w:hAnsi="Garamond" w:cs="Times New Roman"/>
          <w:sz w:val="24"/>
          <w:szCs w:val="24"/>
        </w:rPr>
        <w:t xml:space="preserve">STT Amsterdam address this </w:t>
      </w:r>
      <w:r>
        <w:rPr>
          <w:rFonts w:ascii="Garamond" w:hAnsi="Garamond" w:cs="Times New Roman"/>
          <w:sz w:val="24"/>
          <w:szCs w:val="24"/>
        </w:rPr>
        <w:lastRenderedPageBreak/>
        <w:t>problem through lobbying chocolate grinders and manufacturers to take responsibility in providing better equipment, farmer education, and access to higher cocoa yields:</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Pr="000639EA" w:rsidRDefault="00A05ED2" w:rsidP="00A05ED2">
      <w:pPr>
        <w:spacing w:after="0" w:line="360" w:lineRule="auto"/>
        <w:ind w:left="284" w:right="284"/>
        <w:jc w:val="both"/>
        <w:rPr>
          <w:rFonts w:ascii="Garamond" w:hAnsi="Garamond" w:cs="Times New Roman"/>
        </w:rPr>
      </w:pPr>
      <w:r w:rsidRPr="000639EA">
        <w:rPr>
          <w:rFonts w:ascii="Garamond" w:hAnsi="Garamond" w:cs="Times New Roman"/>
        </w:rPr>
        <w:t>Moving cocoa farms into virgin areas is not actually necessary, if you make good use of farming techniques better crop m</w:t>
      </w:r>
      <w:r>
        <w:rPr>
          <w:rFonts w:ascii="Garamond" w:hAnsi="Garamond" w:cs="Times New Roman"/>
        </w:rPr>
        <w:t>ixing, make good use of fertiliz</w:t>
      </w:r>
      <w:r w:rsidRPr="000639EA">
        <w:rPr>
          <w:rFonts w:ascii="Garamond" w:hAnsi="Garamond" w:cs="Times New Roman"/>
        </w:rPr>
        <w:t>er, pr</w:t>
      </w:r>
      <w:r>
        <w:rPr>
          <w:rFonts w:ascii="Garamond" w:hAnsi="Garamond" w:cs="Times New Roman"/>
        </w:rPr>
        <w:t xml:space="preserve">uning and grafting techniques, </w:t>
      </w:r>
      <w:r w:rsidRPr="000639EA">
        <w:rPr>
          <w:rFonts w:ascii="Garamond" w:hAnsi="Garamond" w:cs="Times New Roman"/>
        </w:rPr>
        <w:t>shade trees etc. They’ve identified the cocoa genome, they are using that to make gene resistant versions of cocoa trees. It’s actually possible to have a much more sustainable cocoa production. You do need on regular basis to refresh your tree plantation, but there are smart agricultural ways, but there have been stupid farmers, not rotating their crops. We are absolutely for farming training, it’s a pover</w:t>
      </w:r>
      <w:r>
        <w:rPr>
          <w:rFonts w:ascii="Garamond" w:hAnsi="Garamond" w:cs="Times New Roman"/>
        </w:rPr>
        <w:t>t</w:t>
      </w:r>
      <w:r w:rsidRPr="000639EA">
        <w:rPr>
          <w:rFonts w:ascii="Garamond" w:hAnsi="Garamond" w:cs="Times New Roman"/>
        </w:rPr>
        <w:t>y alleviator but is</w:t>
      </w:r>
      <w:r>
        <w:rPr>
          <w:rFonts w:ascii="Garamond" w:hAnsi="Garamond" w:cs="Times New Roman"/>
        </w:rPr>
        <w:t xml:space="preserve"> not stopping trafficked labour. (Interview Fountain, 2011)</w:t>
      </w:r>
    </w:p>
    <w:p w:rsidR="00A05ED2" w:rsidRDefault="00A05ED2" w:rsidP="00A05ED2">
      <w:pPr>
        <w:autoSpaceDE w:val="0"/>
        <w:autoSpaceDN w:val="0"/>
        <w:adjustRightInd w:val="0"/>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 xml:space="preserve">The lack of high yield cocoa trees and the continued use of virgin territory lock the cocoa farmer in a cycle of environmental and economic poverty. STT argue that higher yields and farmer training offer potential exit routes from this cycle. </w:t>
      </w:r>
      <w:r w:rsidRPr="00473B8C">
        <w:rPr>
          <w:rFonts w:ascii="Garamond" w:hAnsi="Garamond" w:cs="Times New Roman"/>
          <w:sz w:val="24"/>
          <w:szCs w:val="24"/>
        </w:rPr>
        <w:t xml:space="preserve">The </w:t>
      </w:r>
      <w:r>
        <w:rPr>
          <w:rFonts w:ascii="Garamond" w:hAnsi="Garamond" w:cs="Times New Roman"/>
          <w:sz w:val="24"/>
          <w:szCs w:val="24"/>
        </w:rPr>
        <w:t>decline in life expectancy in the Côte</w:t>
      </w:r>
      <w:r w:rsidRPr="00473B8C">
        <w:rPr>
          <w:rFonts w:ascii="Garamond" w:hAnsi="Garamond" w:cs="Times New Roman"/>
          <w:sz w:val="24"/>
          <w:szCs w:val="24"/>
        </w:rPr>
        <w:t xml:space="preserve"> D’Ivoire</w:t>
      </w:r>
      <w:r>
        <w:rPr>
          <w:rFonts w:ascii="Garamond" w:hAnsi="Garamond" w:cs="Times New Roman"/>
          <w:sz w:val="24"/>
          <w:szCs w:val="24"/>
        </w:rPr>
        <w:t xml:space="preserve"> since the opening up of the cocoa industry to neoliberal reforms in the 1990s</w:t>
      </w:r>
      <w:r w:rsidRPr="00473B8C">
        <w:rPr>
          <w:rFonts w:ascii="Garamond" w:hAnsi="Garamond" w:cs="Times New Roman"/>
          <w:sz w:val="24"/>
          <w:szCs w:val="24"/>
        </w:rPr>
        <w:t xml:space="preserve"> demonstrate</w:t>
      </w:r>
      <w:r>
        <w:rPr>
          <w:rFonts w:ascii="Garamond" w:hAnsi="Garamond" w:cs="Times New Roman"/>
          <w:sz w:val="24"/>
          <w:szCs w:val="24"/>
        </w:rPr>
        <w:t>s</w:t>
      </w:r>
      <w:r w:rsidRPr="00473B8C">
        <w:rPr>
          <w:rFonts w:ascii="Garamond" w:hAnsi="Garamond" w:cs="Times New Roman"/>
          <w:sz w:val="24"/>
          <w:szCs w:val="24"/>
        </w:rPr>
        <w:t xml:space="preserve"> the remarkable disparity between the value added to the chocolate industry by Ivorian producers and multinational manufacturers. As</w:t>
      </w:r>
      <w:r w:rsidRPr="00473B8C">
        <w:rPr>
          <w:rFonts w:ascii="Garamond" w:eastAsia="Times New Roman" w:hAnsi="Garamond" w:cs="Times New Roman"/>
          <w:sz w:val="24"/>
          <w:szCs w:val="24"/>
          <w:lang w:val="en-US"/>
        </w:rPr>
        <w:t xml:space="preserve"> the global chocolate industry is buyer led (Fold, 2002), the lead firms in the commodity chain outsource industrial production and concentrate their resources on marke</w:t>
      </w:r>
      <w:r>
        <w:rPr>
          <w:rFonts w:ascii="Garamond" w:eastAsia="Times New Roman" w:hAnsi="Garamond" w:cs="Times New Roman"/>
          <w:sz w:val="24"/>
          <w:szCs w:val="24"/>
          <w:lang w:val="en-US"/>
        </w:rPr>
        <w:t>ting and branding (</w:t>
      </w:r>
      <w:r w:rsidRPr="00473B8C">
        <w:rPr>
          <w:rFonts w:ascii="Garamond" w:eastAsia="Times New Roman" w:hAnsi="Garamond" w:cs="Times New Roman"/>
          <w:sz w:val="24"/>
          <w:szCs w:val="24"/>
          <w:lang w:val="en-US"/>
        </w:rPr>
        <w:t>Bern</w:t>
      </w:r>
      <w:r>
        <w:rPr>
          <w:rFonts w:ascii="Garamond" w:eastAsia="Times New Roman" w:hAnsi="Garamond" w:cs="Times New Roman"/>
          <w:sz w:val="24"/>
          <w:szCs w:val="24"/>
          <w:lang w:val="en-US"/>
        </w:rPr>
        <w:t>s</w:t>
      </w:r>
      <w:r w:rsidRPr="00473B8C">
        <w:rPr>
          <w:rFonts w:ascii="Garamond" w:eastAsia="Times New Roman" w:hAnsi="Garamond" w:cs="Times New Roman"/>
          <w:sz w:val="24"/>
          <w:szCs w:val="24"/>
          <w:lang w:val="en-US"/>
        </w:rPr>
        <w:t xml:space="preserve">tein </w:t>
      </w:r>
      <w:r w:rsidR="00F152DB">
        <w:rPr>
          <w:rFonts w:ascii="Garamond" w:eastAsia="Times New Roman" w:hAnsi="Garamond" w:cs="Times New Roman"/>
          <w:sz w:val="24"/>
          <w:szCs w:val="24"/>
          <w:lang w:val="en-US"/>
        </w:rPr>
        <w:t>and</w:t>
      </w:r>
      <w:r w:rsidRPr="00473B8C">
        <w:rPr>
          <w:rFonts w:ascii="Garamond" w:eastAsia="Times New Roman" w:hAnsi="Garamond" w:cs="Times New Roman"/>
          <w:sz w:val="24"/>
          <w:szCs w:val="24"/>
          <w:lang w:val="en-US"/>
        </w:rPr>
        <w:t xml:space="preserve"> Campling, 2002)</w:t>
      </w:r>
      <w:r>
        <w:rPr>
          <w:rFonts w:ascii="Garamond" w:eastAsia="Times New Roman" w:hAnsi="Garamond" w:cs="Times New Roman"/>
          <w:sz w:val="24"/>
          <w:szCs w:val="24"/>
          <w:lang w:val="en-US"/>
        </w:rPr>
        <w:t xml:space="preserve">. </w:t>
      </w:r>
      <w:r w:rsidRPr="00473B8C">
        <w:rPr>
          <w:rFonts w:ascii="Garamond" w:eastAsia="Times New Roman" w:hAnsi="Garamond" w:cs="Times New Roman"/>
          <w:sz w:val="24"/>
          <w:szCs w:val="24"/>
          <w:lang w:val="en-US"/>
        </w:rPr>
        <w:t>Thus the chocolate industry is an ardent exponent of Western power, and the material and symbolic production of chocolate structurally fixes power along familiar regional boundaries and racial lines. Far from being a case of</w:t>
      </w:r>
      <w:r w:rsidRPr="00473B8C">
        <w:rPr>
          <w:rFonts w:ascii="Garamond" w:hAnsi="Garamond" w:cs="Times New Roman"/>
          <w:sz w:val="24"/>
          <w:szCs w:val="24"/>
        </w:rPr>
        <w:t xml:space="preserve"> ‘Africa falling out of the global economy’ (Agnew </w:t>
      </w:r>
      <w:r w:rsidR="00F152DB">
        <w:rPr>
          <w:rFonts w:ascii="Garamond" w:hAnsi="Garamond" w:cs="Times New Roman"/>
          <w:sz w:val="24"/>
          <w:szCs w:val="24"/>
        </w:rPr>
        <w:t>and</w:t>
      </w:r>
      <w:r w:rsidRPr="00473B8C">
        <w:rPr>
          <w:rFonts w:ascii="Garamond" w:hAnsi="Garamond" w:cs="Times New Roman"/>
          <w:sz w:val="24"/>
          <w:szCs w:val="24"/>
        </w:rPr>
        <w:t xml:space="preserve"> Grant, 1997), the Ivorian producer is kept out of the chocolate economy. The restructuring of manufacturing processes in the North and the neo-liberalization of the cocoa industry have occurred simultaneously with the restructuring of Ivorian cocoa </w:t>
      </w:r>
      <w:r>
        <w:rPr>
          <w:rFonts w:ascii="Garamond" w:hAnsi="Garamond" w:cs="Times New Roman"/>
          <w:sz w:val="24"/>
          <w:szCs w:val="24"/>
        </w:rPr>
        <w:t xml:space="preserve">agricultural </w:t>
      </w:r>
      <w:r w:rsidRPr="00473B8C">
        <w:rPr>
          <w:rFonts w:ascii="Garamond" w:hAnsi="Garamond" w:cs="Times New Roman"/>
          <w:sz w:val="24"/>
          <w:szCs w:val="24"/>
        </w:rPr>
        <w:t>production</w:t>
      </w:r>
      <w:r>
        <w:rPr>
          <w:rFonts w:ascii="Garamond" w:hAnsi="Garamond" w:cs="Times New Roman"/>
          <w:sz w:val="24"/>
          <w:szCs w:val="24"/>
        </w:rPr>
        <w:t xml:space="preserve">. </w:t>
      </w:r>
      <w:r w:rsidRPr="00473B8C">
        <w:rPr>
          <w:rFonts w:ascii="Garamond" w:hAnsi="Garamond" w:cs="Times New Roman"/>
          <w:sz w:val="24"/>
          <w:szCs w:val="24"/>
        </w:rPr>
        <w:t>Neils Fold argues that the transnational takeover of the Ivorian cocoa export industry combined with the eradication of cocoa origin specific premiums, have led to increased pressure on smallholder farmers to maintain global competitiveness</w:t>
      </w:r>
      <w:r>
        <w:rPr>
          <w:rFonts w:ascii="Garamond" w:hAnsi="Garamond" w:cs="Times New Roman"/>
          <w:sz w:val="24"/>
          <w:szCs w:val="24"/>
        </w:rPr>
        <w:t xml:space="preserve"> (Fold, 2002)</w:t>
      </w:r>
      <w:r w:rsidRPr="00473B8C">
        <w:rPr>
          <w:rFonts w:ascii="Garamond" w:hAnsi="Garamond" w:cs="Times New Roman"/>
          <w:sz w:val="24"/>
          <w:szCs w:val="24"/>
        </w:rPr>
        <w:t>.</w:t>
      </w:r>
      <w:r>
        <w:rPr>
          <w:rFonts w:ascii="Garamond" w:hAnsi="Garamond" w:cs="Times New Roman"/>
          <w:sz w:val="24"/>
          <w:szCs w:val="24"/>
        </w:rPr>
        <w:t xml:space="preserve"> As most farms in the Ivorian cocoa industry are smallholdings rather than part of large collectives, I asked STT how competitive fair trade standards can be met by these farmers:</w:t>
      </w:r>
    </w:p>
    <w:p w:rsidR="00A05ED2" w:rsidRDefault="00A05ED2" w:rsidP="00A05ED2">
      <w:pPr>
        <w:spacing w:after="0" w:line="360" w:lineRule="auto"/>
        <w:jc w:val="both"/>
        <w:rPr>
          <w:rFonts w:ascii="Garamond" w:hAnsi="Garamond" w:cs="Times New Roman"/>
          <w:sz w:val="24"/>
          <w:szCs w:val="24"/>
        </w:rPr>
      </w:pPr>
    </w:p>
    <w:p w:rsidR="00A05ED2" w:rsidRPr="000639EA" w:rsidRDefault="00A05ED2" w:rsidP="00A05ED2">
      <w:pPr>
        <w:spacing w:line="360" w:lineRule="auto"/>
        <w:ind w:left="284" w:right="284"/>
        <w:jc w:val="both"/>
        <w:rPr>
          <w:rFonts w:ascii="Garamond" w:hAnsi="Garamond" w:cs="Times New Roman"/>
        </w:rPr>
      </w:pPr>
      <w:r>
        <w:rPr>
          <w:rFonts w:ascii="Garamond" w:hAnsi="Garamond" w:cs="Times New Roman"/>
        </w:rPr>
        <w:lastRenderedPageBreak/>
        <w:t>HUGH</w:t>
      </w:r>
      <w:r w:rsidRPr="000639EA">
        <w:rPr>
          <w:rFonts w:ascii="Garamond" w:hAnsi="Garamond" w:cs="Times New Roman"/>
        </w:rPr>
        <w:t>: How can fair trade practices be implemented in smallholder farms without people losing their jobs? One of the criticisms fair trade labelling is that farmers and producers won’t be able to meet the standards, and be out of a job.</w:t>
      </w:r>
    </w:p>
    <w:p w:rsidR="00A05ED2" w:rsidRDefault="00A05ED2" w:rsidP="00A05ED2">
      <w:pPr>
        <w:spacing w:line="360" w:lineRule="auto"/>
        <w:ind w:left="284" w:right="284"/>
        <w:jc w:val="both"/>
        <w:rPr>
          <w:rFonts w:ascii="Garamond" w:hAnsi="Garamond" w:cs="Times New Roman"/>
        </w:rPr>
      </w:pPr>
      <w:r>
        <w:rPr>
          <w:rFonts w:ascii="Garamond" w:hAnsi="Garamond" w:cs="Times New Roman"/>
        </w:rPr>
        <w:t>ANTONIE</w:t>
      </w:r>
      <w:r w:rsidRPr="000639EA">
        <w:rPr>
          <w:rFonts w:ascii="Garamond" w:hAnsi="Garamond" w:cs="Times New Roman"/>
        </w:rPr>
        <w:t xml:space="preserve">: Then you have to improve your standards. Because the problem is, standards are based on the idea of treat your workers properly, give them a decent wage etc, If you can’t do that your just being a bad employer. And the reason you’re a bad employer might be the circumstances, the global economy your working in, and that’s what we are trying to change on many different levels. Where it does get hard for a producer to meet the standards is when he’s illiterate, for example. How can you do stuff on that. I do know  Fairtrade are working on that. And there are cases when Fairtrade have got stuff wrong over the years. There are valid criticisms, but that’s the case for every certification scheme. And I’m happy that we are working together on what they call a covenant at the moment, to actually have a joint process for getting certified, for certifiers, there’s a good practice there and working together on a pre competitive level. What would be good for Fairtrade would be to open </w:t>
      </w:r>
      <w:r>
        <w:rPr>
          <w:rFonts w:ascii="Garamond" w:hAnsi="Garamond" w:cs="Times New Roman"/>
        </w:rPr>
        <w:t>themselves up to non-co-operatiz</w:t>
      </w:r>
      <w:r w:rsidRPr="000639EA">
        <w:rPr>
          <w:rFonts w:ascii="Garamond" w:hAnsi="Garamond" w:cs="Times New Roman"/>
        </w:rPr>
        <w:t>ed farmers, which means they will probably have to start working together in smaller groups in a non-co-operative level because you just can’t have Fairtrade on an individual farm to farm process, it would just make it too expensive.</w:t>
      </w:r>
    </w:p>
    <w:p w:rsidR="00A05ED2" w:rsidRPr="000639EA" w:rsidRDefault="00A05ED2" w:rsidP="00A05ED2">
      <w:pPr>
        <w:spacing w:line="360" w:lineRule="auto"/>
        <w:ind w:left="284" w:right="284"/>
        <w:jc w:val="both"/>
        <w:rPr>
          <w:rFonts w:ascii="Garamond" w:hAnsi="Garamond" w:cs="Times New Roman"/>
        </w:rPr>
      </w:pPr>
      <w:r>
        <w:rPr>
          <w:rFonts w:ascii="Garamond" w:hAnsi="Garamond" w:cs="Times New Roman"/>
        </w:rPr>
        <w:t>(Interview Fountain 2011)</w:t>
      </w:r>
    </w:p>
    <w:p w:rsidR="00A05ED2" w:rsidRPr="00D65168" w:rsidRDefault="00A05ED2" w:rsidP="00A05ED2">
      <w:pPr>
        <w:spacing w:after="0" w:line="360" w:lineRule="auto"/>
        <w:ind w:left="284" w:right="284"/>
        <w:jc w:val="both"/>
        <w:rPr>
          <w:rFonts w:ascii="Garamond" w:hAnsi="Garamond" w:cs="Times New Roman"/>
          <w:sz w:val="24"/>
          <w:szCs w:val="24"/>
        </w:rPr>
      </w:pPr>
    </w:p>
    <w:p w:rsidR="00A05ED2" w:rsidRDefault="00A05ED2" w:rsidP="00A05ED2">
      <w:pPr>
        <w:autoSpaceDE w:val="0"/>
        <w:autoSpaceDN w:val="0"/>
        <w:adjustRightInd w:val="0"/>
        <w:spacing w:after="0" w:line="360" w:lineRule="auto"/>
        <w:jc w:val="both"/>
        <w:rPr>
          <w:rFonts w:ascii="Garamond" w:eastAsia="Times New Roman" w:hAnsi="Garamond" w:cs="Times New Roman"/>
          <w:sz w:val="24"/>
          <w:szCs w:val="24"/>
          <w:lang w:val="en-US"/>
        </w:rPr>
      </w:pPr>
      <w:r>
        <w:rPr>
          <w:rFonts w:ascii="Garamond" w:eastAsia="Times New Roman" w:hAnsi="Garamond" w:cs="Times New Roman"/>
          <w:sz w:val="24"/>
          <w:szCs w:val="24"/>
          <w:lang w:val="en-US"/>
        </w:rPr>
        <w:t xml:space="preserve">Fountain contests that STT lobby FLOs including the Fairtrade Foundation to work with small cocoa collectives so that smallholdings are given a better opportunity of improving their standards of production. This works against the industry imperative to keep cocoa prices below the threshold that provides farmers with a decent working salary. </w:t>
      </w:r>
      <w:r w:rsidRPr="00473B8C">
        <w:rPr>
          <w:rFonts w:ascii="Garamond" w:eastAsia="Times New Roman" w:hAnsi="Garamond" w:cs="Times New Roman"/>
          <w:sz w:val="24"/>
          <w:szCs w:val="24"/>
          <w:lang w:val="en-US"/>
        </w:rPr>
        <w:t xml:space="preserve">Chocolate grinding and processing firms in the global North benefit from the extraordinarily low farm-gate price of cocoa, and nurture a willing ignorance and devolved sense of responsibility (assisted by the merchant contract outsourcing of grinding activities) over the conditions of informal and migrant labour on farms in the </w:t>
      </w:r>
      <w:r>
        <w:rPr>
          <w:rFonts w:ascii="Garamond" w:eastAsia="Times New Roman" w:hAnsi="Garamond" w:cs="Times New Roman"/>
          <w:sz w:val="24"/>
          <w:szCs w:val="24"/>
          <w:lang w:val="en-US"/>
        </w:rPr>
        <w:t>Côte</w:t>
      </w:r>
      <w:r w:rsidRPr="00473B8C">
        <w:rPr>
          <w:rFonts w:ascii="Garamond" w:eastAsia="Times New Roman" w:hAnsi="Garamond" w:cs="Times New Roman"/>
          <w:sz w:val="24"/>
          <w:szCs w:val="24"/>
          <w:lang w:val="en-US"/>
        </w:rPr>
        <w:t xml:space="preserve"> D’Ivoire, Ghana, Nigeria and Cameroon. The Ivorian cocoa farmer</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and Malian and </w:t>
      </w:r>
      <w:r w:rsidRPr="00473B8C">
        <w:rPr>
          <w:rFonts w:ascii="Garamond" w:eastAsia="Times New Roman" w:hAnsi="Garamond" w:cs="Times New Roman"/>
          <w:sz w:val="24"/>
          <w:szCs w:val="24"/>
          <w:lang w:eastAsia="en-GB"/>
        </w:rPr>
        <w:t>Burkinabé labourers</w:t>
      </w:r>
      <w:r>
        <w:rPr>
          <w:rFonts w:ascii="Garamond" w:eastAsia="Times New Roman" w:hAnsi="Garamond" w:cs="Times New Roman"/>
          <w:sz w:val="24"/>
          <w:szCs w:val="24"/>
          <w:lang w:eastAsia="en-GB"/>
        </w:rPr>
        <w:t>,</w:t>
      </w:r>
      <w:r w:rsidRPr="00473B8C">
        <w:rPr>
          <w:rFonts w:ascii="Garamond" w:eastAsia="Times New Roman" w:hAnsi="Garamond" w:cs="Times New Roman"/>
          <w:sz w:val="24"/>
          <w:szCs w:val="24"/>
          <w:lang w:val="en-US"/>
        </w:rPr>
        <w:t xml:space="preserve"> are actively impoverished through the imposition of a range of high taxes</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political instability, civil war, racial discrimination and military intervention manifested by illegal roadblocks adding additional 35% tax in May 2012 (Aboa, 2012), and the traditions of complex racialized internal trading systems. For example</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w:t>
      </w:r>
      <w:r w:rsidRPr="00473B8C">
        <w:rPr>
          <w:rFonts w:ascii="Garamond" w:eastAsia="Times New Roman" w:hAnsi="Garamond" w:cs="Times New Roman"/>
          <w:sz w:val="24"/>
          <w:szCs w:val="24"/>
          <w:lang w:eastAsia="en-GB"/>
        </w:rPr>
        <w:t xml:space="preserve">Varangis </w:t>
      </w:r>
      <w:r>
        <w:rPr>
          <w:rFonts w:ascii="Garamond" w:eastAsia="Times New Roman" w:hAnsi="Garamond" w:cs="Times New Roman"/>
          <w:sz w:val="24"/>
          <w:szCs w:val="24"/>
          <w:lang w:eastAsia="en-GB"/>
        </w:rPr>
        <w:t>and</w:t>
      </w:r>
      <w:r w:rsidRPr="00473B8C">
        <w:rPr>
          <w:rFonts w:ascii="Garamond" w:eastAsia="Times New Roman" w:hAnsi="Garamond" w:cs="Times New Roman"/>
          <w:sz w:val="24"/>
          <w:szCs w:val="24"/>
          <w:lang w:eastAsia="en-GB"/>
        </w:rPr>
        <w:t xml:space="preserve"> Schreiber (2001) blame</w:t>
      </w:r>
      <w:r w:rsidRPr="00473B8C">
        <w:rPr>
          <w:rFonts w:ascii="Garamond" w:eastAsia="Times New Roman" w:hAnsi="Garamond" w:cs="Times New Roman"/>
          <w:sz w:val="24"/>
          <w:szCs w:val="24"/>
          <w:lang w:val="en-US"/>
        </w:rPr>
        <w:t xml:space="preserve"> Lebanese traders in the </w:t>
      </w:r>
      <w:r>
        <w:rPr>
          <w:rFonts w:ascii="Garamond" w:eastAsia="Times New Roman" w:hAnsi="Garamond" w:cs="Times New Roman"/>
          <w:sz w:val="24"/>
          <w:szCs w:val="24"/>
          <w:lang w:val="en-US"/>
        </w:rPr>
        <w:t>Côte</w:t>
      </w:r>
      <w:r w:rsidRPr="00473B8C">
        <w:rPr>
          <w:rFonts w:ascii="Garamond" w:eastAsia="Times New Roman" w:hAnsi="Garamond" w:cs="Times New Roman"/>
          <w:sz w:val="24"/>
          <w:szCs w:val="24"/>
          <w:lang w:val="en-US"/>
        </w:rPr>
        <w:t xml:space="preserve"> D’Ivoire for decreasing the international value and reputation of Ivorian cocoa by mixing low with high quality beans </w:t>
      </w:r>
      <w:r w:rsidRPr="00473B8C">
        <w:rPr>
          <w:rFonts w:ascii="Garamond" w:eastAsia="Times New Roman" w:hAnsi="Garamond" w:cs="Times New Roman"/>
          <w:sz w:val="24"/>
          <w:szCs w:val="24"/>
          <w:lang w:val="en-US"/>
        </w:rPr>
        <w:lastRenderedPageBreak/>
        <w:t xml:space="preserve">in search for a quick profit. These white traders, known as ‘traitants’ (‘traitant’ directly translates from French as subcontractor, but tellingly ‘traite’ also connotes milking), are assisted by </w:t>
      </w:r>
      <w:r w:rsidRPr="00473B8C">
        <w:rPr>
          <w:rFonts w:ascii="Garamond" w:eastAsia="Times New Roman" w:hAnsi="Garamond" w:cs="Times New Roman"/>
          <w:sz w:val="24"/>
          <w:szCs w:val="24"/>
          <w:lang w:eastAsia="en-GB"/>
        </w:rPr>
        <w:t>Burkinabé,</w:t>
      </w:r>
      <w:r w:rsidRPr="00473B8C">
        <w:rPr>
          <w:rFonts w:ascii="Garamond" w:eastAsia="Times New Roman" w:hAnsi="Garamond" w:cs="Times New Roman"/>
          <w:sz w:val="24"/>
          <w:szCs w:val="24"/>
          <w:lang w:val="en-US"/>
        </w:rPr>
        <w:t xml:space="preserve"> Malian or Ivorian ‘pisteurs’ (path-finders) who buy cocoa from farmers for the traitants at village prices. The Lebanese traders combine different grades of cocoa, and trade it to grinding firms in the ports at the international price (Peleikis, 2003).</w:t>
      </w:r>
    </w:p>
    <w:p w:rsidR="00A05ED2" w:rsidRDefault="00A05ED2" w:rsidP="00A05ED2">
      <w:pPr>
        <w:autoSpaceDE w:val="0"/>
        <w:autoSpaceDN w:val="0"/>
        <w:adjustRightInd w:val="0"/>
        <w:spacing w:after="0" w:line="360" w:lineRule="auto"/>
        <w:jc w:val="both"/>
        <w:rPr>
          <w:rFonts w:ascii="Garamond" w:eastAsia="Times New Roman" w:hAnsi="Garamond" w:cs="Times New Roman"/>
          <w:sz w:val="24"/>
          <w:szCs w:val="24"/>
          <w:lang w:val="en-US"/>
        </w:rPr>
      </w:pPr>
    </w:p>
    <w:p w:rsidR="00A05ED2" w:rsidRPr="00473B8C" w:rsidRDefault="00A05ED2" w:rsidP="00A05ED2">
      <w:pPr>
        <w:autoSpaceDE w:val="0"/>
        <w:autoSpaceDN w:val="0"/>
        <w:adjustRightInd w:val="0"/>
        <w:spacing w:after="0" w:line="360" w:lineRule="auto"/>
        <w:jc w:val="both"/>
        <w:rPr>
          <w:rFonts w:ascii="Garamond" w:hAnsi="Garamond" w:cs="Times New Roman"/>
          <w:sz w:val="24"/>
          <w:szCs w:val="24"/>
        </w:rPr>
      </w:pPr>
      <w:r w:rsidRPr="00473B8C">
        <w:rPr>
          <w:rFonts w:ascii="Garamond" w:eastAsia="Times New Roman" w:hAnsi="Garamond" w:cs="Times New Roman"/>
          <w:sz w:val="24"/>
          <w:szCs w:val="24"/>
          <w:lang w:val="en-US"/>
        </w:rPr>
        <w:t xml:space="preserve">The ambitions of farmer collectives and the </w:t>
      </w:r>
      <w:r w:rsidRPr="00473B8C">
        <w:rPr>
          <w:rFonts w:ascii="Garamond" w:hAnsi="Garamond" w:cs="Times New Roman"/>
          <w:sz w:val="24"/>
          <w:szCs w:val="24"/>
        </w:rPr>
        <w:t>national marketing board, the Cocoa and Coffee Council (CCC),</w:t>
      </w:r>
      <w:r w:rsidRPr="00473B8C">
        <w:rPr>
          <w:rFonts w:ascii="Garamond" w:eastAsia="Times New Roman" w:hAnsi="Garamond" w:cs="Times New Roman"/>
          <w:sz w:val="24"/>
          <w:szCs w:val="24"/>
          <w:lang w:val="en-US"/>
        </w:rPr>
        <w:t xml:space="preserve"> to invest in fixed capital for upgrading are </w:t>
      </w:r>
      <w:r>
        <w:rPr>
          <w:rFonts w:ascii="Garamond" w:eastAsia="Times New Roman" w:hAnsi="Garamond" w:cs="Times New Roman"/>
          <w:sz w:val="24"/>
          <w:szCs w:val="24"/>
          <w:lang w:val="en-US"/>
        </w:rPr>
        <w:t xml:space="preserve">further </w:t>
      </w:r>
      <w:r w:rsidRPr="00473B8C">
        <w:rPr>
          <w:rFonts w:ascii="Garamond" w:eastAsia="Times New Roman" w:hAnsi="Garamond" w:cs="Times New Roman"/>
          <w:sz w:val="24"/>
          <w:szCs w:val="24"/>
          <w:lang w:val="en-US"/>
        </w:rPr>
        <w:t xml:space="preserve">hampered by several </w:t>
      </w:r>
      <w:r>
        <w:rPr>
          <w:rFonts w:ascii="Garamond" w:eastAsia="Times New Roman" w:hAnsi="Garamond" w:cs="Times New Roman"/>
          <w:sz w:val="24"/>
          <w:szCs w:val="24"/>
          <w:lang w:val="en-US"/>
        </w:rPr>
        <w:t xml:space="preserve">international </w:t>
      </w:r>
      <w:r w:rsidRPr="00473B8C">
        <w:rPr>
          <w:rFonts w:ascii="Garamond" w:eastAsia="Times New Roman" w:hAnsi="Garamond" w:cs="Times New Roman"/>
          <w:sz w:val="24"/>
          <w:szCs w:val="24"/>
          <w:lang w:val="en-US"/>
        </w:rPr>
        <w:t>barriers</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including a graded European import duty tax that penalizes African attempts to enter the value chain for chocolate and invest in fixed capital for processing cocoa. For example</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in 2004 the European import tax for raw cocoa was 0.5%, compared to 9.7 % for cocoa butter and 30.4% for finished chocolate (ul Haque, 2004). Consequently the largest profit margins are held in European and American hands where places of chocolate’s physical production (storing, grinding and processing centers) and its meaning generation (branding firms) are owned. </w:t>
      </w:r>
      <w:r w:rsidRPr="00473B8C">
        <w:rPr>
          <w:rFonts w:ascii="Garamond" w:hAnsi="Garamond" w:cs="Times New Roman"/>
          <w:sz w:val="24"/>
          <w:szCs w:val="24"/>
        </w:rPr>
        <w:t xml:space="preserve">The material effects of decisions made on import tariffs and trade agreements between regional ‘free markets’ are magnified for those living outside of these territories. </w:t>
      </w:r>
      <w:r>
        <w:rPr>
          <w:rFonts w:ascii="Garamond" w:hAnsi="Garamond" w:cs="Times New Roman"/>
          <w:sz w:val="24"/>
          <w:szCs w:val="24"/>
        </w:rPr>
        <w:t>Thus, e</w:t>
      </w:r>
      <w:r w:rsidRPr="00473B8C">
        <w:rPr>
          <w:rFonts w:ascii="Garamond" w:hAnsi="Garamond" w:cs="Times New Roman"/>
          <w:sz w:val="24"/>
          <w:szCs w:val="24"/>
        </w:rPr>
        <w:t>thnic or racial affiliation largely determines whether you are governed biopolitically (where you are preserved and facilitated as an individual sovereign subject) or necropolitically (in “a space of negation and the socially dead, produced by expropriations and alienations in and ou</w:t>
      </w:r>
      <w:r>
        <w:rPr>
          <w:rFonts w:ascii="Garamond" w:hAnsi="Garamond" w:cs="Times New Roman"/>
          <w:sz w:val="24"/>
          <w:szCs w:val="24"/>
        </w:rPr>
        <w:t xml:space="preserve">tside European nation-states” – </w:t>
      </w:r>
      <w:r w:rsidRPr="00473B8C">
        <w:rPr>
          <w:rFonts w:ascii="Garamond" w:hAnsi="Garamond" w:cs="Times New Roman"/>
          <w:sz w:val="24"/>
          <w:szCs w:val="24"/>
        </w:rPr>
        <w:t xml:space="preserve">Nast </w:t>
      </w:r>
      <w:r w:rsidR="00F152DB">
        <w:rPr>
          <w:rFonts w:ascii="Garamond" w:hAnsi="Garamond" w:cs="Times New Roman"/>
          <w:sz w:val="24"/>
          <w:szCs w:val="24"/>
        </w:rPr>
        <w:t>and</w:t>
      </w:r>
      <w:r>
        <w:rPr>
          <w:rFonts w:ascii="Garamond" w:hAnsi="Garamond" w:cs="Times New Roman"/>
          <w:sz w:val="24"/>
          <w:szCs w:val="24"/>
        </w:rPr>
        <w:t xml:space="preserve"> McInt</w:t>
      </w:r>
      <w:r w:rsidRPr="00473B8C">
        <w:rPr>
          <w:rFonts w:ascii="Garamond" w:hAnsi="Garamond" w:cs="Times New Roman"/>
          <w:sz w:val="24"/>
          <w:szCs w:val="24"/>
        </w:rPr>
        <w:t xml:space="preserve">yre, 2011: 1467). </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The CCC has imposed several regulations on the international trading of cocoa aimed at reversing some of the debilitating trends of recent neo-liberal reforms. From 2012 multinational grinder firms must pre-order their cocoa during daily auctions held throughout the year; in theory this should reduce the impact of market volatility of cocoa farmers. In the words of Mamadou Koné, the lead</w:t>
      </w:r>
      <w:r>
        <w:rPr>
          <w:rFonts w:ascii="Garamond" w:hAnsi="Garamond" w:cs="Times New Roman"/>
          <w:sz w:val="24"/>
          <w:szCs w:val="24"/>
        </w:rPr>
        <w:t>er of a farmer co-operative in W</w:t>
      </w:r>
      <w:r w:rsidRPr="00473B8C">
        <w:rPr>
          <w:rFonts w:ascii="Garamond" w:hAnsi="Garamond" w:cs="Times New Roman"/>
          <w:sz w:val="24"/>
          <w:szCs w:val="24"/>
        </w:rPr>
        <w:t xml:space="preserve">estern </w:t>
      </w:r>
      <w:r>
        <w:rPr>
          <w:rFonts w:ascii="Garamond" w:hAnsi="Garamond" w:cs="Times New Roman"/>
          <w:sz w:val="24"/>
          <w:szCs w:val="24"/>
        </w:rPr>
        <w:t>Côte</w:t>
      </w:r>
      <w:r w:rsidRPr="00473B8C">
        <w:rPr>
          <w:rFonts w:ascii="Garamond" w:hAnsi="Garamond" w:cs="Times New Roman"/>
          <w:sz w:val="24"/>
          <w:szCs w:val="24"/>
        </w:rPr>
        <w:t xml:space="preserve"> D’Ivoire, the reforms should stop farmers from </w:t>
      </w:r>
      <w:r>
        <w:rPr>
          <w:rFonts w:ascii="Garamond" w:hAnsi="Garamond" w:cs="Times New Roman"/>
          <w:sz w:val="24"/>
          <w:szCs w:val="24"/>
        </w:rPr>
        <w:t>“</w:t>
      </w:r>
      <w:r w:rsidRPr="00473B8C">
        <w:rPr>
          <w:rFonts w:ascii="Garamond" w:hAnsi="Garamond" w:cs="Times New Roman"/>
          <w:sz w:val="24"/>
          <w:szCs w:val="24"/>
        </w:rPr>
        <w:t>being delivered to the fluctuation of the international market… with a minimum price to refer to each season, we can better plan for the future</w:t>
      </w:r>
      <w:r w:rsidRPr="00330CF9">
        <w:rPr>
          <w:rFonts w:ascii="Garamond" w:hAnsi="Garamond" w:cs="Times New Roman"/>
          <w:sz w:val="24"/>
          <w:szCs w:val="24"/>
        </w:rPr>
        <w:t>”</w:t>
      </w:r>
      <w:r>
        <w:rPr>
          <w:rFonts w:ascii="Garamond" w:hAnsi="Garamond" w:cs="Times New Roman"/>
          <w:sz w:val="24"/>
          <w:szCs w:val="24"/>
        </w:rPr>
        <w:t xml:space="preserve"> </w:t>
      </w:r>
      <w:r w:rsidRPr="00330CF9">
        <w:rPr>
          <w:rFonts w:ascii="Garamond" w:hAnsi="Garamond" w:cs="Times New Roman"/>
          <w:sz w:val="24"/>
          <w:szCs w:val="24"/>
        </w:rPr>
        <w:t>(Irin News</w:t>
      </w:r>
      <w:r>
        <w:rPr>
          <w:rFonts w:ascii="Garamond" w:hAnsi="Garamond" w:cs="Times New Roman"/>
          <w:sz w:val="24"/>
          <w:szCs w:val="24"/>
        </w:rPr>
        <w:t>, 2011</w:t>
      </w:r>
      <w:r w:rsidRPr="00330CF9">
        <w:rPr>
          <w:rFonts w:ascii="Garamond" w:hAnsi="Garamond" w:cs="Times New Roman"/>
          <w:sz w:val="24"/>
          <w:szCs w:val="24"/>
        </w:rPr>
        <w:t>)</w:t>
      </w:r>
      <w:r>
        <w:rPr>
          <w:rFonts w:ascii="Garamond" w:hAnsi="Garamond" w:cs="Times New Roman"/>
          <w:sz w:val="24"/>
          <w:szCs w:val="24"/>
        </w:rPr>
        <w:t>.</w:t>
      </w:r>
      <w:r w:rsidRPr="00330CF9">
        <w:rPr>
          <w:rStyle w:val="FootnoteReference"/>
          <w:rFonts w:cs="Times New Roman"/>
          <w:sz w:val="24"/>
          <w:szCs w:val="24"/>
        </w:rPr>
        <w:footnoteReference w:id="139"/>
      </w:r>
      <w:r w:rsidRPr="00473B8C">
        <w:rPr>
          <w:rFonts w:ascii="Garamond" w:hAnsi="Garamond" w:cs="Times New Roman"/>
          <w:sz w:val="24"/>
          <w:szCs w:val="24"/>
        </w:rPr>
        <w:t xml:space="preserve"> Negotiations are being made to set a guaranteed price for farmers and an export price for cocoa</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T</w:t>
      </w:r>
      <w:r w:rsidRPr="00473B8C">
        <w:rPr>
          <w:rFonts w:ascii="Garamond" w:hAnsi="Garamond" w:cs="Times New Roman"/>
          <w:sz w:val="24"/>
          <w:szCs w:val="24"/>
        </w:rPr>
        <w:t xml:space="preserve">he Ivorian ‘discount’ for inferior beans has been abolished, and traders will be forced to pay a fixed rate. This </w:t>
      </w:r>
      <w:r w:rsidRPr="00473B8C">
        <w:rPr>
          <w:rFonts w:ascii="Garamond" w:hAnsi="Garamond" w:cs="Times New Roman"/>
          <w:sz w:val="24"/>
          <w:szCs w:val="24"/>
        </w:rPr>
        <w:lastRenderedPageBreak/>
        <w:t xml:space="preserve">contrasts with the export prices that were set by market traders in London over the last fifteen years. Controversial plans to provide tax incentives to multinational grinding activities in the </w:t>
      </w:r>
      <w:r>
        <w:rPr>
          <w:rFonts w:ascii="Garamond" w:hAnsi="Garamond" w:cs="Times New Roman"/>
          <w:sz w:val="24"/>
          <w:szCs w:val="24"/>
        </w:rPr>
        <w:t>Côte</w:t>
      </w:r>
      <w:r w:rsidRPr="00473B8C">
        <w:rPr>
          <w:rFonts w:ascii="Garamond" w:hAnsi="Garamond" w:cs="Times New Roman"/>
          <w:sz w:val="24"/>
          <w:szCs w:val="24"/>
        </w:rPr>
        <w:t xml:space="preserve"> D’Ivoire have been revealed (adding competition to grinding operations based in Europe), and the CCC have launched a ‘stabilization fund’ to account for the discrepancy between the price paid to farmers and the export price (ibid</w:t>
      </w:r>
      <w:r>
        <w:rPr>
          <w:rFonts w:ascii="Garamond" w:hAnsi="Garamond" w:cs="Times New Roman"/>
          <w:sz w:val="24"/>
          <w:szCs w:val="24"/>
        </w:rPr>
        <w:t>. 2011</w:t>
      </w:r>
      <w:r w:rsidRPr="00473B8C">
        <w:rPr>
          <w:rFonts w:ascii="Garamond" w:hAnsi="Garamond" w:cs="Times New Roman"/>
          <w:sz w:val="24"/>
          <w:szCs w:val="24"/>
        </w:rPr>
        <w:t>). Early signs are that this fund will stand at $140 million dollars per year</w:t>
      </w:r>
      <w:r>
        <w:rPr>
          <w:rFonts w:ascii="Garamond" w:hAnsi="Garamond" w:cs="Times New Roman"/>
          <w:sz w:val="24"/>
          <w:szCs w:val="24"/>
        </w:rPr>
        <w:t xml:space="preserve"> however,</w:t>
      </w:r>
      <w:r w:rsidRPr="00473B8C">
        <w:rPr>
          <w:rFonts w:ascii="Garamond" w:hAnsi="Garamond" w:cs="Times New Roman"/>
          <w:sz w:val="24"/>
          <w:szCs w:val="24"/>
        </w:rPr>
        <w:t xml:space="preserve"> a figure that represents only a fraction of dif</w:t>
      </w:r>
      <w:r>
        <w:rPr>
          <w:rFonts w:ascii="Garamond" w:hAnsi="Garamond" w:cs="Times New Roman"/>
          <w:sz w:val="24"/>
          <w:szCs w:val="24"/>
        </w:rPr>
        <w:t>ference between the two prices.</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CCC is under intense pressure from up and downstream the value chain. </w:t>
      </w:r>
      <w:r w:rsidRPr="00473B8C">
        <w:rPr>
          <w:rFonts w:ascii="Garamond" w:eastAsia="Times New Roman" w:hAnsi="Garamond" w:cs="Times New Roman"/>
          <w:sz w:val="24"/>
          <w:szCs w:val="24"/>
          <w:lang w:val="en-US"/>
        </w:rPr>
        <w:t>Cocoa auctions to forward sell the 2012/13 crop before the season that began in October 2012 were boycotted by traitants and other internal transporters who claim that the CCC priced the cocoa too low and underestimated the handling cost (including roadblocks) of transporting cocoa from farms to the San Pedro port (Aboa, 2012). Farming collectives are critical of the CCC’s lack of dialogue with producers</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w:t>
      </w:r>
      <w:r w:rsidRPr="00473B8C">
        <w:rPr>
          <w:rFonts w:ascii="Garamond" w:hAnsi="Garamond" w:cs="Times New Roman"/>
          <w:sz w:val="24"/>
          <w:szCs w:val="24"/>
        </w:rPr>
        <w:t>“farmers are at the heart of the industry, so as producer associations, we are recommending that we sit on the board of the n</w:t>
      </w:r>
      <w:r>
        <w:rPr>
          <w:rFonts w:ascii="Garamond" w:hAnsi="Garamond" w:cs="Times New Roman"/>
          <w:sz w:val="24"/>
          <w:szCs w:val="24"/>
        </w:rPr>
        <w:t>ew regulatory structure” (Gervai</w:t>
      </w:r>
      <w:r w:rsidRPr="00473B8C">
        <w:rPr>
          <w:rFonts w:ascii="Garamond" w:hAnsi="Garamond" w:cs="Times New Roman"/>
          <w:sz w:val="24"/>
          <w:szCs w:val="24"/>
        </w:rPr>
        <w:t>s Seri, President of the National Association of Coffee and Cocoa Producers</w:t>
      </w:r>
      <w:r>
        <w:rPr>
          <w:rFonts w:ascii="Garamond" w:hAnsi="Garamond" w:cs="Times New Roman"/>
          <w:sz w:val="24"/>
          <w:szCs w:val="24"/>
        </w:rPr>
        <w:t>, Irin News, 2011)</w:t>
      </w:r>
      <w:r w:rsidRPr="00473B8C">
        <w:rPr>
          <w:rFonts w:ascii="Garamond" w:hAnsi="Garamond" w:cs="Times New Roman"/>
          <w:sz w:val="24"/>
          <w:szCs w:val="24"/>
        </w:rPr>
        <w:t>.</w:t>
      </w:r>
      <w:r w:rsidRPr="00473B8C">
        <w:rPr>
          <w:rFonts w:ascii="Garamond" w:hAnsi="Garamond"/>
        </w:rPr>
        <w:t xml:space="preserve"> </w:t>
      </w:r>
      <w:r w:rsidRPr="00473B8C">
        <w:rPr>
          <w:rFonts w:ascii="Garamond" w:eastAsia="Times New Roman" w:hAnsi="Garamond" w:cs="Times New Roman"/>
          <w:sz w:val="24"/>
          <w:szCs w:val="24"/>
          <w:lang w:val="en-US"/>
        </w:rPr>
        <w:t>Multinational exporters are “worried about how their costs and margins will be factored into the regulated pricing” (</w:t>
      </w:r>
      <w:r>
        <w:rPr>
          <w:rFonts w:ascii="Garamond" w:eastAsia="Times New Roman" w:hAnsi="Garamond" w:cs="Times New Roman"/>
          <w:sz w:val="24"/>
          <w:szCs w:val="24"/>
          <w:lang w:val="en-US"/>
        </w:rPr>
        <w:t xml:space="preserve">Terazono, </w:t>
      </w:r>
      <w:r w:rsidRPr="00473B8C">
        <w:rPr>
          <w:rFonts w:ascii="Garamond" w:eastAsia="Times New Roman" w:hAnsi="Garamond" w:cs="Times New Roman"/>
          <w:sz w:val="24"/>
          <w:szCs w:val="24"/>
          <w:lang w:val="en-US"/>
        </w:rPr>
        <w:t>2012</w:t>
      </w:r>
      <w:r>
        <w:rPr>
          <w:rFonts w:ascii="Garamond" w:eastAsia="Times New Roman" w:hAnsi="Garamond" w:cs="Times New Roman"/>
          <w:sz w:val="24"/>
          <w:szCs w:val="24"/>
          <w:lang w:val="en-US"/>
        </w:rPr>
        <w:t>, n.p.</w:t>
      </w:r>
      <w:r w:rsidRPr="00473B8C">
        <w:rPr>
          <w:rFonts w:ascii="Garamond" w:eastAsia="Times New Roman" w:hAnsi="Garamond" w:cs="Times New Roman"/>
          <w:sz w:val="24"/>
          <w:szCs w:val="24"/>
          <w:lang w:val="en-US"/>
        </w:rPr>
        <w:t xml:space="preserve">), and are resisting the fixed rate for Ivorian cocoa and insist that it does not give them the leverage to perform quality control on the export crop.  For President Ouattara’s nationalization of the cocoa industry to succeed in reducing the poverty and exploitation of farmers, its actions must be backed by the chocolate industry and the international community, and the </w:t>
      </w:r>
      <w:r>
        <w:rPr>
          <w:rFonts w:ascii="Garamond" w:eastAsia="Times New Roman" w:hAnsi="Garamond" w:cs="Times New Roman"/>
          <w:sz w:val="24"/>
          <w:szCs w:val="24"/>
          <w:lang w:val="en-US"/>
        </w:rPr>
        <w:t>racial tensions between Ivorians</w:t>
      </w:r>
      <w:r w:rsidRPr="00473B8C">
        <w:rPr>
          <w:rFonts w:ascii="Garamond" w:eastAsia="Times New Roman" w:hAnsi="Garamond" w:cs="Times New Roman"/>
          <w:sz w:val="24"/>
          <w:szCs w:val="24"/>
          <w:lang w:val="en-US"/>
        </w:rPr>
        <w:t xml:space="preserve"> and the immigrant populations in the cocoa producing areas must cease. Echoing Guthman’s (2007) broad critique on neoliberal labeling schemes as types of governance, it can be hoped these reforms offer the potential for a true ‘Polyanian’ (state regulating) alternative</w:t>
      </w:r>
      <w:r w:rsidRPr="00473B8C">
        <w:rPr>
          <w:rFonts w:ascii="Garamond" w:hAnsi="Garamond" w:cs="Times New Roman"/>
          <w:sz w:val="24"/>
          <w:szCs w:val="24"/>
        </w:rPr>
        <w:t xml:space="preserve"> to</w:t>
      </w:r>
      <w:r w:rsidRPr="00473B8C">
        <w:rPr>
          <w:rFonts w:ascii="Garamond" w:eastAsia="Times New Roman" w:hAnsi="Garamond" w:cs="Times New Roman"/>
          <w:sz w:val="24"/>
          <w:szCs w:val="24"/>
          <w:lang w:val="en-US"/>
        </w:rPr>
        <w:t xml:space="preserve"> </w:t>
      </w:r>
      <w:r w:rsidRPr="00473B8C">
        <w:rPr>
          <w:rFonts w:ascii="Garamond" w:hAnsi="Garamond" w:cs="Times New Roman"/>
          <w:sz w:val="24"/>
          <w:szCs w:val="24"/>
        </w:rPr>
        <w:t>protecting the cocoa farms and migrant labourers from the ravages of</w:t>
      </w:r>
      <w:r w:rsidRPr="00473B8C">
        <w:rPr>
          <w:rFonts w:ascii="Garamond" w:eastAsia="Times New Roman" w:hAnsi="Garamond" w:cs="Times New Roman"/>
          <w:sz w:val="24"/>
          <w:szCs w:val="24"/>
          <w:lang w:val="en-US"/>
        </w:rPr>
        <w:t xml:space="preserve"> </w:t>
      </w:r>
      <w:r w:rsidRPr="00473B8C">
        <w:rPr>
          <w:rFonts w:ascii="Garamond" w:hAnsi="Garamond" w:cs="Times New Roman"/>
          <w:sz w:val="24"/>
          <w:szCs w:val="24"/>
        </w:rPr>
        <w:t xml:space="preserve">the market, and eventually, from primitive accumulation. In Harvey’s </w:t>
      </w:r>
      <w:r>
        <w:rPr>
          <w:rFonts w:ascii="Garamond" w:hAnsi="Garamond" w:cs="Times New Roman"/>
          <w:sz w:val="24"/>
          <w:szCs w:val="24"/>
        </w:rPr>
        <w:t>view</w:t>
      </w:r>
      <w:r w:rsidRPr="00473B8C">
        <w:rPr>
          <w:rFonts w:ascii="Garamond" w:hAnsi="Garamond" w:cs="Times New Roman"/>
          <w:sz w:val="24"/>
          <w:szCs w:val="24"/>
        </w:rPr>
        <w:t xml:space="preserve">, capitalist imperialisms are defined by the tension between territorial and capitalist logics of power; the CCC’s reforms may change this dialectical relationship for the cocoa industry by re-territorializing aspects of cocoa production. However, if the rate of profit declines markedly for multinationals outsourcing their cocoa from the </w:t>
      </w:r>
      <w:r>
        <w:rPr>
          <w:rFonts w:ascii="Garamond" w:hAnsi="Garamond" w:cs="Times New Roman"/>
          <w:sz w:val="24"/>
          <w:szCs w:val="24"/>
        </w:rPr>
        <w:t>Côte</w:t>
      </w:r>
      <w:r w:rsidRPr="00473B8C">
        <w:rPr>
          <w:rFonts w:ascii="Garamond" w:hAnsi="Garamond" w:cs="Times New Roman"/>
          <w:sz w:val="24"/>
          <w:szCs w:val="24"/>
        </w:rPr>
        <w:t xml:space="preserve"> D’Ivoire, they will seek to outsource elsewhere. C</w:t>
      </w:r>
      <w:r w:rsidRPr="00473B8C">
        <w:rPr>
          <w:rFonts w:ascii="Garamond" w:eastAsia="Times New Roman" w:hAnsi="Garamond" w:cs="Times New Roman"/>
          <w:sz w:val="24"/>
          <w:szCs w:val="24"/>
          <w:lang w:val="en-US"/>
        </w:rPr>
        <w:t xml:space="preserve">onsumers in the West have little idea of these potentially distinctive changes to the social relations of cocoa production. </w:t>
      </w:r>
      <w:r w:rsidRPr="00473B8C">
        <w:rPr>
          <w:rFonts w:ascii="Garamond" w:hAnsi="Garamond" w:cs="Times New Roman"/>
          <w:sz w:val="24"/>
          <w:szCs w:val="24"/>
        </w:rPr>
        <w:t xml:space="preserve">Currently, Ivorian dependency on the cocoa industry is matched by global dependency on Ivorian cocoa; </w:t>
      </w:r>
      <w:r w:rsidRPr="00473B8C">
        <w:rPr>
          <w:rFonts w:ascii="Garamond" w:hAnsi="Garamond" w:cs="Times New Roman"/>
          <w:sz w:val="24"/>
          <w:szCs w:val="24"/>
        </w:rPr>
        <w:lastRenderedPageBreak/>
        <w:t>but as multinational capital is footloose, the fear that this balance can shift in only one direction hind</w:t>
      </w:r>
      <w:r>
        <w:rPr>
          <w:rFonts w:ascii="Garamond" w:hAnsi="Garamond" w:cs="Times New Roman"/>
          <w:sz w:val="24"/>
          <w:szCs w:val="24"/>
        </w:rPr>
        <w:t>ers</w:t>
      </w:r>
      <w:r w:rsidRPr="00473B8C">
        <w:rPr>
          <w:rFonts w:ascii="Garamond" w:hAnsi="Garamond" w:cs="Times New Roman"/>
          <w:sz w:val="24"/>
          <w:szCs w:val="24"/>
        </w:rPr>
        <w:t xml:space="preserve"> the diversification of the Ivorian economy. The </w:t>
      </w:r>
      <w:r>
        <w:rPr>
          <w:rFonts w:ascii="Garamond" w:hAnsi="Garamond" w:cs="Times New Roman"/>
          <w:sz w:val="24"/>
          <w:szCs w:val="24"/>
        </w:rPr>
        <w:t xml:space="preserve">national </w:t>
      </w:r>
      <w:r w:rsidRPr="00473B8C">
        <w:rPr>
          <w:rFonts w:ascii="Garamond" w:hAnsi="Garamond" w:cs="Times New Roman"/>
          <w:sz w:val="24"/>
          <w:szCs w:val="24"/>
        </w:rPr>
        <w:t>economy is increasingly reliant on cocoa; in 2011 the agricultural sector grew by two percent but the services and industrial sectors declined by ten and thirteen percent respectively (IRIN news</w:t>
      </w:r>
      <w:r>
        <w:rPr>
          <w:rFonts w:ascii="Garamond" w:hAnsi="Garamond" w:cs="Times New Roman"/>
          <w:sz w:val="24"/>
          <w:szCs w:val="24"/>
        </w:rPr>
        <w:t>, 2011</w:t>
      </w:r>
      <w:r w:rsidRPr="00473B8C">
        <w:rPr>
          <w:rFonts w:ascii="Garamond" w:hAnsi="Garamond" w:cs="Times New Roman"/>
          <w:sz w:val="24"/>
          <w:szCs w:val="24"/>
        </w:rPr>
        <w:t>).</w:t>
      </w:r>
      <w:r>
        <w:rPr>
          <w:rStyle w:val="FootnoteReference"/>
          <w:rFonts w:cs="Times New Roman"/>
          <w:sz w:val="24"/>
          <w:szCs w:val="24"/>
        </w:rPr>
        <w:footnoteReference w:id="140"/>
      </w:r>
      <w:r w:rsidRPr="00473B8C">
        <w:rPr>
          <w:rFonts w:ascii="Garamond" w:hAnsi="Garamond" w:cs="Times New Roman"/>
          <w:sz w:val="24"/>
          <w:szCs w:val="24"/>
        </w:rPr>
        <w:t xml:space="preserve"> </w:t>
      </w:r>
    </w:p>
    <w:p w:rsidR="00A05ED2" w:rsidRPr="00473B8C" w:rsidRDefault="00A05ED2" w:rsidP="00A05ED2">
      <w:pPr>
        <w:spacing w:after="0" w:line="360" w:lineRule="auto"/>
        <w:jc w:val="both"/>
        <w:rPr>
          <w:rFonts w:ascii="Garamond" w:eastAsia="Times New Roman" w:hAnsi="Garamond" w:cs="Times New Roman"/>
          <w:sz w:val="24"/>
          <w:szCs w:val="24"/>
          <w:lang w:val="en-US"/>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This n</w:t>
      </w:r>
      <w:r w:rsidRPr="00473B8C">
        <w:rPr>
          <w:rFonts w:ascii="Garamond" w:hAnsi="Garamond" w:cs="Times New Roman"/>
          <w:sz w:val="24"/>
          <w:szCs w:val="24"/>
        </w:rPr>
        <w:t>eo-imperial stasis is underpinned by four interrelated conditions of modern capitalism that perpetuate the subjugation of cocoa producers</w:t>
      </w:r>
      <w:r>
        <w:rPr>
          <w:rFonts w:ascii="Garamond" w:hAnsi="Garamond" w:cs="Times New Roman"/>
          <w:sz w:val="24"/>
          <w:szCs w:val="24"/>
        </w:rPr>
        <w:t>. First,</w:t>
      </w:r>
      <w:r w:rsidRPr="00473B8C">
        <w:rPr>
          <w:rFonts w:ascii="Garamond" w:hAnsi="Garamond" w:cs="Times New Roman"/>
          <w:sz w:val="24"/>
          <w:szCs w:val="24"/>
        </w:rPr>
        <w:t xml:space="preserve"> the heightened economic dependency of the </w:t>
      </w:r>
      <w:r>
        <w:rPr>
          <w:rFonts w:ascii="Garamond" w:hAnsi="Garamond" w:cs="Times New Roman"/>
          <w:sz w:val="24"/>
          <w:szCs w:val="24"/>
        </w:rPr>
        <w:t>Côte</w:t>
      </w:r>
      <w:r w:rsidRPr="00473B8C">
        <w:rPr>
          <w:rFonts w:ascii="Garamond" w:hAnsi="Garamond" w:cs="Times New Roman"/>
          <w:sz w:val="24"/>
          <w:szCs w:val="24"/>
        </w:rPr>
        <w:t xml:space="preserve"> D’Ivoire on the production of standardized raw cocoa product</w:t>
      </w:r>
      <w:r>
        <w:rPr>
          <w:rFonts w:ascii="Garamond" w:hAnsi="Garamond" w:cs="Times New Roman"/>
          <w:sz w:val="24"/>
          <w:szCs w:val="24"/>
        </w:rPr>
        <w:t>, Second,</w:t>
      </w:r>
      <w:r w:rsidRPr="00473B8C">
        <w:rPr>
          <w:rFonts w:ascii="Garamond" w:hAnsi="Garamond" w:cs="Times New Roman"/>
          <w:sz w:val="24"/>
          <w:szCs w:val="24"/>
        </w:rPr>
        <w:t xml:space="preserve"> the social reproduction of a hyper-exploited and land dispossessed labour-force (many of whom are migrant children)</w:t>
      </w:r>
      <w:r>
        <w:rPr>
          <w:rFonts w:ascii="Garamond" w:hAnsi="Garamond" w:cs="Times New Roman"/>
          <w:sz w:val="24"/>
          <w:szCs w:val="24"/>
        </w:rPr>
        <w:t>. Third,</w:t>
      </w:r>
      <w:r w:rsidRPr="00473B8C">
        <w:rPr>
          <w:rFonts w:ascii="Garamond" w:hAnsi="Garamond" w:cs="Times New Roman"/>
          <w:sz w:val="24"/>
          <w:szCs w:val="24"/>
        </w:rPr>
        <w:t xml:space="preserve"> a buyer led value chain that prioritizes the requirement for cheap cocoa, places barriers on the types of production available to Ivorians, and outsource</w:t>
      </w:r>
      <w:r>
        <w:rPr>
          <w:rFonts w:ascii="Garamond" w:hAnsi="Garamond" w:cs="Times New Roman"/>
          <w:sz w:val="24"/>
          <w:szCs w:val="24"/>
        </w:rPr>
        <w:t>s production in order to maximiz</w:t>
      </w:r>
      <w:r w:rsidRPr="00473B8C">
        <w:rPr>
          <w:rFonts w:ascii="Garamond" w:hAnsi="Garamond" w:cs="Times New Roman"/>
          <w:sz w:val="24"/>
          <w:szCs w:val="24"/>
        </w:rPr>
        <w:t>e accumulation</w:t>
      </w:r>
      <w:r>
        <w:rPr>
          <w:rFonts w:ascii="Garamond" w:hAnsi="Garamond" w:cs="Times New Roman"/>
          <w:sz w:val="24"/>
          <w:szCs w:val="24"/>
        </w:rPr>
        <w:t>. And fourth</w:t>
      </w:r>
      <w:r w:rsidRPr="00473B8C">
        <w:rPr>
          <w:rFonts w:ascii="Garamond" w:hAnsi="Garamond" w:cs="Times New Roman"/>
          <w:sz w:val="24"/>
          <w:szCs w:val="24"/>
        </w:rPr>
        <w:t xml:space="preserve"> the representations and communications of anti-trafficking discourse that shifts political concern from the structural impoverishment of the cocoa farmer to the sanctity of childhood and rights based progress narratives.</w:t>
      </w:r>
    </w:p>
    <w:p w:rsidR="00A05ED2" w:rsidRDefault="00A05ED2" w:rsidP="00A05ED2">
      <w:pPr>
        <w:spacing w:after="0" w:line="360" w:lineRule="auto"/>
        <w:jc w:val="both"/>
        <w:rPr>
          <w:rFonts w:ascii="Garamond" w:hAnsi="Garamond" w:cs="Times New Roman"/>
          <w:sz w:val="24"/>
          <w:szCs w:val="24"/>
        </w:rPr>
      </w:pPr>
    </w:p>
    <w:p w:rsidR="004F49DC" w:rsidRDefault="00A05ED2" w:rsidP="00A05ED2">
      <w:pPr>
        <w:spacing w:after="0" w:line="360" w:lineRule="auto"/>
        <w:jc w:val="both"/>
        <w:rPr>
          <w:rFonts w:ascii="Garamond" w:eastAsia="Times New Roman" w:hAnsi="Garamond" w:cs="Times New Roman"/>
          <w:sz w:val="24"/>
          <w:szCs w:val="24"/>
          <w:lang w:eastAsia="en-GB"/>
        </w:rPr>
      </w:pPr>
      <w:r w:rsidRPr="00473B8C">
        <w:rPr>
          <w:rFonts w:ascii="Garamond" w:hAnsi="Garamond" w:cs="Times New Roman"/>
          <w:sz w:val="24"/>
          <w:szCs w:val="24"/>
        </w:rPr>
        <w:t>Working from Ruth Gi</w:t>
      </w:r>
      <w:r>
        <w:rPr>
          <w:rFonts w:ascii="Garamond" w:hAnsi="Garamond" w:cs="Times New Roman"/>
          <w:sz w:val="24"/>
          <w:szCs w:val="24"/>
        </w:rPr>
        <w:t>l</w:t>
      </w:r>
      <w:r w:rsidRPr="00473B8C">
        <w:rPr>
          <w:rFonts w:ascii="Garamond" w:hAnsi="Garamond" w:cs="Times New Roman"/>
          <w:sz w:val="24"/>
          <w:szCs w:val="24"/>
        </w:rPr>
        <w:t xml:space="preserve">more’s definition of racism as </w:t>
      </w:r>
      <w:r w:rsidRPr="00473B8C">
        <w:rPr>
          <w:rFonts w:ascii="Garamond" w:eastAsia="Times New Roman" w:hAnsi="Garamond"/>
          <w:sz w:val="24"/>
          <w:szCs w:val="24"/>
          <w:lang w:eastAsia="en-GB"/>
        </w:rPr>
        <w:t>the “state-sanctioned or extralegal production and exploitation of group-differentiated vulnera</w:t>
      </w:r>
      <w:r>
        <w:rPr>
          <w:rFonts w:ascii="Garamond" w:eastAsia="Times New Roman" w:hAnsi="Garamond"/>
          <w:sz w:val="24"/>
          <w:szCs w:val="24"/>
          <w:lang w:eastAsia="en-GB"/>
        </w:rPr>
        <w:t>bility to premature death” (2007</w:t>
      </w:r>
      <w:r w:rsidRPr="00473B8C">
        <w:rPr>
          <w:rFonts w:ascii="Garamond" w:eastAsia="Times New Roman" w:hAnsi="Garamond"/>
          <w:sz w:val="24"/>
          <w:szCs w:val="24"/>
          <w:lang w:eastAsia="en-GB"/>
        </w:rPr>
        <w:t>; 28), it is possible to identify several</w:t>
      </w:r>
      <w:r w:rsidRPr="00473B8C">
        <w:rPr>
          <w:rFonts w:ascii="Garamond" w:hAnsi="Garamond" w:cs="Times New Roman"/>
          <w:sz w:val="24"/>
          <w:szCs w:val="24"/>
        </w:rPr>
        <w:t xml:space="preserve"> types of racism </w:t>
      </w:r>
      <w:r>
        <w:rPr>
          <w:rFonts w:ascii="Garamond" w:hAnsi="Garamond" w:cs="Times New Roman"/>
          <w:sz w:val="24"/>
          <w:szCs w:val="24"/>
        </w:rPr>
        <w:t>coursing through these conditions</w:t>
      </w:r>
      <w:r w:rsidRPr="00473B8C">
        <w:rPr>
          <w:rFonts w:ascii="Garamond" w:hAnsi="Garamond" w:cs="Times New Roman"/>
          <w:sz w:val="24"/>
          <w:szCs w:val="24"/>
        </w:rPr>
        <w:t xml:space="preserve">. Firstly, xenophobic racism within the </w:t>
      </w:r>
      <w:r>
        <w:rPr>
          <w:rFonts w:ascii="Garamond" w:hAnsi="Garamond" w:cs="Times New Roman"/>
          <w:sz w:val="24"/>
          <w:szCs w:val="24"/>
        </w:rPr>
        <w:t>Côte</w:t>
      </w:r>
      <w:r w:rsidRPr="00473B8C">
        <w:rPr>
          <w:rFonts w:ascii="Garamond" w:hAnsi="Garamond" w:cs="Times New Roman"/>
          <w:sz w:val="24"/>
          <w:szCs w:val="24"/>
        </w:rPr>
        <w:t xml:space="preserve"> D’Ivoire is directed at Malian and </w:t>
      </w:r>
      <w:r w:rsidRPr="00473B8C">
        <w:rPr>
          <w:rFonts w:ascii="Garamond" w:eastAsia="Times New Roman" w:hAnsi="Garamond" w:cs="Times New Roman"/>
          <w:sz w:val="24"/>
          <w:szCs w:val="24"/>
          <w:lang w:eastAsia="en-GB"/>
        </w:rPr>
        <w:t xml:space="preserve">Burkinabé labourers. The concept of Ivoirité (an imitation of the French West African racial classification systems from the 1920s) was introduced in the 1990s as a way of prioritizing the rights of ‘biologically pure’ Ivorians over French and African immigrants. The current president Ouattara </w:t>
      </w:r>
      <w:r>
        <w:rPr>
          <w:rFonts w:ascii="Garamond" w:eastAsia="Times New Roman" w:hAnsi="Garamond" w:cs="Times New Roman"/>
          <w:sz w:val="24"/>
          <w:szCs w:val="24"/>
          <w:lang w:eastAsia="en-GB"/>
        </w:rPr>
        <w:t>w</w:t>
      </w:r>
      <w:r w:rsidRPr="00473B8C">
        <w:rPr>
          <w:rFonts w:ascii="Garamond" w:eastAsia="Times New Roman" w:hAnsi="Garamond" w:cs="Times New Roman"/>
          <w:sz w:val="24"/>
          <w:szCs w:val="24"/>
          <w:lang w:eastAsia="en-GB"/>
        </w:rPr>
        <w:t>as disqualified from standing for presidency in the 90s due to his non</w:t>
      </w:r>
      <w:r>
        <w:rPr>
          <w:rFonts w:ascii="Garamond" w:eastAsia="Times New Roman" w:hAnsi="Garamond" w:cs="Times New Roman"/>
          <w:sz w:val="24"/>
          <w:szCs w:val="24"/>
          <w:lang w:eastAsia="en-GB"/>
        </w:rPr>
        <w:t>-</w:t>
      </w:r>
      <w:r w:rsidRPr="00473B8C">
        <w:rPr>
          <w:rFonts w:ascii="Garamond" w:eastAsia="Times New Roman" w:hAnsi="Garamond" w:cs="Times New Roman"/>
          <w:sz w:val="24"/>
          <w:szCs w:val="24"/>
          <w:lang w:eastAsia="en-GB"/>
        </w:rPr>
        <w:t>Ivorian heritage (Neuhaus, 2010</w:t>
      </w:r>
      <w:r>
        <w:rPr>
          <w:rFonts w:ascii="Garamond" w:eastAsia="Times New Roman" w:hAnsi="Garamond" w:cs="Times New Roman"/>
          <w:sz w:val="24"/>
          <w:szCs w:val="24"/>
          <w:lang w:eastAsia="en-GB"/>
        </w:rPr>
        <w:t>),</w:t>
      </w:r>
      <w:r w:rsidRPr="00473B8C">
        <w:rPr>
          <w:rFonts w:ascii="Garamond" w:eastAsia="Times New Roman" w:hAnsi="Garamond" w:cs="Times New Roman"/>
          <w:sz w:val="24"/>
          <w:szCs w:val="24"/>
          <w:lang w:eastAsia="en-GB"/>
        </w:rPr>
        <w:t xml:space="preserve"> but it is the cocoa producers in the north of the country that h</w:t>
      </w:r>
      <w:r>
        <w:rPr>
          <w:rFonts w:ascii="Garamond" w:eastAsia="Times New Roman" w:hAnsi="Garamond" w:cs="Times New Roman"/>
          <w:sz w:val="24"/>
          <w:szCs w:val="24"/>
          <w:lang w:eastAsia="en-GB"/>
        </w:rPr>
        <w:t>ave suffered most keenly (ibid.</w:t>
      </w:r>
      <w:r w:rsidRPr="00473B8C">
        <w:rPr>
          <w:rFonts w:ascii="Garamond" w:eastAsia="Times New Roman" w:hAnsi="Garamond" w:cs="Times New Roman"/>
          <w:sz w:val="24"/>
          <w:szCs w:val="24"/>
          <w:lang w:eastAsia="en-GB"/>
        </w:rPr>
        <w:t xml:space="preserve"> 2010). </w:t>
      </w:r>
    </w:p>
    <w:p w:rsidR="00A05ED2" w:rsidRPr="00473B8C" w:rsidRDefault="00A05ED2" w:rsidP="00A05ED2">
      <w:pPr>
        <w:spacing w:after="0" w:line="360" w:lineRule="auto"/>
        <w:jc w:val="both"/>
        <w:rPr>
          <w:rFonts w:ascii="Garamond" w:eastAsia="Times New Roman" w:hAnsi="Garamond" w:cs="Times New Roman"/>
          <w:sz w:val="24"/>
          <w:szCs w:val="24"/>
          <w:lang w:eastAsia="en-GB"/>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Secondly, environmental racism, “the idea that non-whites are disproportionately exposed to pollution” (Pulido, 2000: 532)</w:t>
      </w:r>
      <w:r>
        <w:rPr>
          <w:rFonts w:ascii="Garamond" w:hAnsi="Garamond" w:cs="Times New Roman"/>
          <w:sz w:val="24"/>
          <w:szCs w:val="24"/>
        </w:rPr>
        <w:t>,</w:t>
      </w:r>
      <w:r w:rsidRPr="00473B8C">
        <w:rPr>
          <w:rFonts w:ascii="Garamond" w:hAnsi="Garamond" w:cs="Times New Roman"/>
          <w:sz w:val="24"/>
          <w:szCs w:val="24"/>
        </w:rPr>
        <w:t xml:space="preserve"> is spatialized throughout the cocoa industry</w:t>
      </w:r>
      <w:r>
        <w:rPr>
          <w:rFonts w:ascii="Garamond" w:hAnsi="Garamond" w:cs="Times New Roman"/>
          <w:sz w:val="24"/>
          <w:szCs w:val="24"/>
        </w:rPr>
        <w:t xml:space="preserve">. </w:t>
      </w:r>
      <w:r w:rsidRPr="00473B8C">
        <w:rPr>
          <w:rFonts w:ascii="Garamond" w:hAnsi="Garamond" w:cs="Times New Roman"/>
          <w:sz w:val="24"/>
          <w:szCs w:val="24"/>
        </w:rPr>
        <w:t>Increased risk of food insecurity and ecological vulnerability of producer landscapes are consequential of</w:t>
      </w:r>
      <w:r w:rsidRPr="00473B8C">
        <w:rPr>
          <w:rFonts w:ascii="Garamond" w:hAnsi="Garamond" w:cs="Times New Roman"/>
          <w:sz w:val="24"/>
          <w:szCs w:val="24"/>
          <w:lang w:val="en-US"/>
        </w:rPr>
        <w:t xml:space="preserve"> what Castree refers to as ‘nature’s neo-liberalization’</w:t>
      </w:r>
      <w:r>
        <w:rPr>
          <w:rFonts w:ascii="Garamond" w:hAnsi="Garamond" w:cs="Times New Roman"/>
          <w:sz w:val="24"/>
          <w:szCs w:val="24"/>
          <w:lang w:val="en-US"/>
        </w:rPr>
        <w:t>, a process propelled</w:t>
      </w:r>
      <w:r w:rsidRPr="00473B8C">
        <w:rPr>
          <w:rFonts w:ascii="Garamond" w:hAnsi="Garamond" w:cs="Times New Roman"/>
          <w:sz w:val="24"/>
          <w:szCs w:val="24"/>
          <w:lang w:val="en-US"/>
        </w:rPr>
        <w:t xml:space="preserve"> by political economic elites</w:t>
      </w:r>
      <w:r>
        <w:rPr>
          <w:rFonts w:ascii="Garamond" w:hAnsi="Garamond" w:cs="Times New Roman"/>
          <w:sz w:val="24"/>
          <w:szCs w:val="24"/>
          <w:lang w:val="en-US"/>
        </w:rPr>
        <w:t xml:space="preserve"> that excludes</w:t>
      </w:r>
      <w:r w:rsidRPr="00473B8C">
        <w:rPr>
          <w:rFonts w:ascii="Garamond" w:hAnsi="Garamond" w:cs="Times New Roman"/>
          <w:sz w:val="24"/>
          <w:szCs w:val="24"/>
          <w:lang w:val="en-US"/>
        </w:rPr>
        <w:t xml:space="preserve"> the poor </w:t>
      </w:r>
      <w:r>
        <w:rPr>
          <w:rFonts w:ascii="Garamond" w:hAnsi="Garamond" w:cs="Times New Roman"/>
          <w:sz w:val="24"/>
          <w:szCs w:val="24"/>
          <w:lang w:val="en-US"/>
        </w:rPr>
        <w:t>(Castree, 2008</w:t>
      </w:r>
      <w:r w:rsidRPr="00473B8C">
        <w:rPr>
          <w:rFonts w:ascii="Garamond" w:hAnsi="Garamond" w:cs="Times New Roman"/>
          <w:sz w:val="24"/>
          <w:szCs w:val="24"/>
          <w:lang w:val="en-US"/>
        </w:rPr>
        <w:t xml:space="preserve">). </w:t>
      </w:r>
      <w:r>
        <w:rPr>
          <w:rFonts w:ascii="Garamond" w:hAnsi="Garamond" w:cs="Times New Roman"/>
          <w:sz w:val="24"/>
          <w:szCs w:val="24"/>
          <w:lang w:val="en-US"/>
        </w:rPr>
        <w:t xml:space="preserve">As it was </w:t>
      </w:r>
      <w:r>
        <w:rPr>
          <w:rFonts w:ascii="Garamond" w:hAnsi="Garamond" w:cs="Times New Roman"/>
          <w:sz w:val="24"/>
          <w:szCs w:val="24"/>
          <w:lang w:val="en-US"/>
        </w:rPr>
        <w:lastRenderedPageBreak/>
        <w:t>put to me in an interview with the STT</w:t>
      </w:r>
      <w:r>
        <w:rPr>
          <w:rFonts w:ascii="Garamond" w:hAnsi="Garamond" w:cs="Times New Roman"/>
          <w:sz w:val="24"/>
          <w:szCs w:val="24"/>
        </w:rPr>
        <w:t>,</w:t>
      </w:r>
      <w:r w:rsidRPr="00473B8C">
        <w:rPr>
          <w:rFonts w:ascii="Garamond" w:hAnsi="Garamond" w:cs="Times New Roman"/>
          <w:sz w:val="24"/>
          <w:szCs w:val="24"/>
        </w:rPr>
        <w:t xml:space="preserve"> “the costs are being transferred by the industry to a future time, bad farmer practices leading to erosion</w:t>
      </w:r>
      <w:r>
        <w:rPr>
          <w:rFonts w:ascii="Garamond" w:hAnsi="Garamond" w:cs="Times New Roman"/>
          <w:sz w:val="24"/>
          <w:szCs w:val="24"/>
        </w:rPr>
        <w:t>,</w:t>
      </w:r>
      <w:r w:rsidRPr="00473B8C">
        <w:rPr>
          <w:rFonts w:ascii="Garamond" w:hAnsi="Garamond" w:cs="Times New Roman"/>
          <w:sz w:val="24"/>
          <w:szCs w:val="24"/>
        </w:rPr>
        <w:t xml:space="preserve"> slash and burn etc</w:t>
      </w:r>
      <w:r w:rsidR="00F90E7B">
        <w:rPr>
          <w:rFonts w:ascii="Garamond" w:hAnsi="Garamond" w:cs="Times New Roman"/>
          <w:sz w:val="24"/>
          <w:szCs w:val="24"/>
        </w:rPr>
        <w:t>.</w:t>
      </w:r>
      <w:r>
        <w:rPr>
          <w:rFonts w:ascii="Garamond" w:hAnsi="Garamond" w:cs="Times New Roman"/>
          <w:sz w:val="24"/>
          <w:szCs w:val="24"/>
        </w:rPr>
        <w:t>” (Interview Fountain</w:t>
      </w:r>
      <w:r w:rsidRPr="00473B8C">
        <w:rPr>
          <w:rFonts w:ascii="Garamond" w:hAnsi="Garamond" w:cs="Times New Roman"/>
          <w:sz w:val="24"/>
          <w:szCs w:val="24"/>
        </w:rPr>
        <w:t xml:space="preserve"> 2011). </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And finally, and perhaps most limiting, is the master narrative of essentialist racism that socially classifies the world population around the idea of race. According to Quijano’s (2000) thesis on the coloniality of power, essentialized racism is a “fundamental axis of power” (</w:t>
      </w:r>
      <w:r>
        <w:rPr>
          <w:rFonts w:ascii="Garamond" w:hAnsi="Garamond" w:cs="Times New Roman"/>
          <w:sz w:val="24"/>
          <w:szCs w:val="24"/>
        </w:rPr>
        <w:t xml:space="preserve">Quijano, 2000: </w:t>
      </w:r>
      <w:r w:rsidRPr="00473B8C">
        <w:rPr>
          <w:rFonts w:ascii="Garamond" w:hAnsi="Garamond" w:cs="Times New Roman"/>
          <w:sz w:val="24"/>
          <w:szCs w:val="24"/>
        </w:rPr>
        <w:t>537) for globalization</w:t>
      </w:r>
      <w:r>
        <w:rPr>
          <w:rFonts w:ascii="Garamond" w:hAnsi="Garamond" w:cs="Times New Roman"/>
          <w:sz w:val="24"/>
          <w:szCs w:val="24"/>
        </w:rPr>
        <w:t>.</w:t>
      </w:r>
      <w:r w:rsidRPr="00473B8C">
        <w:rPr>
          <w:rFonts w:ascii="Garamond" w:hAnsi="Garamond" w:cs="Times New Roman"/>
          <w:sz w:val="24"/>
          <w:szCs w:val="24"/>
        </w:rPr>
        <w:t xml:space="preserve"> </w:t>
      </w:r>
      <w:r>
        <w:rPr>
          <w:rFonts w:ascii="Garamond" w:hAnsi="Garamond" w:cs="Times New Roman"/>
          <w:sz w:val="24"/>
          <w:szCs w:val="24"/>
        </w:rPr>
        <w:t>C</w:t>
      </w:r>
      <w:r w:rsidRPr="00473B8C">
        <w:rPr>
          <w:rFonts w:ascii="Garamond" w:hAnsi="Garamond" w:cs="Times New Roman"/>
          <w:sz w:val="24"/>
          <w:szCs w:val="24"/>
        </w:rPr>
        <w:t xml:space="preserve">reated to sustain chattel slavery and colonialism is has outlived both. Essentialized white privilege is materialized in the dealings of farmers with Lebanese traders within the </w:t>
      </w:r>
      <w:r>
        <w:rPr>
          <w:rFonts w:ascii="Garamond" w:hAnsi="Garamond" w:cs="Times New Roman"/>
          <w:sz w:val="24"/>
          <w:szCs w:val="24"/>
        </w:rPr>
        <w:t>Côte</w:t>
      </w:r>
      <w:r w:rsidRPr="00473B8C">
        <w:rPr>
          <w:rFonts w:ascii="Garamond" w:hAnsi="Garamond" w:cs="Times New Roman"/>
          <w:sz w:val="24"/>
          <w:szCs w:val="24"/>
        </w:rPr>
        <w:t xml:space="preserve"> D’Ivoire and </w:t>
      </w:r>
      <w:r>
        <w:rPr>
          <w:rFonts w:ascii="Garamond" w:hAnsi="Garamond" w:cs="Times New Roman"/>
          <w:sz w:val="24"/>
          <w:szCs w:val="24"/>
        </w:rPr>
        <w:t xml:space="preserve">with </w:t>
      </w:r>
      <w:r w:rsidRPr="00473B8C">
        <w:rPr>
          <w:rFonts w:ascii="Garamond" w:hAnsi="Garamond" w:cs="Times New Roman"/>
          <w:sz w:val="24"/>
          <w:szCs w:val="24"/>
        </w:rPr>
        <w:t>foreign investors</w:t>
      </w:r>
      <w:r>
        <w:rPr>
          <w:rFonts w:ascii="Garamond" w:hAnsi="Garamond" w:cs="Times New Roman"/>
          <w:sz w:val="24"/>
          <w:szCs w:val="24"/>
        </w:rPr>
        <w:t>. W</w:t>
      </w:r>
      <w:r w:rsidRPr="00473B8C">
        <w:rPr>
          <w:rFonts w:ascii="Garamond" w:hAnsi="Garamond" w:cs="Times New Roman"/>
          <w:sz w:val="24"/>
          <w:szCs w:val="24"/>
        </w:rPr>
        <w:t>hiteness is attached with social and economic premiums on a national and international scale. As a largely invisible and often unintentional form of social coding, it acts as way of maintaining the status quo (Pulido, 1996</w:t>
      </w:r>
      <w:r>
        <w:rPr>
          <w:rFonts w:ascii="Garamond" w:hAnsi="Garamond" w:cs="Times New Roman"/>
          <w:sz w:val="24"/>
          <w:szCs w:val="24"/>
        </w:rPr>
        <w:t xml:space="preserve">; </w:t>
      </w:r>
      <w:r w:rsidRPr="00473B8C">
        <w:rPr>
          <w:rFonts w:ascii="Garamond" w:hAnsi="Garamond" w:cs="Times New Roman"/>
          <w:sz w:val="24"/>
          <w:szCs w:val="24"/>
        </w:rPr>
        <w:t>2000)</w:t>
      </w:r>
      <w:r>
        <w:rPr>
          <w:rFonts w:ascii="Garamond" w:hAnsi="Garamond" w:cs="Times New Roman"/>
          <w:sz w:val="24"/>
          <w:szCs w:val="24"/>
        </w:rPr>
        <w:t>. It is</w:t>
      </w:r>
      <w:r w:rsidRPr="00473B8C">
        <w:rPr>
          <w:rFonts w:ascii="Garamond" w:hAnsi="Garamond" w:cs="Times New Roman"/>
          <w:sz w:val="24"/>
          <w:szCs w:val="24"/>
        </w:rPr>
        <w:t xml:space="preserve"> a corporate disincentive to improve standards of welfare for cocoa labour outside of European</w:t>
      </w:r>
      <w:r>
        <w:rPr>
          <w:rFonts w:ascii="Garamond" w:hAnsi="Garamond" w:cs="Times New Roman"/>
          <w:sz w:val="24"/>
          <w:szCs w:val="24"/>
        </w:rPr>
        <w:t xml:space="preserve"> </w:t>
      </w:r>
      <w:r w:rsidRPr="00473B8C">
        <w:rPr>
          <w:rFonts w:ascii="Garamond" w:hAnsi="Garamond" w:cs="Times New Roman"/>
          <w:sz w:val="24"/>
          <w:szCs w:val="24"/>
        </w:rPr>
        <w:t>/ American territories</w:t>
      </w:r>
      <w:r>
        <w:rPr>
          <w:rFonts w:ascii="Garamond" w:hAnsi="Garamond" w:cs="Times New Roman"/>
          <w:sz w:val="24"/>
          <w:szCs w:val="24"/>
        </w:rPr>
        <w:t>: as STT put it to me,</w:t>
      </w:r>
      <w:r w:rsidRPr="00473B8C">
        <w:rPr>
          <w:rFonts w:ascii="Garamond" w:hAnsi="Garamond" w:cs="Times New Roman"/>
          <w:sz w:val="24"/>
          <w:szCs w:val="24"/>
        </w:rPr>
        <w:t xml:space="preserve"> “you have to ask yourself - why don’t chocolate companies, and workers unions</w:t>
      </w:r>
      <w:r>
        <w:rPr>
          <w:rFonts w:ascii="Garamond" w:hAnsi="Garamond" w:cs="Times New Roman"/>
          <w:sz w:val="24"/>
          <w:szCs w:val="24"/>
        </w:rPr>
        <w:t>,</w:t>
      </w:r>
      <w:r w:rsidRPr="00473B8C">
        <w:rPr>
          <w:rFonts w:ascii="Garamond" w:hAnsi="Garamond" w:cs="Times New Roman"/>
          <w:sz w:val="24"/>
          <w:szCs w:val="24"/>
        </w:rPr>
        <w:t xml:space="preserve"> extend core minimum standards of producer welfare outside of Europe</w:t>
      </w:r>
      <w:r>
        <w:rPr>
          <w:rFonts w:ascii="Garamond" w:hAnsi="Garamond" w:cs="Times New Roman"/>
          <w:sz w:val="24"/>
          <w:szCs w:val="24"/>
        </w:rPr>
        <w:t>?</w:t>
      </w:r>
      <w:r w:rsidRPr="00473B8C">
        <w:rPr>
          <w:rFonts w:ascii="Garamond" w:hAnsi="Garamond" w:cs="Times New Roman"/>
          <w:sz w:val="24"/>
          <w:szCs w:val="24"/>
        </w:rPr>
        <w:t xml:space="preserve"> Where is the minimum wage? Where are the health and safety imperatives? H</w:t>
      </w:r>
      <w:r>
        <w:rPr>
          <w:rFonts w:ascii="Garamond" w:hAnsi="Garamond" w:cs="Times New Roman"/>
          <w:sz w:val="24"/>
          <w:szCs w:val="24"/>
        </w:rPr>
        <w:t>ow can we let this continue?” (I</w:t>
      </w:r>
      <w:r w:rsidRPr="00473B8C">
        <w:rPr>
          <w:rFonts w:ascii="Garamond" w:hAnsi="Garamond" w:cs="Times New Roman"/>
          <w:sz w:val="24"/>
          <w:szCs w:val="24"/>
        </w:rPr>
        <w:t>nterview</w:t>
      </w:r>
      <w:r>
        <w:rPr>
          <w:rFonts w:ascii="Garamond" w:hAnsi="Garamond" w:cs="Times New Roman"/>
          <w:sz w:val="24"/>
          <w:szCs w:val="24"/>
        </w:rPr>
        <w:t xml:space="preserve"> Fountain </w:t>
      </w:r>
      <w:r w:rsidRPr="00473B8C">
        <w:rPr>
          <w:rFonts w:ascii="Garamond" w:hAnsi="Garamond" w:cs="Times New Roman"/>
          <w:sz w:val="24"/>
          <w:szCs w:val="24"/>
        </w:rPr>
        <w:t xml:space="preserve">2011). </w:t>
      </w:r>
    </w:p>
    <w:p w:rsidR="00A05ED2" w:rsidRDefault="00A05ED2" w:rsidP="00A05ED2">
      <w:pPr>
        <w:spacing w:after="0" w:line="360" w:lineRule="auto"/>
        <w:jc w:val="both"/>
        <w:rPr>
          <w:rFonts w:ascii="Garamond" w:hAnsi="Garamond" w:cs="Times New Roman"/>
          <w:sz w:val="24"/>
          <w:szCs w:val="24"/>
        </w:rPr>
      </w:pPr>
    </w:p>
    <w:p w:rsidR="004F49DC" w:rsidRDefault="00A05ED2" w:rsidP="004F49DC">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The questions asked </w:t>
      </w:r>
      <w:r>
        <w:rPr>
          <w:rFonts w:ascii="Garamond" w:hAnsi="Garamond" w:cs="Times New Roman"/>
          <w:sz w:val="24"/>
          <w:szCs w:val="24"/>
        </w:rPr>
        <w:t xml:space="preserve">here </w:t>
      </w:r>
      <w:r w:rsidRPr="00473B8C">
        <w:rPr>
          <w:rFonts w:ascii="Garamond" w:hAnsi="Garamond" w:cs="Times New Roman"/>
          <w:sz w:val="24"/>
          <w:szCs w:val="24"/>
        </w:rPr>
        <w:t xml:space="preserve">by STT’s director of chocolate campaigns were being asked </w:t>
      </w:r>
      <w:r>
        <w:rPr>
          <w:rFonts w:ascii="Garamond" w:hAnsi="Garamond" w:cs="Times New Roman"/>
          <w:sz w:val="24"/>
          <w:szCs w:val="24"/>
        </w:rPr>
        <w:t>a century ago by anti</w:t>
      </w:r>
      <w:r w:rsidRPr="00473B8C">
        <w:rPr>
          <w:rFonts w:ascii="Garamond" w:hAnsi="Garamond" w:cs="Times New Roman"/>
          <w:sz w:val="24"/>
          <w:szCs w:val="24"/>
        </w:rPr>
        <w:t>slavery campaigners and critics of Cadbury and Rowntree. These firms nurtured their corporate image on paternalistic capitalism and prided themselves on providing competitive wages and implementing progressive social reforms for their factory workers in Birmingham and York (Satre, 2005; Robinson, 2009). The spatialization of corporate (dis)responsibility, then and now, is normalized by the continued production of the colourline.</w:t>
      </w:r>
    </w:p>
    <w:p w:rsidR="00A05ED2" w:rsidRPr="004F49DC" w:rsidRDefault="00A05ED2" w:rsidP="004F49DC">
      <w:pPr>
        <w:spacing w:after="0" w:line="360" w:lineRule="auto"/>
        <w:jc w:val="both"/>
        <w:rPr>
          <w:rFonts w:ascii="Garamond" w:hAnsi="Garamond" w:cs="Times New Roman"/>
          <w:sz w:val="24"/>
          <w:szCs w:val="24"/>
        </w:rPr>
      </w:pPr>
    </w:p>
    <w:p w:rsidR="00A05ED2" w:rsidRDefault="00A05ED2" w:rsidP="004F49DC">
      <w:pPr>
        <w:spacing w:after="0" w:line="360" w:lineRule="auto"/>
        <w:jc w:val="both"/>
        <w:rPr>
          <w:rFonts w:ascii="Garamond" w:hAnsi="Garamond" w:cs="Times New Roman"/>
          <w:sz w:val="24"/>
          <w:szCs w:val="24"/>
        </w:rPr>
      </w:pPr>
      <w:r w:rsidRPr="00473B8C">
        <w:rPr>
          <w:rFonts w:ascii="Garamond" w:hAnsi="Garamond" w:cs="Times New Roman"/>
          <w:sz w:val="24"/>
          <w:szCs w:val="24"/>
        </w:rPr>
        <w:t>Although coming from a liberal framework, resisting the deferral of costs and the use of spatial fixes in relation to the chocolate industry is at the crux of STT’s Amsterdam practices:</w:t>
      </w:r>
    </w:p>
    <w:p w:rsidR="00A05ED2" w:rsidRPr="00473B8C" w:rsidRDefault="00A05ED2" w:rsidP="00A05ED2">
      <w:pPr>
        <w:spacing w:after="0" w:line="360" w:lineRule="auto"/>
        <w:jc w:val="both"/>
        <w:rPr>
          <w:rFonts w:ascii="Garamond" w:hAnsi="Garamond" w:cs="Times New Roman"/>
          <w:sz w:val="24"/>
          <w:szCs w:val="24"/>
        </w:rPr>
      </w:pPr>
    </w:p>
    <w:p w:rsidR="00A05ED2" w:rsidRDefault="00A05ED2" w:rsidP="00A05ED2">
      <w:pPr>
        <w:spacing w:after="0" w:line="360" w:lineRule="auto"/>
        <w:ind w:left="284" w:right="284"/>
        <w:jc w:val="both"/>
        <w:rPr>
          <w:rFonts w:ascii="Garamond" w:hAnsi="Garamond" w:cs="Times New Roman"/>
        </w:rPr>
      </w:pPr>
      <w:r w:rsidRPr="00473B8C">
        <w:rPr>
          <w:rFonts w:ascii="Garamond" w:hAnsi="Garamond" w:cs="Times New Roman"/>
        </w:rPr>
        <w:t xml:space="preserve">Oddly enough Adam Smith suggests that you have a few very simple base rules in place, and one of them is the internalization of the costs, meaning that when you buy a product you’re actually paying for all the costs it takes to make it. And that’s not actually happening at the moment. The costs are being transferred either to a future time, bad farmer </w:t>
      </w:r>
      <w:r w:rsidRPr="00473B8C">
        <w:rPr>
          <w:rFonts w:ascii="Garamond" w:hAnsi="Garamond" w:cs="Times New Roman"/>
        </w:rPr>
        <w:lastRenderedPageBreak/>
        <w:t>practices leading to erosion slash and burn etc</w:t>
      </w:r>
      <w:r>
        <w:rPr>
          <w:rFonts w:ascii="Garamond" w:hAnsi="Garamond" w:cs="Times New Roman"/>
        </w:rPr>
        <w:t>.</w:t>
      </w:r>
      <w:r w:rsidRPr="00473B8C">
        <w:rPr>
          <w:rFonts w:ascii="Garamond" w:hAnsi="Garamond" w:cs="Times New Roman"/>
        </w:rPr>
        <w:t>, or it</w:t>
      </w:r>
      <w:r>
        <w:rPr>
          <w:rFonts w:ascii="Garamond" w:hAnsi="Garamond" w:cs="Times New Roman"/>
        </w:rPr>
        <w:t>’</w:t>
      </w:r>
      <w:r w:rsidRPr="00473B8C">
        <w:rPr>
          <w:rFonts w:ascii="Garamond" w:hAnsi="Garamond" w:cs="Times New Roman"/>
        </w:rPr>
        <w:t xml:space="preserve">s being transferred to other people in terms of trafficking. From a purely economic system viewpoint, it’s actually ridiculous that you can have a product cycle that has been going around for so many centuries, that in its essence is not actually asking for the costing price for a product. So basically we’re not </w:t>
      </w:r>
      <w:r>
        <w:rPr>
          <w:rFonts w:ascii="Garamond" w:hAnsi="Garamond" w:cs="Times New Roman"/>
        </w:rPr>
        <w:t>paying enough for our chocolate. (Interview Fountain 2011)</w:t>
      </w:r>
    </w:p>
    <w:p w:rsidR="00A05ED2" w:rsidRPr="00473B8C" w:rsidRDefault="00A05ED2" w:rsidP="00A05ED2">
      <w:pPr>
        <w:spacing w:after="0" w:line="360" w:lineRule="auto"/>
        <w:ind w:left="284" w:right="284"/>
        <w:jc w:val="both"/>
        <w:rPr>
          <w:rFonts w:ascii="Garamond" w:hAnsi="Garamond" w:cs="Times New Roman"/>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 xml:space="preserve">For STT, </w:t>
      </w:r>
      <w:r>
        <w:rPr>
          <w:rFonts w:ascii="Garamond" w:hAnsi="Garamond" w:cs="Times New Roman"/>
          <w:sz w:val="24"/>
          <w:szCs w:val="24"/>
        </w:rPr>
        <w:t>e</w:t>
      </w:r>
      <w:r w:rsidRPr="00473B8C">
        <w:rPr>
          <w:rFonts w:ascii="Garamond" w:hAnsi="Garamond" w:cs="Times New Roman"/>
          <w:sz w:val="24"/>
          <w:szCs w:val="24"/>
        </w:rPr>
        <w:t xml:space="preserve">choing Amin </w:t>
      </w:r>
      <w:r>
        <w:rPr>
          <w:rFonts w:ascii="Garamond" w:hAnsi="Garamond" w:cs="Times New Roman"/>
          <w:sz w:val="24"/>
          <w:szCs w:val="24"/>
        </w:rPr>
        <w:t>and Thrift</w:t>
      </w:r>
      <w:r w:rsidRPr="00473B8C">
        <w:rPr>
          <w:rFonts w:ascii="Garamond" w:hAnsi="Garamond" w:cs="Times New Roman"/>
          <w:sz w:val="24"/>
          <w:szCs w:val="24"/>
        </w:rPr>
        <w:t xml:space="preserve"> (2003)</w:t>
      </w:r>
      <w:r>
        <w:rPr>
          <w:rFonts w:ascii="Garamond" w:hAnsi="Garamond" w:cs="Times New Roman"/>
          <w:sz w:val="24"/>
          <w:szCs w:val="24"/>
        </w:rPr>
        <w:t>,</w:t>
      </w:r>
      <w:r w:rsidRPr="00473B8C">
        <w:rPr>
          <w:rFonts w:ascii="Garamond" w:hAnsi="Garamond" w:cs="Times New Roman"/>
          <w:sz w:val="24"/>
          <w:szCs w:val="24"/>
        </w:rPr>
        <w:t xml:space="preserve"> </w:t>
      </w:r>
      <w:r w:rsidRPr="00473B8C">
        <w:rPr>
          <w:rFonts w:ascii="Garamond" w:eastAsia="Times New Roman" w:hAnsi="Garamond" w:cs="Times New Roman"/>
          <w:sz w:val="24"/>
          <w:szCs w:val="24"/>
          <w:lang w:val="en-US"/>
        </w:rPr>
        <w:t>Adam Smith</w:t>
      </w:r>
      <w:r w:rsidRPr="00473B8C">
        <w:rPr>
          <w:rFonts w:ascii="Garamond" w:eastAsia="Times New Roman" w:hAnsi="Garamond" w:cs="Times New Roman"/>
          <w:sz w:val="24"/>
          <w:szCs w:val="24"/>
        </w:rPr>
        <w:t>’</w:t>
      </w:r>
      <w:r w:rsidRPr="00473B8C">
        <w:rPr>
          <w:rFonts w:ascii="Garamond" w:eastAsia="Times New Roman" w:hAnsi="Garamond" w:cs="Times New Roman"/>
          <w:sz w:val="24"/>
          <w:szCs w:val="24"/>
          <w:lang w:val="en-US"/>
        </w:rPr>
        <w:t xml:space="preserve">s </w:t>
      </w:r>
      <w:r w:rsidRPr="00473B8C">
        <w:rPr>
          <w:rFonts w:ascii="Garamond" w:eastAsia="Times New Roman" w:hAnsi="Garamond" w:cs="Times New Roman"/>
          <w:i/>
          <w:iCs/>
          <w:sz w:val="24"/>
          <w:szCs w:val="24"/>
          <w:lang w:val="en-US"/>
        </w:rPr>
        <w:t xml:space="preserve">Theory of Moral Sentiments </w:t>
      </w:r>
      <w:r w:rsidRPr="00473B8C">
        <w:rPr>
          <w:rFonts w:ascii="Garamond" w:eastAsia="Times New Roman" w:hAnsi="Garamond" w:cs="Times New Roman"/>
          <w:iCs/>
          <w:sz w:val="24"/>
          <w:szCs w:val="24"/>
          <w:lang w:val="en-US"/>
        </w:rPr>
        <w:t>is instructive</w:t>
      </w:r>
      <w:r>
        <w:rPr>
          <w:rFonts w:ascii="Garamond" w:eastAsia="Times New Roman" w:hAnsi="Garamond" w:cs="Times New Roman"/>
          <w:iCs/>
          <w:sz w:val="24"/>
          <w:szCs w:val="24"/>
          <w:lang w:val="en-US"/>
        </w:rPr>
        <w:t>.</w:t>
      </w:r>
      <w:r w:rsidRPr="00473B8C">
        <w:rPr>
          <w:rFonts w:ascii="Garamond" w:eastAsia="Times New Roman" w:hAnsi="Garamond" w:cs="Times New Roman"/>
          <w:iCs/>
          <w:sz w:val="24"/>
          <w:szCs w:val="24"/>
          <w:lang w:val="en-US"/>
        </w:rPr>
        <w:t xml:space="preserve"> </w:t>
      </w:r>
      <w:r>
        <w:rPr>
          <w:rFonts w:ascii="Garamond" w:eastAsia="Times New Roman" w:hAnsi="Garamond" w:cs="Times New Roman"/>
          <w:sz w:val="24"/>
          <w:szCs w:val="24"/>
          <w:lang w:val="en-US"/>
        </w:rPr>
        <w:t>T</w:t>
      </w:r>
      <w:r w:rsidRPr="00473B8C">
        <w:rPr>
          <w:rFonts w:ascii="Garamond" w:eastAsia="Times New Roman" w:hAnsi="Garamond" w:cs="Times New Roman"/>
          <w:sz w:val="24"/>
          <w:szCs w:val="24"/>
          <w:lang w:val="en-US"/>
        </w:rPr>
        <w:t xml:space="preserve">he cocoa industry should be treated as an entanglement of a moral order of sympathy with economic individualism. Transferring production costs to the future and using child slaves is the teleological end of expecting and paying too little for chocolate. </w:t>
      </w:r>
      <w:r w:rsidRPr="00473B8C">
        <w:rPr>
          <w:rFonts w:ascii="Garamond" w:hAnsi="Garamond" w:cs="Times New Roman"/>
          <w:sz w:val="24"/>
          <w:szCs w:val="24"/>
        </w:rPr>
        <w:t xml:space="preserve">STT’s Amsterdam offices clearly use anti-trafficking campaigns as a symbolic and material entry point into the neo-imperial economies of the chocolate industry. This is at odds with many of STT’s UK consumer campaigns that position anti-trafficking as an end itself, rather than a means to an end: </w:t>
      </w:r>
    </w:p>
    <w:p w:rsidR="00A05ED2" w:rsidRPr="00473B8C" w:rsidRDefault="00A05ED2" w:rsidP="00A05ED2">
      <w:pPr>
        <w:spacing w:after="0" w:line="360" w:lineRule="auto"/>
        <w:jc w:val="both"/>
        <w:rPr>
          <w:rStyle w:val="addmd"/>
        </w:rPr>
      </w:pPr>
    </w:p>
    <w:p w:rsidR="00A05ED2" w:rsidRDefault="00A05ED2" w:rsidP="00A05ED2">
      <w:pPr>
        <w:spacing w:after="0" w:line="360" w:lineRule="auto"/>
        <w:ind w:left="284" w:right="284"/>
        <w:jc w:val="both"/>
        <w:rPr>
          <w:rFonts w:ascii="Garamond" w:hAnsi="Garamond" w:cs="Times New Roman"/>
        </w:rPr>
      </w:pPr>
      <w:r>
        <w:rPr>
          <w:rFonts w:ascii="Garamond" w:hAnsi="Garamond" w:cs="Times New Roman"/>
        </w:rPr>
        <w:t xml:space="preserve">ANTONIE: </w:t>
      </w:r>
      <w:r w:rsidRPr="00473B8C">
        <w:rPr>
          <w:rFonts w:ascii="Garamond" w:hAnsi="Garamond" w:cs="Times New Roman"/>
        </w:rPr>
        <w:t>If we look at the total process we’ve only</w:t>
      </w:r>
      <w:r>
        <w:rPr>
          <w:rFonts w:ascii="Garamond" w:hAnsi="Garamond" w:cs="Times New Roman"/>
        </w:rPr>
        <w:t xml:space="preserve"> gone</w:t>
      </w:r>
      <w:r w:rsidRPr="00473B8C">
        <w:rPr>
          <w:rFonts w:ascii="Garamond" w:hAnsi="Garamond" w:cs="Times New Roman"/>
        </w:rPr>
        <w:t xml:space="preserve"> a little bit along the way of getting the supply chai</w:t>
      </w:r>
      <w:r>
        <w:rPr>
          <w:rFonts w:ascii="Garamond" w:hAnsi="Garamond" w:cs="Times New Roman"/>
        </w:rPr>
        <w:t>n sorted. We’ve only just begun.</w:t>
      </w:r>
      <w:r w:rsidRPr="00473B8C">
        <w:rPr>
          <w:rFonts w:ascii="Garamond" w:hAnsi="Garamond" w:cs="Times New Roman"/>
        </w:rPr>
        <w:t xml:space="preserve"> (</w:t>
      </w:r>
      <w:r>
        <w:rPr>
          <w:rFonts w:ascii="Garamond" w:hAnsi="Garamond" w:cs="Times New Roman"/>
        </w:rPr>
        <w:t>Interview Fountain</w:t>
      </w:r>
      <w:r w:rsidRPr="00473B8C">
        <w:rPr>
          <w:rFonts w:ascii="Garamond" w:hAnsi="Garamond" w:cs="Times New Roman"/>
        </w:rPr>
        <w:t xml:space="preserve"> 2011)</w:t>
      </w:r>
    </w:p>
    <w:p w:rsidR="00A05ED2" w:rsidRPr="00473B8C" w:rsidRDefault="00A05ED2" w:rsidP="00A05ED2">
      <w:pPr>
        <w:spacing w:after="0" w:line="360" w:lineRule="auto"/>
        <w:ind w:left="284" w:right="284"/>
        <w:jc w:val="both"/>
        <w:rPr>
          <w:rFonts w:ascii="Garamond" w:hAnsi="Garamond" w:cs="Times New Roman"/>
        </w:rPr>
      </w:pPr>
    </w:p>
    <w:p w:rsidR="00A05ED2" w:rsidRDefault="00A05ED2" w:rsidP="00A05ED2">
      <w:pPr>
        <w:spacing w:after="0" w:line="360" w:lineRule="auto"/>
        <w:jc w:val="both"/>
        <w:rPr>
          <w:rFonts w:ascii="Garamond" w:hAnsi="Garamond" w:cs="Times New Roman"/>
          <w:sz w:val="24"/>
          <w:szCs w:val="24"/>
        </w:rPr>
      </w:pPr>
      <w:r w:rsidRPr="00473B8C">
        <w:rPr>
          <w:rStyle w:val="addmd"/>
          <w:rFonts w:ascii="Garamond" w:hAnsi="Garamond"/>
          <w:sz w:val="24"/>
          <w:szCs w:val="24"/>
        </w:rPr>
        <w:t xml:space="preserve">STT activists are engaged in weekly conversations with </w:t>
      </w:r>
      <w:r>
        <w:rPr>
          <w:rStyle w:val="addmd"/>
          <w:rFonts w:ascii="Garamond" w:hAnsi="Garamond"/>
          <w:sz w:val="24"/>
          <w:szCs w:val="24"/>
        </w:rPr>
        <w:t>Fairt</w:t>
      </w:r>
      <w:r w:rsidRPr="00473B8C">
        <w:rPr>
          <w:rStyle w:val="addmd"/>
          <w:rFonts w:ascii="Garamond" w:hAnsi="Garamond"/>
          <w:sz w:val="24"/>
          <w:szCs w:val="24"/>
        </w:rPr>
        <w:t>rade Labelling Organizations (interview Fountain, 2011), and the complete conversion of chocolate branders and processors to Fairtrade trading partnerships is the instrumental goal of STT’s chocol</w:t>
      </w:r>
      <w:r>
        <w:rPr>
          <w:rStyle w:val="addmd"/>
          <w:rFonts w:ascii="Garamond" w:hAnsi="Garamond"/>
          <w:sz w:val="24"/>
          <w:szCs w:val="24"/>
        </w:rPr>
        <w:t>ate activism (interview, Eve 2011;</w:t>
      </w:r>
      <w:r w:rsidRPr="00473B8C">
        <w:rPr>
          <w:rStyle w:val="addmd"/>
          <w:rFonts w:ascii="Garamond" w:hAnsi="Garamond"/>
          <w:sz w:val="24"/>
          <w:szCs w:val="24"/>
        </w:rPr>
        <w:t xml:space="preserve"> interview</w:t>
      </w:r>
      <w:r>
        <w:rPr>
          <w:rStyle w:val="addmd"/>
          <w:rFonts w:ascii="Garamond" w:hAnsi="Garamond"/>
          <w:sz w:val="24"/>
          <w:szCs w:val="24"/>
        </w:rPr>
        <w:t>, Rachel</w:t>
      </w:r>
      <w:r w:rsidRPr="00473B8C">
        <w:rPr>
          <w:rStyle w:val="addmd"/>
          <w:rFonts w:ascii="Garamond" w:hAnsi="Garamond"/>
          <w:sz w:val="24"/>
          <w:szCs w:val="24"/>
        </w:rPr>
        <w:t xml:space="preserve">, 2011). </w:t>
      </w:r>
      <w:r w:rsidRPr="00473B8C">
        <w:rPr>
          <w:rFonts w:ascii="Garamond" w:hAnsi="Garamond" w:cs="Times New Roman"/>
          <w:sz w:val="24"/>
          <w:szCs w:val="24"/>
        </w:rPr>
        <w:t>According to STT Amsterdam</w:t>
      </w:r>
      <w:r>
        <w:rPr>
          <w:rFonts w:ascii="Garamond" w:hAnsi="Garamond" w:cs="Times New Roman"/>
          <w:sz w:val="24"/>
          <w:szCs w:val="24"/>
        </w:rPr>
        <w:t>,</w:t>
      </w:r>
      <w:r w:rsidRPr="00473B8C">
        <w:rPr>
          <w:rFonts w:ascii="Garamond" w:hAnsi="Garamond" w:cs="Times New Roman"/>
          <w:sz w:val="24"/>
          <w:szCs w:val="24"/>
        </w:rPr>
        <w:t xml:space="preserve"> the global trade in chocolate is “rotten to the core” (</w:t>
      </w:r>
      <w:r>
        <w:rPr>
          <w:rFonts w:ascii="Garamond" w:hAnsi="Garamond" w:cs="Times New Roman"/>
          <w:sz w:val="24"/>
          <w:szCs w:val="24"/>
        </w:rPr>
        <w:t xml:space="preserve">interview Fountain, </w:t>
      </w:r>
      <w:r w:rsidRPr="00473B8C">
        <w:rPr>
          <w:rFonts w:ascii="Garamond" w:hAnsi="Garamond" w:cs="Times New Roman"/>
          <w:sz w:val="24"/>
          <w:szCs w:val="24"/>
        </w:rPr>
        <w:t>2011), and while STT’s anti-trafficking chocolate campaigns specifically focus on the exploitation of children, the wider project of STT Amsterdam is to use chocolate advocacy to put pressure on state actors and governing bodies to initiate structural changes in the cultural economy of global trade:</w:t>
      </w:r>
    </w:p>
    <w:p w:rsidR="00A05ED2" w:rsidRPr="00473B8C" w:rsidRDefault="00A05ED2" w:rsidP="00A05ED2">
      <w:pPr>
        <w:spacing w:after="0" w:line="360" w:lineRule="auto"/>
        <w:jc w:val="both"/>
        <w:rPr>
          <w:rStyle w:val="addmd"/>
        </w:rPr>
      </w:pPr>
    </w:p>
    <w:p w:rsidR="00A05ED2" w:rsidRDefault="00A05ED2" w:rsidP="00A05ED2">
      <w:pPr>
        <w:spacing w:after="0" w:line="360" w:lineRule="auto"/>
        <w:ind w:left="284" w:right="284"/>
        <w:jc w:val="both"/>
        <w:rPr>
          <w:rFonts w:ascii="Garamond" w:hAnsi="Garamond" w:cs="Times New Roman"/>
        </w:rPr>
      </w:pPr>
      <w:r w:rsidRPr="00473B8C">
        <w:rPr>
          <w:rFonts w:ascii="Garamond" w:hAnsi="Garamond" w:cs="Times New Roman"/>
        </w:rPr>
        <w:t>We need governments to investigate what’s going on, the necessity is there. The problem is Mars is going to be the fastest mover and even they’re not going to get there by 2020, despite them saying they will. Fer</w:t>
      </w:r>
      <w:r>
        <w:rPr>
          <w:rFonts w:ascii="Garamond" w:hAnsi="Garamond" w:cs="Times New Roman"/>
        </w:rPr>
        <w:t>rero, Nestlé</w:t>
      </w:r>
      <w:r w:rsidRPr="00473B8C">
        <w:rPr>
          <w:rFonts w:ascii="Garamond" w:hAnsi="Garamond" w:cs="Times New Roman"/>
        </w:rPr>
        <w:t>, Hershey’s, and Kraft are far behind. It’s going to take eighty bloody years with these small steps! That cannot be a tenable situation. If it’s up to us we’re going to keep pushing this until we actually win it, because we have to. Can we live in a society when we do stuff like this? It’s symptomatic of much broader trade abuses which are going on; the internalization of the costs, the squeezing out of the people at the bottom, the lack of transparency, the draining of wealth from African nations</w:t>
      </w:r>
      <w:r>
        <w:rPr>
          <w:rFonts w:ascii="Garamond" w:hAnsi="Garamond" w:cs="Times New Roman"/>
        </w:rPr>
        <w:t>. (Interview Fountain</w:t>
      </w:r>
      <w:r w:rsidRPr="00473B8C">
        <w:rPr>
          <w:rFonts w:ascii="Garamond" w:hAnsi="Garamond" w:cs="Times New Roman"/>
        </w:rPr>
        <w:t xml:space="preserve"> 2011)</w:t>
      </w:r>
    </w:p>
    <w:p w:rsidR="00A05ED2" w:rsidRPr="00473B8C" w:rsidRDefault="00A05ED2" w:rsidP="00A05ED2">
      <w:pPr>
        <w:spacing w:after="0" w:line="360" w:lineRule="auto"/>
        <w:ind w:left="284" w:right="284"/>
        <w:jc w:val="both"/>
        <w:rPr>
          <w:rFonts w:ascii="Garamond" w:hAnsi="Garamond" w:cs="Times New Roman"/>
        </w:rPr>
      </w:pPr>
    </w:p>
    <w:p w:rsidR="00A05ED2" w:rsidRDefault="00A05ED2" w:rsidP="00A05ED2">
      <w:pPr>
        <w:spacing w:after="0" w:line="360" w:lineRule="auto"/>
        <w:jc w:val="both"/>
        <w:rPr>
          <w:rFonts w:ascii="Garamond" w:eastAsia="Times New Roman" w:hAnsi="Garamond" w:cs="Times New Roman"/>
          <w:sz w:val="24"/>
          <w:szCs w:val="24"/>
          <w:lang w:val="en-US"/>
        </w:rPr>
      </w:pPr>
      <w:r w:rsidRPr="00473B8C">
        <w:rPr>
          <w:rFonts w:ascii="Garamond" w:eastAsia="Times New Roman" w:hAnsi="Garamond" w:cs="Times New Roman"/>
          <w:sz w:val="24"/>
          <w:szCs w:val="24"/>
          <w:lang w:val="en-US"/>
        </w:rPr>
        <w:t>STT Amsterdam use consumer sovereignty as a performative site for negotiation</w:t>
      </w:r>
      <w:r>
        <w:rPr>
          <w:rFonts w:ascii="Garamond" w:eastAsia="Times New Roman" w:hAnsi="Garamond" w:cs="Times New Roman"/>
          <w:sz w:val="24"/>
          <w:szCs w:val="24"/>
          <w:lang w:val="en-US"/>
        </w:rPr>
        <w:t>.</w:t>
      </w:r>
      <w:r w:rsidRPr="00473B8C">
        <w:rPr>
          <w:rFonts w:ascii="Garamond" w:eastAsia="Times New Roman" w:hAnsi="Garamond" w:cs="Times New Roman"/>
          <w:sz w:val="24"/>
          <w:szCs w:val="24"/>
          <w:lang w:val="en-US"/>
        </w:rPr>
        <w:t xml:space="preserve"> Fountain refuses to negotiate with the chocolate firms behind closed doors:</w:t>
      </w:r>
    </w:p>
    <w:p w:rsidR="00A05ED2" w:rsidRPr="00473B8C" w:rsidRDefault="00A05ED2" w:rsidP="00A05ED2">
      <w:pPr>
        <w:spacing w:after="0" w:line="360" w:lineRule="auto"/>
        <w:jc w:val="both"/>
        <w:rPr>
          <w:rFonts w:ascii="Garamond" w:eastAsia="Times New Roman" w:hAnsi="Garamond" w:cs="Times New Roman"/>
          <w:sz w:val="24"/>
          <w:szCs w:val="24"/>
          <w:lang w:val="en-US"/>
        </w:rPr>
      </w:pPr>
    </w:p>
    <w:p w:rsidR="00A05ED2" w:rsidRPr="004F49DC" w:rsidRDefault="00A05ED2" w:rsidP="004F49DC">
      <w:pPr>
        <w:spacing w:after="0" w:line="360" w:lineRule="auto"/>
        <w:ind w:left="284" w:right="284"/>
        <w:jc w:val="both"/>
        <w:rPr>
          <w:rFonts w:ascii="Garamond" w:hAnsi="Garamond" w:cs="Times New Roman"/>
        </w:rPr>
      </w:pPr>
      <w:r>
        <w:rPr>
          <w:rFonts w:ascii="Garamond" w:hAnsi="Garamond" w:cs="Times New Roman"/>
        </w:rPr>
        <w:t>Nowadays, as with Nestlé,</w:t>
      </w:r>
      <w:r w:rsidRPr="00473B8C">
        <w:rPr>
          <w:rFonts w:ascii="Garamond" w:hAnsi="Garamond" w:cs="Times New Roman"/>
        </w:rPr>
        <w:t xml:space="preserve"> we are running a campaign against them and we are speaking with them</w:t>
      </w:r>
      <w:r>
        <w:rPr>
          <w:rFonts w:ascii="Garamond" w:hAnsi="Garamond" w:cs="Times New Roman"/>
        </w:rPr>
        <w:t>.</w:t>
      </w:r>
      <w:r w:rsidRPr="00473B8C">
        <w:rPr>
          <w:rFonts w:ascii="Garamond" w:hAnsi="Garamond" w:cs="Times New Roman"/>
        </w:rPr>
        <w:t xml:space="preserve"> </w:t>
      </w:r>
      <w:r>
        <w:rPr>
          <w:rFonts w:ascii="Garamond" w:hAnsi="Garamond" w:cs="Times New Roman"/>
        </w:rPr>
        <w:t>T</w:t>
      </w:r>
      <w:r w:rsidRPr="00473B8C">
        <w:rPr>
          <w:rFonts w:ascii="Garamond" w:hAnsi="Garamond" w:cs="Times New Roman"/>
        </w:rPr>
        <w:t xml:space="preserve">he level of conversation is can you give us a timetable for Fairtrade. And they said no, so we said </w:t>
      </w:r>
      <w:r>
        <w:rPr>
          <w:rFonts w:ascii="Garamond" w:hAnsi="Garamond" w:cs="Times New Roman"/>
        </w:rPr>
        <w:t>'</w:t>
      </w:r>
      <w:r w:rsidRPr="00473B8C">
        <w:rPr>
          <w:rFonts w:ascii="Garamond" w:hAnsi="Garamond" w:cs="Times New Roman"/>
        </w:rPr>
        <w:t>fine</w:t>
      </w:r>
      <w:r>
        <w:rPr>
          <w:rFonts w:ascii="Garamond" w:hAnsi="Garamond" w:cs="Times New Roman"/>
        </w:rPr>
        <w:t>,</w:t>
      </w:r>
      <w:r w:rsidRPr="00473B8C">
        <w:rPr>
          <w:rFonts w:ascii="Garamond" w:hAnsi="Garamond" w:cs="Times New Roman"/>
        </w:rPr>
        <w:t xml:space="preserve"> we’ll keep running our campaigns</w:t>
      </w:r>
      <w:r>
        <w:rPr>
          <w:rFonts w:ascii="Garamond" w:hAnsi="Garamond" w:cs="Times New Roman"/>
        </w:rPr>
        <w:t>'</w:t>
      </w:r>
      <w:r w:rsidRPr="00473B8C">
        <w:rPr>
          <w:rFonts w:ascii="Garamond" w:hAnsi="Garamond" w:cs="Times New Roman"/>
        </w:rPr>
        <w:t xml:space="preserve">. We told them we don’t do confidentiality agreements, we don’t want behind the scenes information. We said </w:t>
      </w:r>
      <w:r>
        <w:rPr>
          <w:rFonts w:ascii="Garamond" w:hAnsi="Garamond" w:cs="Times New Roman"/>
        </w:rPr>
        <w:t>'</w:t>
      </w:r>
      <w:r w:rsidRPr="00473B8C">
        <w:rPr>
          <w:rFonts w:ascii="Garamond" w:hAnsi="Garamond" w:cs="Times New Roman"/>
        </w:rPr>
        <w:t>look, we feel that the consumers have the right to know when you guys are going to live up to the promises you made. So please don’t expect us to be quiet afterwards, because that’s not what we do</w:t>
      </w:r>
      <w:r>
        <w:rPr>
          <w:rFonts w:ascii="Garamond" w:hAnsi="Garamond" w:cs="Times New Roman"/>
        </w:rPr>
        <w:t>'</w:t>
      </w:r>
      <w:r w:rsidRPr="00473B8C">
        <w:rPr>
          <w:rFonts w:ascii="Garamond" w:hAnsi="Garamond" w:cs="Times New Roman"/>
        </w:rPr>
        <w:t>. So when we had a meeting with them they wanted to know if all our campaigning activities could be streamlined so that the only conversation they would have to have is like this</w:t>
      </w:r>
      <w:r>
        <w:rPr>
          <w:rFonts w:ascii="Garamond" w:hAnsi="Garamond" w:cs="Times New Roman"/>
        </w:rPr>
        <w:t>,</w:t>
      </w:r>
      <w:r w:rsidRPr="00473B8C">
        <w:rPr>
          <w:rFonts w:ascii="Garamond" w:hAnsi="Garamond" w:cs="Times New Roman"/>
        </w:rPr>
        <w:t xml:space="preserve"> instead of replying to all their consumers</w:t>
      </w:r>
      <w:r>
        <w:rPr>
          <w:rFonts w:ascii="Garamond" w:hAnsi="Garamond" w:cs="Times New Roman"/>
        </w:rPr>
        <w:t>.</w:t>
      </w:r>
      <w:r w:rsidRPr="00473B8C">
        <w:rPr>
          <w:rFonts w:ascii="Garamond" w:hAnsi="Garamond" w:cs="Times New Roman"/>
        </w:rPr>
        <w:t xml:space="preserve"> </w:t>
      </w:r>
      <w:r>
        <w:rPr>
          <w:rFonts w:ascii="Garamond" w:hAnsi="Garamond" w:cs="Times New Roman"/>
        </w:rPr>
        <w:t>W</w:t>
      </w:r>
      <w:r w:rsidRPr="00473B8C">
        <w:rPr>
          <w:rFonts w:ascii="Garamond" w:hAnsi="Garamond" w:cs="Times New Roman"/>
        </w:rPr>
        <w:t>e were</w:t>
      </w:r>
      <w:r>
        <w:rPr>
          <w:rFonts w:ascii="Garamond" w:hAnsi="Garamond" w:cs="Times New Roman"/>
        </w:rPr>
        <w:t>…</w:t>
      </w:r>
      <w:r w:rsidRPr="00473B8C">
        <w:rPr>
          <w:rFonts w:ascii="Garamond" w:hAnsi="Garamond" w:cs="Times New Roman"/>
        </w:rPr>
        <w:t xml:space="preserve"> </w:t>
      </w:r>
      <w:r>
        <w:rPr>
          <w:rFonts w:ascii="Garamond" w:hAnsi="Garamond" w:cs="Times New Roman"/>
        </w:rPr>
        <w:t>'</w:t>
      </w:r>
      <w:r w:rsidRPr="00473B8C">
        <w:rPr>
          <w:rFonts w:ascii="Garamond" w:hAnsi="Garamond" w:cs="Times New Roman"/>
        </w:rPr>
        <w:t xml:space="preserve">like we are </w:t>
      </w:r>
      <w:r>
        <w:rPr>
          <w:rFonts w:ascii="Garamond" w:hAnsi="Garamond" w:cs="Times New Roman"/>
        </w:rPr>
        <w:t xml:space="preserve">a </w:t>
      </w:r>
      <w:r w:rsidRPr="00473B8C">
        <w:rPr>
          <w:rFonts w:ascii="Garamond" w:hAnsi="Garamond" w:cs="Times New Roman"/>
        </w:rPr>
        <w:t>grassroots consumer organization, and this is what we are having to do until you have come out with a public commitment that you are going to end this travesty</w:t>
      </w:r>
      <w:r>
        <w:rPr>
          <w:rFonts w:ascii="Garamond" w:hAnsi="Garamond" w:cs="Times New Roman"/>
        </w:rPr>
        <w:t>'</w:t>
      </w:r>
      <w:r w:rsidRPr="00473B8C">
        <w:rPr>
          <w:rFonts w:ascii="Garamond" w:hAnsi="Garamond" w:cs="Times New Roman"/>
        </w:rPr>
        <w:t>.</w:t>
      </w:r>
      <w:r>
        <w:rPr>
          <w:rFonts w:ascii="Garamond" w:hAnsi="Garamond" w:cs="Times New Roman"/>
        </w:rPr>
        <w:t xml:space="preserve"> (Interview Fountain 2011)</w:t>
      </w:r>
    </w:p>
    <w:p w:rsidR="007E10FB" w:rsidRDefault="007E10FB" w:rsidP="00A05ED2">
      <w:pPr>
        <w:spacing w:after="0" w:line="360" w:lineRule="auto"/>
        <w:jc w:val="both"/>
        <w:rPr>
          <w:rFonts w:ascii="Garamond" w:hAnsi="Garamond" w:cs="Times New Roman"/>
          <w:b/>
          <w:sz w:val="24"/>
          <w:szCs w:val="24"/>
        </w:rPr>
      </w:pPr>
    </w:p>
    <w:p w:rsidR="00A05ED2" w:rsidRDefault="00A05ED2" w:rsidP="00A05ED2">
      <w:pPr>
        <w:spacing w:after="0" w:line="360" w:lineRule="auto"/>
        <w:jc w:val="both"/>
        <w:rPr>
          <w:rFonts w:ascii="Garamond" w:hAnsi="Garamond" w:cs="Times New Roman"/>
          <w:b/>
          <w:sz w:val="24"/>
          <w:szCs w:val="24"/>
        </w:rPr>
      </w:pPr>
    </w:p>
    <w:p w:rsidR="00A05ED2" w:rsidRDefault="00A05ED2" w:rsidP="004F49DC">
      <w:pPr>
        <w:pStyle w:val="Heading2"/>
      </w:pPr>
      <w:bookmarkStart w:id="652" w:name="_Toc244535766"/>
      <w:bookmarkStart w:id="653" w:name="_Toc244578398"/>
      <w:bookmarkStart w:id="654" w:name="_Toc244578782"/>
      <w:bookmarkStart w:id="655" w:name="_Toc263452033"/>
      <w:bookmarkStart w:id="656" w:name="_Toc263510951"/>
      <w:r>
        <w:t>Conclusions</w:t>
      </w:r>
      <w:bookmarkEnd w:id="652"/>
      <w:bookmarkEnd w:id="653"/>
      <w:bookmarkEnd w:id="654"/>
      <w:bookmarkEnd w:id="655"/>
      <w:bookmarkEnd w:id="656"/>
    </w:p>
    <w:p w:rsidR="00A05ED2" w:rsidRPr="00274A4E" w:rsidRDefault="00A05ED2" w:rsidP="00A05ED2">
      <w:pPr>
        <w:spacing w:after="0" w:line="360" w:lineRule="auto"/>
        <w:jc w:val="both"/>
        <w:rPr>
          <w:rFonts w:ascii="Garamond" w:hAnsi="Garamond" w:cs="Times New Roman"/>
          <w:b/>
          <w:sz w:val="24"/>
          <w:szCs w:val="24"/>
        </w:rPr>
      </w:pPr>
    </w:p>
    <w:p w:rsidR="00A05ED2" w:rsidRDefault="00A05ED2" w:rsidP="00A05ED2">
      <w:pPr>
        <w:spacing w:after="0" w:line="360" w:lineRule="auto"/>
        <w:jc w:val="both"/>
        <w:rPr>
          <w:rFonts w:ascii="Garamond" w:hAnsi="Garamond" w:cs="Times New Roman"/>
          <w:sz w:val="24"/>
          <w:szCs w:val="24"/>
        </w:rPr>
      </w:pPr>
      <w:r w:rsidRPr="00473B8C">
        <w:rPr>
          <w:rFonts w:ascii="Garamond" w:hAnsi="Garamond" w:cs="Times New Roman"/>
          <w:sz w:val="24"/>
          <w:szCs w:val="24"/>
        </w:rPr>
        <w:t>STT require the threat of</w:t>
      </w:r>
      <w:r>
        <w:rPr>
          <w:rFonts w:ascii="Garamond" w:hAnsi="Garamond" w:cs="Times New Roman"/>
          <w:sz w:val="24"/>
          <w:szCs w:val="24"/>
        </w:rPr>
        <w:t xml:space="preserve"> the neoliberal </w:t>
      </w:r>
      <w:r w:rsidRPr="00473B8C">
        <w:rPr>
          <w:rFonts w:ascii="Garamond" w:hAnsi="Garamond" w:cs="Times New Roman"/>
          <w:sz w:val="24"/>
          <w:szCs w:val="24"/>
        </w:rPr>
        <w:t>consumer</w:t>
      </w:r>
      <w:r>
        <w:rPr>
          <w:rFonts w:ascii="Garamond" w:hAnsi="Garamond" w:cs="Times New Roman"/>
          <w:sz w:val="24"/>
          <w:szCs w:val="24"/>
        </w:rPr>
        <w:t>’s</w:t>
      </w:r>
      <w:r w:rsidRPr="00473B8C">
        <w:rPr>
          <w:rFonts w:ascii="Garamond" w:hAnsi="Garamond" w:cs="Times New Roman"/>
          <w:sz w:val="24"/>
          <w:szCs w:val="24"/>
        </w:rPr>
        <w:t xml:space="preserve"> sovereignty </w:t>
      </w:r>
      <w:r>
        <w:rPr>
          <w:rFonts w:ascii="Garamond" w:hAnsi="Garamond" w:cs="Times New Roman"/>
          <w:sz w:val="24"/>
          <w:szCs w:val="24"/>
        </w:rPr>
        <w:t>in order</w:t>
      </w:r>
      <w:r w:rsidRPr="00473B8C">
        <w:rPr>
          <w:rFonts w:ascii="Garamond" w:hAnsi="Garamond" w:cs="Times New Roman"/>
          <w:sz w:val="24"/>
          <w:szCs w:val="24"/>
        </w:rPr>
        <w:t xml:space="preserve"> to impact </w:t>
      </w:r>
      <w:r>
        <w:rPr>
          <w:rFonts w:ascii="Garamond" w:hAnsi="Garamond" w:cs="Times New Roman"/>
          <w:sz w:val="24"/>
          <w:szCs w:val="24"/>
        </w:rPr>
        <w:t>up</w:t>
      </w:r>
      <w:r w:rsidRPr="00473B8C">
        <w:rPr>
          <w:rFonts w:ascii="Garamond" w:hAnsi="Garamond" w:cs="Times New Roman"/>
          <w:sz w:val="24"/>
          <w:szCs w:val="24"/>
        </w:rPr>
        <w:t xml:space="preserve">on the neo-imperial economies of chocolate production. Theirs is not a grassroots movement in terms of </w:t>
      </w:r>
      <w:r>
        <w:rPr>
          <w:rFonts w:ascii="Garamond" w:hAnsi="Garamond" w:cs="Times New Roman"/>
          <w:sz w:val="24"/>
          <w:szCs w:val="24"/>
        </w:rPr>
        <w:t xml:space="preserve">creating </w:t>
      </w:r>
      <w:r w:rsidRPr="00473B8C">
        <w:rPr>
          <w:rFonts w:ascii="Garamond" w:hAnsi="Garamond" w:cs="Times New Roman"/>
          <w:sz w:val="24"/>
          <w:szCs w:val="24"/>
        </w:rPr>
        <w:t>s</w:t>
      </w:r>
      <w:r>
        <w:rPr>
          <w:rFonts w:ascii="Garamond" w:hAnsi="Garamond" w:cs="Times New Roman"/>
          <w:sz w:val="24"/>
          <w:szCs w:val="24"/>
        </w:rPr>
        <w:t>olidarity and internationalisms; t</w:t>
      </w:r>
      <w:r w:rsidRPr="00473B8C">
        <w:rPr>
          <w:rFonts w:ascii="Garamond" w:hAnsi="Garamond" w:cs="Times New Roman"/>
          <w:sz w:val="24"/>
          <w:szCs w:val="24"/>
        </w:rPr>
        <w:t xml:space="preserve">hey operate </w:t>
      </w:r>
      <w:r>
        <w:rPr>
          <w:rFonts w:ascii="Garamond" w:hAnsi="Garamond" w:cs="Times New Roman"/>
          <w:sz w:val="24"/>
          <w:szCs w:val="24"/>
        </w:rPr>
        <w:t xml:space="preserve">from </w:t>
      </w:r>
      <w:r w:rsidRPr="00473B8C">
        <w:rPr>
          <w:rFonts w:ascii="Garamond" w:hAnsi="Garamond" w:cs="Times New Roman"/>
          <w:sz w:val="24"/>
          <w:szCs w:val="24"/>
        </w:rPr>
        <w:t>a position o</w:t>
      </w:r>
      <w:r>
        <w:rPr>
          <w:rFonts w:ascii="Garamond" w:hAnsi="Garamond" w:cs="Times New Roman"/>
          <w:sz w:val="24"/>
          <w:szCs w:val="24"/>
        </w:rPr>
        <w:t>f neoliberal complicity and critique</w:t>
      </w:r>
      <w:r w:rsidRPr="00473B8C">
        <w:rPr>
          <w:rFonts w:ascii="Garamond" w:hAnsi="Garamond" w:cs="Times New Roman"/>
          <w:sz w:val="24"/>
          <w:szCs w:val="24"/>
        </w:rPr>
        <w:t>. This chapter has argued that what matters is how STT use that sovereignty</w:t>
      </w:r>
      <w:r>
        <w:rPr>
          <w:rFonts w:ascii="Garamond" w:hAnsi="Garamond" w:cs="Times New Roman"/>
          <w:sz w:val="24"/>
          <w:szCs w:val="24"/>
        </w:rPr>
        <w:t>:</w:t>
      </w:r>
      <w:r w:rsidRPr="00473B8C">
        <w:rPr>
          <w:rFonts w:ascii="Garamond" w:hAnsi="Garamond" w:cs="Times New Roman"/>
          <w:sz w:val="24"/>
          <w:szCs w:val="24"/>
        </w:rPr>
        <w:t xml:space="preserve"> how consumers are informed</w:t>
      </w:r>
      <w:r>
        <w:rPr>
          <w:rFonts w:ascii="Garamond" w:hAnsi="Garamond" w:cs="Times New Roman"/>
          <w:sz w:val="24"/>
          <w:szCs w:val="24"/>
        </w:rPr>
        <w:t>, how producers are represented and</w:t>
      </w:r>
      <w:r w:rsidRPr="00473B8C">
        <w:rPr>
          <w:rFonts w:ascii="Garamond" w:hAnsi="Garamond" w:cs="Times New Roman"/>
          <w:sz w:val="24"/>
          <w:szCs w:val="24"/>
        </w:rPr>
        <w:t xml:space="preserve"> how threats are imagined. </w:t>
      </w:r>
      <w:r>
        <w:rPr>
          <w:rFonts w:ascii="Garamond" w:hAnsi="Garamond" w:cs="Times New Roman"/>
          <w:sz w:val="24"/>
          <w:szCs w:val="24"/>
        </w:rPr>
        <w:t xml:space="preserve">With a particular focus on the production of race within STT’s bodywork, I have argued that much of the communicative work undertaken by STT runs the risk of mobilizing problematic racial assemblages or falling prey to anti-racialism. Whether mobilizing liberal humanitarian, developmentalist or post-humanitarian ethico-political discourses, STT’s campaigns leave the racisms of the chocolate industry comparatively untroubled. This can be contrasted, I suggest, to the line taken by STT Amsterdam as they look to problematize the wider capitalist imperialisms and associated racializations within cocoa commodity networks. Whilst not based in organizational forms of transnational solidarity, this nonetheless begins to forge a politics that is about contesting the structural inequality of the cocoa industry rather </w:t>
      </w:r>
      <w:r>
        <w:rPr>
          <w:rFonts w:ascii="Garamond" w:hAnsi="Garamond" w:cs="Times New Roman"/>
          <w:sz w:val="24"/>
          <w:szCs w:val="24"/>
        </w:rPr>
        <w:lastRenderedPageBreak/>
        <w:t>than child trafficking; a politics that begins to speak more of solidarity rather than responsibility:</w:t>
      </w:r>
    </w:p>
    <w:p w:rsidR="00BD45F4" w:rsidRDefault="00BD45F4" w:rsidP="00A05ED2">
      <w:pPr>
        <w:spacing w:after="0" w:line="360" w:lineRule="auto"/>
        <w:ind w:left="284" w:right="284"/>
        <w:jc w:val="both"/>
        <w:rPr>
          <w:rFonts w:ascii="Garamond" w:hAnsi="Garamond" w:cs="Times New Roman"/>
          <w:sz w:val="24"/>
          <w:szCs w:val="24"/>
        </w:rPr>
      </w:pPr>
    </w:p>
    <w:p w:rsidR="00A05ED2" w:rsidRDefault="00A05ED2" w:rsidP="00A05ED2">
      <w:pPr>
        <w:spacing w:after="0" w:line="360" w:lineRule="auto"/>
        <w:ind w:left="284" w:right="284"/>
        <w:jc w:val="both"/>
        <w:rPr>
          <w:rFonts w:ascii="Garamond" w:hAnsi="Garamond" w:cs="Times New Roman"/>
        </w:rPr>
      </w:pPr>
      <w:r>
        <w:rPr>
          <w:rFonts w:ascii="Garamond" w:hAnsi="Garamond" w:cs="Times New Roman"/>
        </w:rPr>
        <w:t>ANTONIE: As ST</w:t>
      </w:r>
      <w:r w:rsidRPr="00380F0A">
        <w:rPr>
          <w:rFonts w:ascii="Garamond" w:hAnsi="Garamond" w:cs="Times New Roman"/>
        </w:rPr>
        <w:t>T in</w:t>
      </w:r>
      <w:r>
        <w:rPr>
          <w:rFonts w:ascii="Garamond" w:hAnsi="Garamond" w:cs="Times New Roman"/>
        </w:rPr>
        <w:t xml:space="preserve"> Holland we come together with trade u</w:t>
      </w:r>
      <w:r w:rsidRPr="00380F0A">
        <w:rPr>
          <w:rFonts w:ascii="Garamond" w:hAnsi="Garamond" w:cs="Times New Roman"/>
        </w:rPr>
        <w:t>nions in the chocolate industry, because grassroots pressure comes from the outside and inside of the industry. A</w:t>
      </w:r>
      <w:r>
        <w:rPr>
          <w:rFonts w:ascii="Garamond" w:hAnsi="Garamond" w:cs="Times New Roman"/>
        </w:rPr>
        <w:t>t this moment I’m talking to people in the trade unions</w:t>
      </w:r>
      <w:r w:rsidRPr="00380F0A">
        <w:rPr>
          <w:rFonts w:ascii="Garamond" w:hAnsi="Garamond" w:cs="Times New Roman"/>
        </w:rPr>
        <w:t xml:space="preserve"> about motivating their members to get involved with sustainable cocoa supplies.</w:t>
      </w:r>
      <w:r>
        <w:rPr>
          <w:rFonts w:ascii="Garamond" w:hAnsi="Garamond" w:cs="Times New Roman"/>
        </w:rPr>
        <w:t xml:space="preserve"> Solidarity with fellow workers. (Interview Fountain 2011)</w:t>
      </w:r>
    </w:p>
    <w:p w:rsidR="00A05ED2" w:rsidRPr="00380F0A" w:rsidRDefault="00A05ED2" w:rsidP="00A05ED2">
      <w:pPr>
        <w:spacing w:after="0" w:line="360" w:lineRule="auto"/>
        <w:ind w:left="284" w:right="284"/>
        <w:jc w:val="both"/>
        <w:rPr>
          <w:rFonts w:ascii="Garamond" w:hAnsi="Garamond" w:cs="Times New Roman"/>
        </w:rPr>
      </w:pPr>
    </w:p>
    <w:p w:rsidR="00A05ED2"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STT's</w:t>
      </w:r>
      <w:r w:rsidRPr="00473B8C">
        <w:rPr>
          <w:rFonts w:ascii="Garamond" w:hAnsi="Garamond" w:cs="Times New Roman"/>
          <w:sz w:val="24"/>
          <w:szCs w:val="24"/>
        </w:rPr>
        <w:t xml:space="preserve"> humanitarian position is suitable for </w:t>
      </w:r>
      <w:r>
        <w:rPr>
          <w:rFonts w:ascii="Garamond" w:hAnsi="Garamond" w:cs="Times New Roman"/>
          <w:sz w:val="24"/>
          <w:szCs w:val="24"/>
        </w:rPr>
        <w:t>bite-</w:t>
      </w:r>
      <w:r w:rsidRPr="00473B8C">
        <w:rPr>
          <w:rFonts w:ascii="Garamond" w:hAnsi="Garamond" w:cs="Times New Roman"/>
          <w:sz w:val="24"/>
          <w:szCs w:val="24"/>
        </w:rPr>
        <w:t>size marketing strategies for fair</w:t>
      </w:r>
      <w:r>
        <w:rPr>
          <w:rFonts w:ascii="Garamond" w:hAnsi="Garamond" w:cs="Times New Roman"/>
          <w:sz w:val="24"/>
          <w:szCs w:val="24"/>
        </w:rPr>
        <w:t xml:space="preserve"> </w:t>
      </w:r>
      <w:r w:rsidRPr="00473B8C">
        <w:rPr>
          <w:rFonts w:ascii="Garamond" w:hAnsi="Garamond" w:cs="Times New Roman"/>
          <w:sz w:val="24"/>
          <w:szCs w:val="24"/>
        </w:rPr>
        <w:t>trade and ethical consumption collectives. The individual rights of the child cocoa producer are prioritized, and the ethical imperatives and quality controls of consumer labelling schemes are uncritically understood to operate benignly as an essential way of protecting the rights of children, cocoa farmers, and the environment from the ravages of the global market, the negligence of chocolate companies and the activities of smugglers (Guthman, 2007). Where campaigns by NGOs and ‘ethically’ orientated companies knowingly use strategies to mobilize the Western consumer through appealing to racial paternalism, or through racialized “b</w:t>
      </w:r>
      <w:r>
        <w:rPr>
          <w:rFonts w:ascii="Garamond" w:hAnsi="Garamond" w:cs="Times New Roman"/>
          <w:sz w:val="24"/>
          <w:szCs w:val="24"/>
        </w:rPr>
        <w:t>leeding heart communications” (I</w:t>
      </w:r>
      <w:r w:rsidRPr="00473B8C">
        <w:rPr>
          <w:rFonts w:ascii="Garamond" w:hAnsi="Garamond" w:cs="Times New Roman"/>
          <w:sz w:val="24"/>
          <w:szCs w:val="24"/>
        </w:rPr>
        <w:t>nterview</w:t>
      </w:r>
      <w:r>
        <w:rPr>
          <w:rFonts w:ascii="Garamond" w:hAnsi="Garamond" w:cs="Times New Roman"/>
          <w:sz w:val="24"/>
          <w:szCs w:val="24"/>
        </w:rPr>
        <w:t xml:space="preserve"> Fountain,</w:t>
      </w:r>
      <w:r w:rsidRPr="00473B8C">
        <w:rPr>
          <w:rFonts w:ascii="Garamond" w:hAnsi="Garamond" w:cs="Times New Roman"/>
          <w:sz w:val="24"/>
          <w:szCs w:val="24"/>
        </w:rPr>
        <w:t xml:space="preserve"> 2011), these types of interactions are justified by the need to expand interest, alleviate poverty and eradicate social and environmental injustice</w:t>
      </w:r>
      <w:r>
        <w:rPr>
          <w:rFonts w:ascii="Garamond" w:hAnsi="Garamond" w:cs="Times New Roman"/>
          <w:sz w:val="24"/>
          <w:szCs w:val="24"/>
        </w:rPr>
        <w:t>s</w:t>
      </w:r>
      <w:r w:rsidRPr="00473B8C">
        <w:rPr>
          <w:rFonts w:ascii="Garamond" w:hAnsi="Garamond" w:cs="Times New Roman"/>
          <w:sz w:val="24"/>
          <w:szCs w:val="24"/>
        </w:rPr>
        <w:t xml:space="preserve"> (ibid., 2011). In similarity to traditional historical theories on the spatial politics of imperialism, the power dynamics across topological distance are understood to act centripetally: decisions from cosmopolitan metropoles work outwards in affecting places considered mar</w:t>
      </w:r>
      <w:r>
        <w:rPr>
          <w:rFonts w:ascii="Garamond" w:hAnsi="Garamond" w:cs="Times New Roman"/>
          <w:sz w:val="24"/>
          <w:szCs w:val="24"/>
        </w:rPr>
        <w:t>ginal to the global economy. It is this very</w:t>
      </w:r>
      <w:r w:rsidRPr="00473B8C">
        <w:rPr>
          <w:rFonts w:ascii="Garamond" w:hAnsi="Garamond" w:cs="Times New Roman"/>
          <w:sz w:val="24"/>
          <w:szCs w:val="24"/>
        </w:rPr>
        <w:t xml:space="preserve"> logic</w:t>
      </w:r>
      <w:r>
        <w:rPr>
          <w:rFonts w:ascii="Garamond" w:hAnsi="Garamond" w:cs="Times New Roman"/>
          <w:sz w:val="24"/>
          <w:szCs w:val="24"/>
        </w:rPr>
        <w:t xml:space="preserve"> that</w:t>
      </w:r>
      <w:r w:rsidRPr="00473B8C">
        <w:rPr>
          <w:rFonts w:ascii="Garamond" w:hAnsi="Garamond" w:cs="Times New Roman"/>
          <w:sz w:val="24"/>
          <w:szCs w:val="24"/>
        </w:rPr>
        <w:t xml:space="preserve"> determines</w:t>
      </w:r>
      <w:r>
        <w:rPr>
          <w:rFonts w:ascii="Garamond" w:hAnsi="Garamond" w:cs="Times New Roman"/>
          <w:sz w:val="24"/>
          <w:szCs w:val="24"/>
        </w:rPr>
        <w:t xml:space="preserve"> how </w:t>
      </w:r>
      <w:r w:rsidRPr="00473B8C">
        <w:rPr>
          <w:rFonts w:ascii="Garamond" w:hAnsi="Garamond" w:cs="Times New Roman"/>
          <w:sz w:val="24"/>
          <w:szCs w:val="24"/>
        </w:rPr>
        <w:t>chocolate consumption is understood through its teleological effects on producers.</w:t>
      </w:r>
    </w:p>
    <w:p w:rsidR="00A05ED2" w:rsidRDefault="00A05ED2" w:rsidP="00A05ED2">
      <w:pPr>
        <w:spacing w:after="0" w:line="360" w:lineRule="auto"/>
        <w:jc w:val="both"/>
        <w:rPr>
          <w:rFonts w:ascii="Garamond" w:hAnsi="Garamond" w:cs="Times New Roman"/>
          <w:sz w:val="24"/>
          <w:szCs w:val="24"/>
        </w:rPr>
      </w:pPr>
    </w:p>
    <w:p w:rsidR="003F4A98" w:rsidRDefault="00A05ED2" w:rsidP="00A05ED2">
      <w:pPr>
        <w:spacing w:after="0" w:line="360" w:lineRule="auto"/>
        <w:jc w:val="both"/>
        <w:rPr>
          <w:rFonts w:ascii="Garamond" w:hAnsi="Garamond" w:cs="Times New Roman"/>
          <w:sz w:val="24"/>
          <w:szCs w:val="24"/>
        </w:rPr>
      </w:pPr>
      <w:r>
        <w:rPr>
          <w:rFonts w:ascii="Garamond" w:hAnsi="Garamond" w:cs="Times New Roman"/>
          <w:sz w:val="24"/>
          <w:szCs w:val="24"/>
        </w:rPr>
        <w:t>In the following chapter, I move from contemporary chocolate anti-trafficking back to Holland in 1974-75, and to a campaign that waged a war of words, images and imaginations with the transnational apartheid propaganda machine. The subject of investigation is white migration and the transferral of the BOA's bodywork from citrus to migrant bodies and their facilitating organizations. Where I have shown STT are concerned with combating forced transnational migrations and their associated 'deviant economies', the BOA intended to altogether halt white migration to South Africa while supporting the libera</w:t>
      </w:r>
      <w:r w:rsidR="003F4A98">
        <w:rPr>
          <w:rFonts w:ascii="Garamond" w:hAnsi="Garamond" w:cs="Times New Roman"/>
          <w:sz w:val="24"/>
          <w:szCs w:val="24"/>
        </w:rPr>
        <w:t>tion struggle in South Africa.</w:t>
      </w:r>
    </w:p>
    <w:p w:rsidR="003F4A98" w:rsidRDefault="003F4A98" w:rsidP="00A05ED2">
      <w:pPr>
        <w:spacing w:after="0" w:line="360" w:lineRule="auto"/>
        <w:jc w:val="both"/>
        <w:rPr>
          <w:rFonts w:ascii="Garamond" w:hAnsi="Garamond" w:cs="Times New Roman"/>
          <w:sz w:val="24"/>
          <w:szCs w:val="24"/>
        </w:rPr>
        <w:sectPr w:rsidR="003F4A98">
          <w:pgSz w:w="11900" w:h="16840"/>
          <w:pgMar w:top="1440" w:right="1800" w:bottom="1134" w:left="1800" w:header="708" w:footer="708" w:gutter="0"/>
          <w:cols w:space="708"/>
        </w:sectPr>
      </w:pPr>
    </w:p>
    <w:p w:rsidR="003F4A98" w:rsidRPr="00CE6C4E" w:rsidRDefault="00A05ED2" w:rsidP="00CE6C4E">
      <w:pPr>
        <w:pStyle w:val="Heading1"/>
        <w:spacing w:before="0" w:line="360" w:lineRule="auto"/>
        <w:jc w:val="right"/>
        <w:rPr>
          <w:rFonts w:ascii="Garamond" w:hAnsi="Garamond"/>
          <w:color w:val="auto"/>
          <w:sz w:val="28"/>
        </w:rPr>
      </w:pPr>
      <w:r w:rsidRPr="00CE6C4E">
        <w:rPr>
          <w:rFonts w:ascii="Garamond" w:hAnsi="Garamond" w:cs="Times New Roman"/>
          <w:color w:val="auto"/>
          <w:sz w:val="28"/>
        </w:rPr>
        <w:lastRenderedPageBreak/>
        <w:t xml:space="preserve"> </w:t>
      </w:r>
      <w:bookmarkStart w:id="657" w:name="_Toc244535767"/>
      <w:bookmarkStart w:id="658" w:name="_Toc244578399"/>
      <w:bookmarkStart w:id="659" w:name="_Toc244578783"/>
      <w:bookmarkStart w:id="660" w:name="_Toc263452034"/>
      <w:bookmarkStart w:id="661" w:name="_Toc263510952"/>
      <w:r w:rsidR="003F4A98" w:rsidRPr="00CE6C4E">
        <w:rPr>
          <w:rFonts w:ascii="Garamond" w:hAnsi="Garamond"/>
          <w:color w:val="auto"/>
          <w:sz w:val="28"/>
        </w:rPr>
        <w:t>Chapter Six</w:t>
      </w:r>
      <w:bookmarkEnd w:id="657"/>
      <w:bookmarkEnd w:id="658"/>
      <w:bookmarkEnd w:id="659"/>
      <w:bookmarkEnd w:id="660"/>
      <w:bookmarkEnd w:id="661"/>
    </w:p>
    <w:p w:rsidR="00CE6C4E" w:rsidRDefault="00CE6C4E" w:rsidP="00CE6C4E">
      <w:pPr>
        <w:pStyle w:val="Heading1"/>
        <w:spacing w:before="0" w:line="360" w:lineRule="auto"/>
        <w:rPr>
          <w:rFonts w:ascii="Garamond" w:hAnsi="Garamond"/>
          <w:color w:val="auto"/>
          <w:sz w:val="28"/>
        </w:rPr>
      </w:pPr>
    </w:p>
    <w:p w:rsidR="003F4A98" w:rsidRPr="00CE6C4E" w:rsidRDefault="003F4A98" w:rsidP="00CE6C4E"/>
    <w:p w:rsidR="003F4A98" w:rsidRPr="00CE6C4E" w:rsidRDefault="003F4A98" w:rsidP="00CE6C4E">
      <w:pPr>
        <w:pStyle w:val="Heading1"/>
        <w:spacing w:before="0" w:line="360" w:lineRule="auto"/>
        <w:rPr>
          <w:rFonts w:ascii="Garamond" w:hAnsi="Garamond"/>
          <w:color w:val="auto"/>
          <w:sz w:val="28"/>
        </w:rPr>
      </w:pPr>
      <w:bookmarkStart w:id="662" w:name="_Toc244535768"/>
      <w:bookmarkStart w:id="663" w:name="_Toc244578400"/>
      <w:bookmarkStart w:id="664" w:name="_Toc244578784"/>
      <w:bookmarkStart w:id="665" w:name="_Toc263452035"/>
      <w:bookmarkStart w:id="666" w:name="_Toc263510953"/>
      <w:r w:rsidRPr="00CE6C4E">
        <w:rPr>
          <w:rFonts w:ascii="Garamond" w:hAnsi="Garamond"/>
          <w:color w:val="auto"/>
          <w:sz w:val="28"/>
        </w:rPr>
        <w:t>Contesting white migrant identities: the BOA boycott of white migration to South Africa and the apartheid 'war of imagination' (1974-1976)</w:t>
      </w:r>
      <w:bookmarkEnd w:id="662"/>
      <w:bookmarkEnd w:id="663"/>
      <w:bookmarkEnd w:id="664"/>
      <w:bookmarkEnd w:id="665"/>
      <w:bookmarkEnd w:id="666"/>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CE6C4E">
      <w:pPr>
        <w:pStyle w:val="Heading2"/>
      </w:pPr>
      <w:bookmarkStart w:id="667" w:name="_Toc244535769"/>
      <w:bookmarkStart w:id="668" w:name="_Toc244578401"/>
      <w:bookmarkStart w:id="669" w:name="_Toc244578785"/>
      <w:bookmarkStart w:id="670" w:name="_Toc263452036"/>
      <w:bookmarkStart w:id="671" w:name="_Toc263510954"/>
      <w:r w:rsidRPr="004246B0">
        <w:t>Introduction</w:t>
      </w:r>
      <w:bookmarkEnd w:id="667"/>
      <w:bookmarkEnd w:id="668"/>
      <w:bookmarkEnd w:id="669"/>
      <w:bookmarkEnd w:id="670"/>
      <w:bookmarkEnd w:id="671"/>
    </w:p>
    <w:p w:rsidR="003F4A98" w:rsidRPr="004246B0" w:rsidRDefault="003F4A98" w:rsidP="003F4A98">
      <w:pPr>
        <w:autoSpaceDE w:val="0"/>
        <w:autoSpaceDN w:val="0"/>
        <w:adjustRightInd w:val="0"/>
        <w:spacing w:after="0" w:line="360" w:lineRule="auto"/>
        <w:jc w:val="center"/>
        <w:rPr>
          <w:rFonts w:ascii="Garamond" w:hAnsi="Garamond"/>
          <w:b/>
          <w:sz w:val="28"/>
          <w:szCs w:val="28"/>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I would like to commend the Centre Europe Tiers Monde, as well as the associated anti-apartheid movements and other organizations, for producing the study on White Migration to Southern Africa...I would like to express the hope that the collaboration of the nine organizations in compiling this study will be a precursor of more concerted action all over Europe to secure and end to all collaboration with racism in South Africa and to support the just struggle of Black people for a non-racial society in which all men and women are assured of freedom, equality and human dignity. (Edwin Ogebe Ogbu, Chairman of the United Nations Special Committee A</w:t>
      </w:r>
      <w:r>
        <w:rPr>
          <w:rFonts w:ascii="Garamond" w:hAnsi="Garamond"/>
        </w:rPr>
        <w:t xml:space="preserve">gainst Apartheid – </w:t>
      </w:r>
      <w:r w:rsidRPr="004246B0">
        <w:rPr>
          <w:rFonts w:ascii="Garamond" w:hAnsi="Garamond"/>
        </w:rPr>
        <w:t>letter, 7th March, 1975)</w:t>
      </w:r>
      <w:r w:rsidRPr="004246B0">
        <w:rPr>
          <w:rStyle w:val="FootnoteReference"/>
          <w:rFonts w:ascii="Garamond" w:hAnsi="Garamond"/>
        </w:rPr>
        <w:footnoteReference w:id="141"/>
      </w:r>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The historicisation and spatialization of whiteness -showing where it came from and how its forms vary across the world- are inherently antagonistic to any attempts to portray whiteness as a natural identity. (Bonnett, 2000: 125)</w:t>
      </w:r>
    </w:p>
    <w:p w:rsidR="003F4A98" w:rsidRPr="004246B0" w:rsidRDefault="003F4A98" w:rsidP="003F4A98">
      <w:pPr>
        <w:autoSpaceDE w:val="0"/>
        <w:autoSpaceDN w:val="0"/>
        <w:adjustRightInd w:val="0"/>
        <w:spacing w:after="0" w:line="360" w:lineRule="auto"/>
        <w:ind w:left="284" w:right="284"/>
        <w:jc w:val="both"/>
        <w:rPr>
          <w:rFonts w:ascii="Garamond" w:hAnsi="Garamond"/>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In this chapter I examine the construction of, and resistance to, a remarkable and largely unreported form of inter-continental Post-War migration. White migration to South Africa was responsible for several decades of white population growth in the apartheid state, and resistance to its increasingly global apparatus became an imperative form of activism for the BOA, and for a transnational</w:t>
      </w:r>
      <w:r w:rsidRPr="004246B0">
        <w:rPr>
          <w:rStyle w:val="FootnoteReference"/>
          <w:rFonts w:ascii="Garamond" w:hAnsi="Garamond"/>
          <w:sz w:val="24"/>
          <w:szCs w:val="24"/>
        </w:rPr>
        <w:footnoteReference w:id="142"/>
      </w:r>
      <w:r w:rsidRPr="004246B0">
        <w:rPr>
          <w:rFonts w:ascii="Garamond" w:hAnsi="Garamond"/>
          <w:sz w:val="24"/>
          <w:szCs w:val="24"/>
        </w:rPr>
        <w:t xml:space="preserve"> anti-apartheid campaign in the early 1970s, of which the Leiden-based organization played an integral part.</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In a conceptual paper on migration policy as post-apartheid identity formation 'from above', Audie Klotz reminds us that migration processes "tell us how identity is defined in practice" (2000: 835).  Recent work in cultural geography on migrant mobilities forwards a more materialist commitment to migration as practiced, lived and experienced on the ground (Christou, 2006; Featherstone</w:t>
      </w:r>
      <w:r>
        <w:rPr>
          <w:rFonts w:ascii="Garamond" w:hAnsi="Garamond"/>
          <w:sz w:val="24"/>
          <w:szCs w:val="24"/>
        </w:rPr>
        <w:t xml:space="preserve"> et</w:t>
      </w:r>
      <w:r w:rsidRPr="004246B0">
        <w:rPr>
          <w:rFonts w:ascii="Garamond" w:hAnsi="Garamond"/>
          <w:sz w:val="24"/>
          <w:szCs w:val="24"/>
        </w:rPr>
        <w:t xml:space="preserve"> al., 2005). These empirical studies tend to shift the focus from migrant flows to the migrants themselves, from transnationalism to 'embodied transnationalism' - the practice of 'producing' the ideal migrant worker through selective recruitment processes on the basis of their embodied attributes (Butcher, 2010; Findlay et al., 2013). What characterizes these cultural geographies is that they seek to understand the "desires, needs and experiences of migrants" (Dunn, 2009: 1, see also Allon </w:t>
      </w:r>
      <w:r w:rsidR="00F152DB">
        <w:rPr>
          <w:rFonts w:ascii="Garamond" w:hAnsi="Garamond"/>
          <w:sz w:val="24"/>
          <w:szCs w:val="24"/>
        </w:rPr>
        <w:t>and</w:t>
      </w:r>
      <w:r w:rsidRPr="004246B0">
        <w:rPr>
          <w:rFonts w:ascii="Garamond" w:hAnsi="Garamond"/>
          <w:sz w:val="24"/>
          <w:szCs w:val="24"/>
        </w:rPr>
        <w:t xml:space="preserve"> Anderson, 2009), but they also conceive these subjectivities as productive of wider politics. For geographer Alison Blunt a key concern of this work is to show "the ways in which migrant mobilities are shaped by, and themselves shape, cultural politics, practices and representations" (2007: 691). This chapter brings the embodied and materialist focus of these studies on migration to bear on the spaces, the imaginaries, and the cultural products of the transnational </w:t>
      </w:r>
      <w:r w:rsidRPr="004246B0">
        <w:rPr>
          <w:rFonts w:ascii="Garamond" w:hAnsi="Garamond"/>
          <w:i/>
          <w:sz w:val="24"/>
          <w:szCs w:val="24"/>
        </w:rPr>
        <w:t>pro</w:t>
      </w:r>
      <w:r w:rsidRPr="004246B0">
        <w:rPr>
          <w:rFonts w:ascii="Garamond" w:hAnsi="Garamond"/>
          <w:sz w:val="24"/>
          <w:szCs w:val="24"/>
        </w:rPr>
        <w:t xml:space="preserve"> and </w:t>
      </w:r>
      <w:r w:rsidRPr="004246B0">
        <w:rPr>
          <w:rFonts w:ascii="Garamond" w:hAnsi="Garamond"/>
          <w:i/>
          <w:sz w:val="24"/>
          <w:szCs w:val="24"/>
        </w:rPr>
        <w:t>anti</w:t>
      </w:r>
      <w:r w:rsidRPr="004246B0">
        <w:rPr>
          <w:rFonts w:ascii="Garamond" w:hAnsi="Garamond"/>
          <w:sz w:val="24"/>
          <w:szCs w:val="24"/>
        </w:rPr>
        <w:t>-apartheid lobbies of the 1970s.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In a seminal </w:t>
      </w:r>
      <w:r w:rsidRPr="004246B0">
        <w:rPr>
          <w:rFonts w:ascii="Garamond" w:hAnsi="Garamond"/>
          <w:i/>
          <w:sz w:val="24"/>
          <w:szCs w:val="24"/>
        </w:rPr>
        <w:t>Progress in Human Geography</w:t>
      </w:r>
      <w:r w:rsidRPr="004246B0">
        <w:rPr>
          <w:rFonts w:ascii="Garamond" w:hAnsi="Garamond"/>
          <w:sz w:val="24"/>
          <w:szCs w:val="24"/>
        </w:rPr>
        <w:t xml:space="preserve"> paper on the interplay between consumer culture, corporations</w:t>
      </w:r>
      <w:r>
        <w:rPr>
          <w:rFonts w:ascii="Garamond" w:hAnsi="Garamond"/>
          <w:sz w:val="24"/>
          <w:szCs w:val="24"/>
        </w:rPr>
        <w:t xml:space="preserve"> and transnationalism, Crang et</w:t>
      </w:r>
      <w:r w:rsidRPr="004246B0">
        <w:rPr>
          <w:rFonts w:ascii="Garamond" w:hAnsi="Garamond"/>
          <w:sz w:val="24"/>
          <w:szCs w:val="24"/>
        </w:rPr>
        <w:t xml:space="preserve"> al</w:t>
      </w:r>
      <w:r>
        <w:rPr>
          <w:rFonts w:ascii="Garamond" w:hAnsi="Garamond"/>
          <w:sz w:val="24"/>
          <w:szCs w:val="24"/>
        </w:rPr>
        <w:t>.</w:t>
      </w:r>
      <w:r w:rsidRPr="004246B0">
        <w:rPr>
          <w:rFonts w:ascii="Garamond" w:hAnsi="Garamond"/>
          <w:sz w:val="24"/>
          <w:szCs w:val="24"/>
        </w:rPr>
        <w:t xml:space="preserve"> (2003) persuasively contest that transnational spaces should not be limited to describing the experiences of migrants and diasporic communities, but should also be made to speak about commodity cultures and "encompass a range of activities, goods, people and ideas" (2003: 446). Their broad approach to the cultural production of transnationalism seems apt for t</w:t>
      </w:r>
      <w:r>
        <w:rPr>
          <w:rFonts w:ascii="Garamond" w:hAnsi="Garamond"/>
          <w:sz w:val="24"/>
          <w:szCs w:val="24"/>
        </w:rPr>
        <w:t>hinking through white migration, n</w:t>
      </w:r>
      <w:r w:rsidRPr="004246B0">
        <w:rPr>
          <w:rFonts w:ascii="Garamond" w:hAnsi="Garamond"/>
          <w:sz w:val="24"/>
          <w:szCs w:val="24"/>
        </w:rPr>
        <w:t xml:space="preserve">ot least because this thinking closely resembles how the BOA approached their activism. Alongside a small group of European AAMs, the BOA attended to how white migration to South Africa brought a white embodied transnationalism together with an eclectic scope of political, cultural, and capitalist actors. For the BOA, this reworked familiar terrain.  With the Outspan boycott of 1972-3, the BOA had intervened in the places of transnational citrus circuits to counteract the economic and social reproduction of apartheid in Europe. The anti-emigration campaign of 1972-75 unveiled transnational cultural circuits of exchange that assembled the idea, justification, and practice of white migration to South Africa. And the various aspects of </w:t>
      </w:r>
      <w:r w:rsidRPr="004246B0">
        <w:rPr>
          <w:rFonts w:ascii="Garamond" w:hAnsi="Garamond"/>
          <w:sz w:val="24"/>
          <w:szCs w:val="24"/>
        </w:rPr>
        <w:lastRenderedPageBreak/>
        <w:t xml:space="preserve">white migration, the BOA argued, made Europeans complicit in the spatial 'fixing' of racial ideologies within South African spaces.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There are four substantive sections to the chapter. In the first I ask 'Why white migration?' Here, I point to the scarcity of studies on white migration to South Africa, and I look at some reasons for this absence. I counter this intellectual neglect by explaining the importance, legacy and potential achievements that work on the subject might achieve. I suggest that work on white migration requires a focus on dispersed histories, and transnational and mobile materializations of apartheid and anti-apartheid resistance.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second section, entitled 'white migration in the war of representation',</w:t>
      </w:r>
      <w:r w:rsidRPr="004246B0">
        <w:rPr>
          <w:rFonts w:ascii="Garamond" w:hAnsi="Garamond"/>
          <w:i/>
          <w:sz w:val="24"/>
          <w:szCs w:val="24"/>
        </w:rPr>
        <w:t xml:space="preserve"> </w:t>
      </w:r>
      <w:r w:rsidRPr="004246B0">
        <w:rPr>
          <w:rFonts w:ascii="Garamond" w:hAnsi="Garamond"/>
          <w:sz w:val="24"/>
          <w:szCs w:val="24"/>
        </w:rPr>
        <w:t>shows how white migration and migrant whiteness became explicit areas of contestation between global pro-apartheid and anti-apartheid lobbies. Beginning with the Sharpeville massacre in 1960, I argue that white migration was directly impacted on by the ways apartheid was represented across global mediascapes, and I show how the global contest over apartheid operated in this sphere, responding to and being affected by events on the ground in South Africa. Borrowing from Charles Mills' (1997) racial rewriting of 'the social contract', I argue that for advocates of apartheid white migration procured a transnational racial contract. It publicized a 'positive' white South Africa</w:t>
      </w:r>
      <w:r>
        <w:rPr>
          <w:rFonts w:ascii="Garamond" w:hAnsi="Garamond"/>
          <w:sz w:val="24"/>
          <w:szCs w:val="24"/>
        </w:rPr>
        <w:t>, one</w:t>
      </w:r>
      <w:r w:rsidRPr="004246B0">
        <w:rPr>
          <w:rFonts w:ascii="Garamond" w:hAnsi="Garamond"/>
          <w:sz w:val="24"/>
          <w:szCs w:val="24"/>
        </w:rPr>
        <w:t xml:space="preserve"> that worked to relegate the international critique of Afrikaner whiteness associated with Sharpeville to history (which is why the anti-apartheid movement took every opportunity to re-establish Sharpeville in global imaginaries of South Africa). Damaging accounts of brutal white nationalisms were replaced by a new transnational whiteness forged from capitalist co-operation between South Africa and Europe, framed by Cold War narratives.</w:t>
      </w:r>
      <w:r w:rsidRPr="004246B0">
        <w:rPr>
          <w:rStyle w:val="FootnoteReference"/>
          <w:rFonts w:ascii="Garamond" w:hAnsi="Garamond"/>
          <w:sz w:val="24"/>
          <w:szCs w:val="24"/>
        </w:rPr>
        <w:footnoteReference w:id="143"/>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Across the other side of the battle lines drawn in what Sanders (2000) terms the 'apartheid war of representation', I introduce some of the pioneering research done by the BOA and other AAMs that published and criticized the links between South African agencies, European governments, pro-apartheid organizations and multinational corporations. I introduce Goldberg's (2009) ''sociality of skin", as a way of showing the </w:t>
      </w:r>
      <w:r w:rsidRPr="004246B0">
        <w:rPr>
          <w:rFonts w:ascii="Garamond" w:hAnsi="Garamond"/>
          <w:sz w:val="24"/>
          <w:szCs w:val="24"/>
        </w:rPr>
        <w:lastRenderedPageBreak/>
        <w:t xml:space="preserve">spatial application of racism was explicitly produced in and through bodies and affect. The everyday construction of apartheid whiteness was driven by psychological pathologies and anthropoemic (to expel, reject) visceralities. Once internalized, these somatic reactions to touch, sharing and intimacy were powerful disciplinary forces that maintained apartness, and worked towards creating the "perfect system of control" (Robinson, 1990 in Mitchell, 2000: 252).  I assert that, drawing from their experience in manufacturing emotive commodity/body topoi, the BOA unveiled or replicated these underpinning psychological and embodied insecurities depending on their audience. They showed that this whiteness was a political negation of the embodied threat presented by miscegenation. That it was the product of maintaining and policing black threats to white contamination and extinction. The legal constitution of apartheid was inscribed onto the body of the white migrant. Migrant body and skin, I demonstrate, produced the sociality of skin. These epidermal geographies bled deep into the economic and social reproduction of South Africa through the micro-segregation of labour and everyday spaces ('petty-apartheid'), and through the macro-spatial ('grand-apartheid') projects of urbicide and forced resettlement.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In the third section, '</w:t>
      </w:r>
      <w:r w:rsidRPr="004246B0">
        <w:rPr>
          <w:rFonts w:ascii="Garamond" w:hAnsi="Garamond"/>
          <w:sz w:val="24"/>
          <w:szCs w:val="24"/>
          <w:shd w:val="clear" w:color="auto" w:fill="FFFFFF"/>
        </w:rPr>
        <w:t>The BOA's national anti-emigration campaign 1974-75: Dismantling the racial assemblages of white migration'</w:t>
      </w:r>
      <w:r w:rsidRPr="004246B0">
        <w:rPr>
          <w:rFonts w:ascii="Garamond" w:hAnsi="Garamond"/>
          <w:i/>
          <w:sz w:val="24"/>
          <w:szCs w:val="24"/>
        </w:rPr>
        <w:t>,</w:t>
      </w:r>
      <w:r w:rsidRPr="004246B0">
        <w:rPr>
          <w:rFonts w:ascii="Garamond" w:hAnsi="Garamond"/>
          <w:sz w:val="24"/>
          <w:szCs w:val="24"/>
        </w:rPr>
        <w:t xml:space="preserve"> I examine how the anti-emigration campaign showed that the white migrant was made up from the social and material transactions between Europe and South Africa.</w:t>
      </w:r>
      <w:r w:rsidRPr="004246B0">
        <w:rPr>
          <w:rStyle w:val="FootnoteReference"/>
          <w:rFonts w:ascii="Garamond" w:hAnsi="Garamond"/>
          <w:sz w:val="24"/>
          <w:szCs w:val="24"/>
        </w:rPr>
        <w:footnoteReference w:id="144"/>
      </w:r>
      <w:r w:rsidRPr="004246B0">
        <w:rPr>
          <w:rFonts w:ascii="Garamond" w:hAnsi="Garamond"/>
          <w:sz w:val="24"/>
          <w:szCs w:val="24"/>
        </w:rPr>
        <w:t xml:space="preserve"> The BOA dismantled the racial assemblages of white migration by implicating on 'racial citizen-science', common-sense knowledges, and media representations of apartheid. I show how the organization produced anti-emigration news and stoked public anticipation for an action outside the South African embassy in The Hague. The aim of this national campaign, I assert, was to address and shame potential white migrants, and to use white migration to further illustrate European complicity with apartheid. I analyse a 1972 anti-emigration advert designed by the BOA co-founder Karel Roskam, and I show that the BOA were able to continue an anti-emigration policy of pedagogy and advertisement deconstruction as pioneered by Kairos, but they also developed a second strategy of "playing skilfully on the fear that was to come" (du Plessis, 1975). This fear was packaged in different forms, but for the national anti-emigration campaign it was carried into Dutch spaces by </w:t>
      </w:r>
      <w:r>
        <w:rPr>
          <w:rFonts w:ascii="Garamond" w:hAnsi="Garamond"/>
          <w:sz w:val="24"/>
          <w:szCs w:val="24"/>
        </w:rPr>
        <w:t xml:space="preserve">the </w:t>
      </w:r>
      <w:r w:rsidRPr="004246B0">
        <w:rPr>
          <w:rFonts w:ascii="Garamond" w:hAnsi="Garamond"/>
          <w:sz w:val="24"/>
          <w:szCs w:val="24"/>
        </w:rPr>
        <w:t xml:space="preserve">figure of the vengeful </w:t>
      </w:r>
      <w:r w:rsidRPr="004246B0">
        <w:rPr>
          <w:rFonts w:ascii="Garamond" w:hAnsi="Garamond"/>
          <w:sz w:val="24"/>
          <w:szCs w:val="24"/>
        </w:rPr>
        <w:lastRenderedPageBreak/>
        <w:t xml:space="preserve">black revolutionary. I defend the BOA's use of racialized fear, and their deployment of counter discourse. Whether or not the images had the power to provoke fear was entirely dependent on whether one interpreted the images from the standpoint of the oppressed or the oppressor. WJT Mitchell argues that all pictures 'want' different things from different people. I argue these images were iconic as these different wants were particularly extreme.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In the final section, </w:t>
      </w:r>
      <w:r w:rsidRPr="004246B0">
        <w:rPr>
          <w:rFonts w:ascii="Garamond" w:hAnsi="Garamond"/>
          <w:i/>
          <w:sz w:val="24"/>
          <w:szCs w:val="24"/>
        </w:rPr>
        <w:t>'</w:t>
      </w:r>
      <w:r w:rsidRPr="004246B0">
        <w:rPr>
          <w:rFonts w:ascii="Garamond" w:hAnsi="Garamond"/>
          <w:sz w:val="24"/>
          <w:szCs w:val="24"/>
        </w:rPr>
        <w:t>Picking the fruits of apartheid: The BOA in the 1974-75 transnational anti-emigration campaign'</w:t>
      </w:r>
      <w:r>
        <w:rPr>
          <w:rFonts w:ascii="Garamond" w:hAnsi="Garamond"/>
          <w:sz w:val="24"/>
          <w:szCs w:val="24"/>
        </w:rPr>
        <w:t>,</w:t>
      </w:r>
      <w:r w:rsidRPr="004246B0">
        <w:rPr>
          <w:rFonts w:ascii="Garamond" w:hAnsi="Garamond"/>
          <w:sz w:val="24"/>
          <w:szCs w:val="24"/>
        </w:rPr>
        <w:t xml:space="preserve"> I use archival material from CETIM</w:t>
      </w:r>
      <w:r w:rsidRPr="004246B0">
        <w:rPr>
          <w:rStyle w:val="FootnoteReference"/>
          <w:rFonts w:ascii="Garamond" w:hAnsi="Garamond"/>
          <w:sz w:val="24"/>
          <w:szCs w:val="24"/>
        </w:rPr>
        <w:footnoteReference w:id="145"/>
      </w:r>
      <w:r w:rsidRPr="004246B0">
        <w:rPr>
          <w:rFonts w:ascii="Garamond" w:hAnsi="Garamond"/>
          <w:sz w:val="24"/>
          <w:szCs w:val="24"/>
        </w:rPr>
        <w:t xml:space="preserve"> and interview extracts to show how the transnational campaign against white migration took shape. Studies on the transnationalism of anti-emigration, I argue, have the potential to displace the importance given to bounded and nationalist narratives of anti-apartheid. Following on from the previous chapter on nationalist and internationalist narratives of apartheid, I show how the BOA had allies over their transnational approach to anti-apartheid. Elements of Dutch anti-apartheid, a few AAMs from across Europe and CETIM shared the BOA's vision of 'racism here, apartheid there'. I emphasize that under the auspices of CETIM, transnational anti-emigration interpreted apartheid racisms as unbounded, globalized, and partly produced in Europe. My study of the transnationalization of anti-emigration is also a study in the relationship between a supra-national AAM (CETIM) and national AAMs, a study of the mobile resistance to the racial imaginaries of apartheid. I argue that the movement resembled a counter-global network (Featherstone, 2008), and was a nascent form of grassroots globalization.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anti-emigration campaign culminated with the collaborative publication of </w:t>
      </w:r>
      <w:r w:rsidRPr="004246B0">
        <w:rPr>
          <w:rFonts w:ascii="Garamond" w:hAnsi="Garamond"/>
          <w:i/>
          <w:sz w:val="24"/>
          <w:szCs w:val="24"/>
        </w:rPr>
        <w:t xml:space="preserve">White Migration to Southern Africa </w:t>
      </w:r>
      <w:r w:rsidR="001A6B91">
        <w:rPr>
          <w:rFonts w:ascii="Garamond" w:hAnsi="Garamond"/>
          <w:sz w:val="24"/>
          <w:szCs w:val="24"/>
        </w:rPr>
        <w:t>(1975), a 250-</w:t>
      </w:r>
      <w:r w:rsidRPr="004246B0">
        <w:rPr>
          <w:rFonts w:ascii="Garamond" w:hAnsi="Garamond"/>
          <w:sz w:val="24"/>
          <w:szCs w:val="24"/>
        </w:rPr>
        <w:t>page academic-activist manifesto. This was a unique publication written to influence policy, mobilize solidarities and develop concrete actions in Europe against apartheid. Minutes from CETIM meetings show that copies were distributed to six of the liberation movements in Southern Africa, to South African universities, to the major European AAMs, and to supra-national anti-apartheid organizations. In September</w:t>
      </w:r>
      <w:r>
        <w:rPr>
          <w:rFonts w:ascii="Garamond" w:hAnsi="Garamond"/>
          <w:sz w:val="24"/>
          <w:szCs w:val="24"/>
        </w:rPr>
        <w:t xml:space="preserve"> 1975, </w:t>
      </w:r>
      <w:r w:rsidRPr="004246B0">
        <w:rPr>
          <w:rFonts w:ascii="Garamond" w:hAnsi="Garamond"/>
          <w:sz w:val="24"/>
          <w:szCs w:val="24"/>
        </w:rPr>
        <w:t xml:space="preserve">the introduction </w:t>
      </w:r>
      <w:r>
        <w:rPr>
          <w:rFonts w:ascii="Garamond" w:hAnsi="Garamond"/>
          <w:sz w:val="24"/>
          <w:szCs w:val="24"/>
        </w:rPr>
        <w:t xml:space="preserve">for </w:t>
      </w:r>
      <w:r>
        <w:rPr>
          <w:rFonts w:ascii="Garamond" w:hAnsi="Garamond"/>
          <w:i/>
          <w:sz w:val="24"/>
          <w:szCs w:val="24"/>
        </w:rPr>
        <w:t>White Migration</w:t>
      </w:r>
      <w:r w:rsidRPr="004246B0">
        <w:rPr>
          <w:rFonts w:ascii="Garamond" w:hAnsi="Garamond"/>
          <w:sz w:val="24"/>
          <w:szCs w:val="24"/>
        </w:rPr>
        <w:t xml:space="preserve"> </w:t>
      </w:r>
      <w:r>
        <w:rPr>
          <w:rFonts w:ascii="Garamond" w:hAnsi="Garamond"/>
          <w:sz w:val="24"/>
          <w:szCs w:val="24"/>
        </w:rPr>
        <w:t>was reprinted</w:t>
      </w:r>
      <w:r w:rsidRPr="004246B0">
        <w:rPr>
          <w:rFonts w:ascii="Garamond" w:hAnsi="Garamond"/>
          <w:sz w:val="24"/>
          <w:szCs w:val="24"/>
        </w:rPr>
        <w:t xml:space="preserve"> for delegates of the Special Committee Against Apartheid and the UN Security Council. Up </w:t>
      </w:r>
      <w:r w:rsidRPr="004246B0">
        <w:rPr>
          <w:rFonts w:ascii="Garamond" w:hAnsi="Garamond"/>
          <w:sz w:val="24"/>
          <w:szCs w:val="24"/>
        </w:rPr>
        <w:lastRenderedPageBreak/>
        <w:t xml:space="preserve">until now, the relevance of the text has been lost to anti-apartheid and antiracist histories. The BOA's role in writing the final chapter was critical. Theirs was the only chapter that addressed potential activists on action models against emigration. Transnational anti-emigration represented a form of global antiracism. I garner interpretations of the BOA from archival material based at CETIM, and I examine how in 1972-75 relationships and activist positions were negotiated in the correspondence between national AAMs (including the BOA) and supra-national organizations (CETIM, the United Nations). I show how the unified antiracist vision of </w:t>
      </w:r>
      <w:r w:rsidRPr="004246B0">
        <w:rPr>
          <w:rFonts w:ascii="Garamond" w:hAnsi="Garamond"/>
          <w:i/>
          <w:sz w:val="24"/>
          <w:szCs w:val="24"/>
        </w:rPr>
        <w:t xml:space="preserve">White Migration </w:t>
      </w:r>
      <w:r w:rsidRPr="004246B0">
        <w:rPr>
          <w:rFonts w:ascii="Garamond" w:hAnsi="Garamond"/>
          <w:sz w:val="24"/>
          <w:szCs w:val="24"/>
        </w:rPr>
        <w:t>was composed by a range of anti-apartheid pro</w:t>
      </w:r>
      <w:r>
        <w:rPr>
          <w:rFonts w:ascii="Garamond" w:hAnsi="Garamond"/>
          <w:sz w:val="24"/>
          <w:szCs w:val="24"/>
        </w:rPr>
        <w:t>files as outlined by Thörn (2006</w:t>
      </w:r>
      <w:r w:rsidRPr="004246B0">
        <w:rPr>
          <w:rFonts w:ascii="Garamond" w:hAnsi="Garamond"/>
          <w:sz w:val="24"/>
          <w:szCs w:val="24"/>
        </w:rPr>
        <w:t xml:space="preserve">), and was comprised of multiple and sometimes contradictory geographical imaginations and subjectivities.  </w:t>
      </w:r>
    </w:p>
    <w:p w:rsidR="003F4A98" w:rsidRDefault="003F4A98" w:rsidP="003F4A98">
      <w:pPr>
        <w:autoSpaceDE w:val="0"/>
        <w:autoSpaceDN w:val="0"/>
        <w:adjustRightInd w:val="0"/>
        <w:spacing w:after="0" w:line="360" w:lineRule="auto"/>
        <w:rPr>
          <w:rFonts w:ascii="Garamond" w:hAnsi="Garamond"/>
          <w:b/>
          <w:sz w:val="24"/>
          <w:szCs w:val="24"/>
        </w:rPr>
      </w:pPr>
    </w:p>
    <w:p w:rsidR="003F4A98" w:rsidRDefault="003F4A98" w:rsidP="003F4A98">
      <w:pPr>
        <w:autoSpaceDE w:val="0"/>
        <w:autoSpaceDN w:val="0"/>
        <w:adjustRightInd w:val="0"/>
        <w:spacing w:after="0" w:line="360" w:lineRule="auto"/>
        <w:rPr>
          <w:rFonts w:ascii="Garamond" w:hAnsi="Garamond"/>
          <w:b/>
          <w:sz w:val="24"/>
          <w:szCs w:val="24"/>
        </w:rPr>
      </w:pPr>
    </w:p>
    <w:p w:rsidR="003F4A98" w:rsidRPr="004246B0" w:rsidRDefault="003F4A98" w:rsidP="00037B38">
      <w:pPr>
        <w:pStyle w:val="Heading2"/>
      </w:pPr>
      <w:bookmarkStart w:id="672" w:name="_Toc244535770"/>
      <w:bookmarkStart w:id="673" w:name="_Toc244578402"/>
      <w:bookmarkStart w:id="674" w:name="_Toc244578786"/>
      <w:bookmarkStart w:id="675" w:name="_Toc263452037"/>
      <w:bookmarkStart w:id="676" w:name="_Toc263510955"/>
      <w:r w:rsidRPr="004246B0">
        <w:t>Why White Migration?</w:t>
      </w:r>
      <w:bookmarkEnd w:id="672"/>
      <w:bookmarkEnd w:id="673"/>
      <w:bookmarkEnd w:id="674"/>
      <w:bookmarkEnd w:id="675"/>
      <w:bookmarkEnd w:id="676"/>
    </w:p>
    <w:p w:rsidR="003F4A98" w:rsidRPr="004246B0" w:rsidRDefault="003F4A98" w:rsidP="003F4A98">
      <w:pPr>
        <w:autoSpaceDE w:val="0"/>
        <w:autoSpaceDN w:val="0"/>
        <w:adjustRightInd w:val="0"/>
        <w:spacing w:after="0" w:line="360" w:lineRule="auto"/>
        <w:jc w:val="both"/>
        <w:rPr>
          <w:rFonts w:ascii="Garamond" w:hAnsi="Garamond"/>
          <w:color w:val="000000"/>
          <w:sz w:val="24"/>
          <w:szCs w:val="24"/>
          <w:shd w:val="clear" w:color="auto" w:fill="FFFFFF"/>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Without white migration there would have been no apartheid, but the reverse is certainly not true. White migration is colonialism in transit, and it predates and outlives South African apartheid</w:t>
      </w:r>
      <w:r w:rsidRPr="004246B0">
        <w:rPr>
          <w:rStyle w:val="FootnoteReference"/>
          <w:rFonts w:ascii="Garamond" w:hAnsi="Garamond"/>
          <w:sz w:val="24"/>
          <w:szCs w:val="24"/>
        </w:rPr>
        <w:footnoteReference w:id="146"/>
      </w:r>
      <w:r w:rsidRPr="004246B0">
        <w:rPr>
          <w:rFonts w:ascii="Garamond" w:hAnsi="Garamond"/>
          <w:sz w:val="24"/>
          <w:szCs w:val="24"/>
        </w:rPr>
        <w:t xml:space="preserve"> to impact continuously on our present. In other words, South African apartheid was, among many other things, a specific spatio-temporal fix of white migration. Studies on apartheid-era white migration point towards compelling new areas for research on the transnational formation and history of white identities. To question white migration to South Africa immediately brings to the fore the mobility of the apartheid apparatus, and its justificatory discourses beyond South African borders. In a landmark speech at the start of the millennium the Canadian geographer, Jonathan Crush, spoke at a conference on the challenges presented by migrat</w:t>
      </w:r>
      <w:r w:rsidR="00037B38">
        <w:rPr>
          <w:rFonts w:ascii="Garamond" w:hAnsi="Garamond"/>
          <w:sz w:val="24"/>
          <w:szCs w:val="24"/>
        </w:rPr>
        <w:t>ion for South Africa in the 21</w:t>
      </w:r>
      <w:r w:rsidR="00037B38" w:rsidRPr="00037B38">
        <w:rPr>
          <w:rFonts w:ascii="Garamond" w:hAnsi="Garamond"/>
          <w:sz w:val="24"/>
          <w:szCs w:val="24"/>
          <w:vertAlign w:val="superscript"/>
        </w:rPr>
        <w:t>st</w:t>
      </w:r>
      <w:r w:rsidRPr="004246B0">
        <w:rPr>
          <w:rFonts w:ascii="Garamond" w:hAnsi="Garamond"/>
          <w:sz w:val="24"/>
          <w:szCs w:val="24"/>
        </w:rPr>
        <w:t xml:space="preserve"> century. During the speech he described </w:t>
      </w:r>
      <w:r w:rsidRPr="004246B0">
        <w:rPr>
          <w:rFonts w:ascii="Garamond" w:hAnsi="Garamond"/>
          <w:color w:val="000000"/>
          <w:sz w:val="24"/>
          <w:szCs w:val="24"/>
          <w:shd w:val="clear" w:color="auto" w:fill="FFFFFF"/>
        </w:rPr>
        <w:t xml:space="preserve">apartheid era migration as "a naked instrument of racial domination". </w:t>
      </w:r>
      <w:r w:rsidRPr="004246B0">
        <w:rPr>
          <w:rFonts w:ascii="Garamond" w:hAnsi="Garamond"/>
          <w:sz w:val="24"/>
          <w:szCs w:val="24"/>
        </w:rPr>
        <w:t>Crush continued:</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color w:val="000000"/>
          <w:shd w:val="clear" w:color="auto" w:fill="FFFFFF"/>
        </w:rPr>
      </w:pPr>
      <w:r w:rsidRPr="004246B0">
        <w:rPr>
          <w:rFonts w:ascii="Garamond" w:hAnsi="Garamond"/>
          <w:color w:val="000000"/>
        </w:rPr>
        <w:t>the official definition of an immigrant was that he or she (usually he) had to be “assimilable” by the white population. By definition, Africans could not be immigrants.</w:t>
      </w:r>
      <w:r>
        <w:rPr>
          <w:rFonts w:ascii="Garamond" w:hAnsi="Garamond"/>
          <w:color w:val="000000"/>
        </w:rPr>
        <w:t xml:space="preserve"> (2000b: n.p.)</w:t>
      </w:r>
    </w:p>
    <w:p w:rsidR="003F4A98" w:rsidRPr="004246B0" w:rsidRDefault="003F4A98" w:rsidP="003F4A98">
      <w:pPr>
        <w:autoSpaceDE w:val="0"/>
        <w:autoSpaceDN w:val="0"/>
        <w:adjustRightInd w:val="0"/>
        <w:spacing w:after="0" w:line="360" w:lineRule="auto"/>
        <w:jc w:val="both"/>
        <w:rPr>
          <w:rFonts w:ascii="Garamond" w:hAnsi="Garamond"/>
          <w:color w:val="000000"/>
          <w:sz w:val="24"/>
          <w:szCs w:val="24"/>
          <w:shd w:val="clear" w:color="auto" w:fill="FFFFFF"/>
        </w:rPr>
      </w:pPr>
    </w:p>
    <w:p w:rsidR="003F4A98" w:rsidRPr="004246B0" w:rsidRDefault="003F4A98" w:rsidP="003F4A98">
      <w:pPr>
        <w:autoSpaceDE w:val="0"/>
        <w:autoSpaceDN w:val="0"/>
        <w:adjustRightInd w:val="0"/>
        <w:spacing w:after="0" w:line="360" w:lineRule="auto"/>
        <w:jc w:val="both"/>
        <w:rPr>
          <w:rFonts w:ascii="Garamond" w:hAnsi="Garamond"/>
          <w:color w:val="000000"/>
          <w:sz w:val="24"/>
          <w:szCs w:val="24"/>
          <w:shd w:val="clear" w:color="auto" w:fill="FFFFFF"/>
        </w:rPr>
      </w:pPr>
      <w:r w:rsidRPr="004246B0">
        <w:rPr>
          <w:rFonts w:ascii="Garamond" w:hAnsi="Garamond"/>
          <w:color w:val="000000"/>
          <w:sz w:val="24"/>
          <w:szCs w:val="24"/>
          <w:shd w:val="clear" w:color="auto" w:fill="FFFFFF"/>
        </w:rPr>
        <w:lastRenderedPageBreak/>
        <w:t>I demonstrate that the BOA's anti-emigration campaigns personalized this description so that the white migrant himself was nudged into the spotlight, and unveiled as a naked instrument of racial oppression.</w:t>
      </w:r>
    </w:p>
    <w:p w:rsidR="003F4A98" w:rsidRPr="004246B0" w:rsidRDefault="003F4A98" w:rsidP="003F4A98">
      <w:pPr>
        <w:autoSpaceDE w:val="0"/>
        <w:autoSpaceDN w:val="0"/>
        <w:adjustRightInd w:val="0"/>
        <w:spacing w:after="0" w:line="360" w:lineRule="auto"/>
        <w:jc w:val="both"/>
        <w:rPr>
          <w:rFonts w:ascii="Garamond" w:hAnsi="Garamond"/>
          <w:color w:val="000000"/>
          <w:sz w:val="24"/>
          <w:szCs w:val="24"/>
          <w:shd w:val="clear" w:color="auto" w:fill="FFFFFF"/>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Given the potential of this type of research to document a key stage in global antiracism and anti-apartheid, the scarcity of studies on white migration to South Africa across migration studies, histories of whiteness and historical geographies of South Africa is noteworthy.</w:t>
      </w:r>
      <w:r w:rsidRPr="004246B0">
        <w:rPr>
          <w:rStyle w:val="FootnoteReference"/>
          <w:rFonts w:ascii="Garamond" w:hAnsi="Garamond"/>
          <w:sz w:val="24"/>
          <w:szCs w:val="24"/>
        </w:rPr>
        <w:footnoteReference w:id="147"/>
      </w:r>
      <w:r w:rsidRPr="004246B0">
        <w:rPr>
          <w:rFonts w:ascii="Garamond" w:hAnsi="Garamond"/>
          <w:sz w:val="24"/>
          <w:szCs w:val="24"/>
        </w:rPr>
        <w:t xml:space="preserve">  Since 1994, South African academics have produced many nuanced and detailed histories on the apartheid and its social, economic, political and psychological spheres of operation (several of which were published in volume two of the 2011 opus, </w:t>
      </w:r>
      <w:r w:rsidRPr="004246B0">
        <w:rPr>
          <w:rFonts w:ascii="Garamond" w:hAnsi="Garamond"/>
          <w:i/>
          <w:sz w:val="24"/>
          <w:szCs w:val="24"/>
        </w:rPr>
        <w:t>The Cambridge History of South Africa</w:t>
      </w:r>
      <w:r w:rsidRPr="004246B0">
        <w:rPr>
          <w:rFonts w:ascii="Garamond" w:hAnsi="Garamond"/>
          <w:sz w:val="24"/>
          <w:szCs w:val="24"/>
        </w:rPr>
        <w:t xml:space="preserve">). White migration makes an appearance as a form of Foucauldian social engineering on a national scale in sociologist Deborah Posel's thorough dissection of the complexities of apartheid, 'The Apartheid Project 1948-1970' (2011). But across these histories there are no analyses of how white migration was normalized, policed, contested or transnationalized. A 2008 policy publication on post-apartheid South African immigration suggests that this neglect is endemic to the region. The authors question a widespread lacuna </w:t>
      </w:r>
      <w:r>
        <w:rPr>
          <w:rFonts w:ascii="Garamond" w:hAnsi="Garamond"/>
          <w:sz w:val="24"/>
          <w:szCs w:val="24"/>
        </w:rPr>
        <w:t xml:space="preserve">in </w:t>
      </w:r>
      <w:r w:rsidRPr="004246B0">
        <w:rPr>
          <w:rFonts w:ascii="Garamond" w:hAnsi="Garamond"/>
          <w:sz w:val="24"/>
          <w:szCs w:val="24"/>
        </w:rPr>
        <w:t xml:space="preserve">intellectual engagement: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South Africa has not produced the intellectual debate over migration that would give it weight among its political elites and enable decision-makers to consider it as anything other than a legacy from colonialism and apartheid as far as white immigrants are concerned and a post-apartheid phenomenon for their black counterparts. Although largely relying on migration throughout its historical, industrial and general economic development, South African society has paid scant attention so far to both the </w:t>
      </w:r>
      <w:r w:rsidRPr="004246B0">
        <w:rPr>
          <w:rFonts w:ascii="Garamond" w:hAnsi="Garamond"/>
        </w:rPr>
        <w:lastRenderedPageBreak/>
        <w:t>implications of this on the texture of its population and the means to use this legacy and its modern ava</w:t>
      </w:r>
      <w:r w:rsidR="001A6B91">
        <w:rPr>
          <w:rFonts w:ascii="Garamond" w:hAnsi="Garamond"/>
        </w:rPr>
        <w:t xml:space="preserve">tars as a tool for development. </w:t>
      </w:r>
      <w:r w:rsidRPr="004246B0">
        <w:rPr>
          <w:rFonts w:ascii="Garamond" w:hAnsi="Garamond"/>
        </w:rPr>
        <w:t>(Kabwe-Segaatti, 2008: 58)</w:t>
      </w:r>
      <w:r w:rsidRPr="004246B0">
        <w:rPr>
          <w:rStyle w:val="FootnoteReference"/>
          <w:rFonts w:ascii="Garamond" w:hAnsi="Garamond"/>
          <w:sz w:val="24"/>
          <w:szCs w:val="24"/>
        </w:rPr>
        <w:t xml:space="preserve"> </w:t>
      </w:r>
      <w:r w:rsidRPr="004246B0">
        <w:rPr>
          <w:rStyle w:val="FootnoteReference"/>
          <w:rFonts w:ascii="Garamond" w:hAnsi="Garamond"/>
          <w:sz w:val="24"/>
          <w:szCs w:val="24"/>
        </w:rPr>
        <w:footnoteReference w:id="148"/>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1A6B91"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absence of intellectual engagement on white migration to South Africa in the years 1945-94 cannot be attributed to a lack of importance or relevance to apartheid and its resistance. European migrants provided South Africa with a quarter of a million new inhabitants between 1960 and 1970 (Stone, 1975; Lipton, 1985), and between 1966 and 1970 immigration was responsible for 40% of the increase in the white population (Minty, 1975).</w:t>
      </w:r>
      <w:r w:rsidRPr="004246B0">
        <w:rPr>
          <w:rStyle w:val="FootnoteReference"/>
          <w:rFonts w:ascii="Garamond" w:hAnsi="Garamond"/>
          <w:sz w:val="24"/>
          <w:szCs w:val="24"/>
        </w:rPr>
        <w:footnoteReference w:id="149"/>
      </w:r>
      <w:r w:rsidRPr="004246B0">
        <w:rPr>
          <w:rFonts w:ascii="Garamond" w:hAnsi="Garamond"/>
          <w:sz w:val="24"/>
          <w:szCs w:val="24"/>
        </w:rPr>
        <w:t xml:space="preserve"> Attracting white migrants was a cornerstone of 1970s apartheid policy (Crush, 2000), and factions of the anti-apartheid movement had been mobilizing for anti-emigration campaigns for many years before 1972. Given that the anti-emigration campaigns marked the acceleration of anti-apartheid into a truly global movement (alongside sports and cultural boycotts), it is odd that research on anti-apartheid has yet to analyse them.</w:t>
      </w:r>
    </w:p>
    <w:p w:rsidR="003F4A98"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If we consider the wider tendency to focus on representations of non-whites in histories and geographies of antiracism,</w:t>
      </w:r>
      <w:r w:rsidRPr="004246B0">
        <w:rPr>
          <w:rStyle w:val="FootnoteReference"/>
          <w:rFonts w:ascii="Garamond" w:hAnsi="Garamond"/>
          <w:sz w:val="24"/>
          <w:szCs w:val="24"/>
        </w:rPr>
        <w:footnoteReference w:id="150"/>
      </w:r>
      <w:r w:rsidRPr="004246B0">
        <w:rPr>
          <w:rFonts w:ascii="Garamond" w:hAnsi="Garamond"/>
          <w:sz w:val="24"/>
          <w:szCs w:val="24"/>
        </w:rPr>
        <w:t xml:space="preserve"> we might perhaps interpret the absence of studies on European migrant whiteness as an extension to this trend. But Kabwe-Segaatti also provides a clue in the extract from the Witwatersrand study above; conducting research on apartheid era white migration carries the anxiety of replicating white migration as a legacy of colonialism, and black migration as a post-apartheid phenomenon.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continued legacy of apartheid era migration policy (e.g. the </w:t>
      </w:r>
      <w:r w:rsidRPr="004246B0">
        <w:rPr>
          <w:rFonts w:ascii="Garamond" w:hAnsi="Garamond"/>
          <w:i/>
          <w:sz w:val="24"/>
          <w:szCs w:val="24"/>
        </w:rPr>
        <w:t>1991 Aliens Act</w:t>
      </w:r>
      <w:r w:rsidRPr="004246B0">
        <w:rPr>
          <w:rFonts w:ascii="Garamond" w:hAnsi="Garamond"/>
          <w:sz w:val="24"/>
          <w:szCs w:val="24"/>
        </w:rPr>
        <w:t xml:space="preserve">) on post-1994 South Africa has been studied intensely, but so far this has not proved ameliorative in a policy sense. Apartheid era laws on migration that supported white power have yet to be reformed (Perberdy, 1999; Crush, 1999; Klotz, 2000; Polzer, 2005). Klotz (2000) insists that 'non-racial xenophobia' is halting reform, that both the ANC and the Inkatha party are reluctant to loosen tight border restrictions with other Southern African nations.  When the priority for South African scholars of migration is to lobby change over contemporary migration policy, it is possible to see how studies on apartheid era white migration might be interpreted as a distraction.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Aside from a comparative study on British and South African immigration law by Ian Macdonald in 1983, substantial intellectual engagement with white migration to South Africa does not pre-date 1994. Anti-apartheid has often been studied from an 'eventist' perspective, whereby narratives of political and cultural transformation are constructed around the static co-ordinates of the big dates (e.g. Shar</w:t>
      </w:r>
      <w:r w:rsidR="001A6B91">
        <w:rPr>
          <w:rFonts w:ascii="Garamond" w:hAnsi="Garamond"/>
          <w:sz w:val="24"/>
          <w:szCs w:val="24"/>
        </w:rPr>
        <w:t>peville, 21</w:t>
      </w:r>
      <w:r w:rsidR="001A6B91" w:rsidRPr="001A6B91">
        <w:rPr>
          <w:rFonts w:ascii="Garamond" w:hAnsi="Garamond"/>
          <w:sz w:val="24"/>
          <w:szCs w:val="24"/>
          <w:vertAlign w:val="superscript"/>
        </w:rPr>
        <w:t>st</w:t>
      </w:r>
      <w:r>
        <w:rPr>
          <w:rFonts w:ascii="Garamond" w:hAnsi="Garamond"/>
          <w:sz w:val="24"/>
          <w:szCs w:val="24"/>
        </w:rPr>
        <w:t xml:space="preserve"> March </w:t>
      </w:r>
      <w:r w:rsidRPr="004246B0">
        <w:rPr>
          <w:rFonts w:ascii="Garamond" w:hAnsi="Garamond"/>
          <w:sz w:val="24"/>
          <w:szCs w:val="24"/>
        </w:rPr>
        <w:t>1960</w:t>
      </w:r>
      <w:r>
        <w:rPr>
          <w:rFonts w:ascii="Garamond" w:hAnsi="Garamond"/>
          <w:sz w:val="24"/>
          <w:szCs w:val="24"/>
        </w:rPr>
        <w:t>, official</w:t>
      </w:r>
      <w:r w:rsidRPr="004246B0">
        <w:rPr>
          <w:rFonts w:ascii="Garamond" w:hAnsi="Garamond"/>
          <w:sz w:val="24"/>
          <w:szCs w:val="24"/>
        </w:rPr>
        <w:t xml:space="preserve"> end of apartheid, </w:t>
      </w:r>
      <w:r w:rsidR="001A6B91">
        <w:rPr>
          <w:rFonts w:ascii="Garamond" w:hAnsi="Garamond"/>
          <w:sz w:val="24"/>
          <w:szCs w:val="24"/>
        </w:rPr>
        <w:t>9</w:t>
      </w:r>
      <w:r w:rsidR="001A6B91" w:rsidRPr="001A6B91">
        <w:rPr>
          <w:rFonts w:ascii="Garamond" w:hAnsi="Garamond"/>
          <w:sz w:val="24"/>
          <w:szCs w:val="24"/>
          <w:vertAlign w:val="superscript"/>
        </w:rPr>
        <w:t>th</w:t>
      </w:r>
      <w:r>
        <w:rPr>
          <w:rFonts w:ascii="Garamond" w:hAnsi="Garamond"/>
          <w:sz w:val="24"/>
          <w:szCs w:val="24"/>
        </w:rPr>
        <w:t xml:space="preserve"> May </w:t>
      </w:r>
      <w:r w:rsidRPr="004246B0">
        <w:rPr>
          <w:rFonts w:ascii="Garamond" w:hAnsi="Garamond"/>
          <w:sz w:val="24"/>
          <w:szCs w:val="24"/>
        </w:rPr>
        <w:t>1994). This approach is understandable given that that historians invest events with symbolic meaning and make ages or eras from the gaps in-between,</w:t>
      </w:r>
      <w:r w:rsidRPr="004246B0">
        <w:rPr>
          <w:rStyle w:val="FootnoteReference"/>
          <w:rFonts w:ascii="Garamond" w:hAnsi="Garamond"/>
          <w:sz w:val="24"/>
          <w:szCs w:val="24"/>
        </w:rPr>
        <w:footnoteReference w:id="151"/>
      </w:r>
      <w:r w:rsidRPr="004246B0">
        <w:rPr>
          <w:rFonts w:ascii="Garamond" w:hAnsi="Garamond"/>
          <w:sz w:val="24"/>
          <w:szCs w:val="24"/>
        </w:rPr>
        <w:t xml:space="preserve"> and anti-apartheid actions frequently occurred on the anniversaries of these big dates. But a weakness to this type of anti-apartheid historiography is that process and more mobile transformations can be overlooked. The challenge of studying white migration for contemporary scholars of anti-apartheid is similar to that faced by anti-emigration activists in the 1970s; its importance to the cause needs to be evidenced. White migration comes attached to no grand event or gesture, no massacre nor fixed action to conglomerate action and channel solidarity. Instead it was unrelenting</w:t>
      </w:r>
      <w:r w:rsidR="001A6B91">
        <w:rPr>
          <w:rFonts w:ascii="Garamond" w:hAnsi="Garamond"/>
          <w:sz w:val="24"/>
          <w:szCs w:val="24"/>
        </w:rPr>
        <w:t xml:space="preserve"> process – </w:t>
      </w:r>
      <w:r w:rsidRPr="004246B0">
        <w:rPr>
          <w:rFonts w:ascii="Garamond" w:hAnsi="Garamond"/>
          <w:sz w:val="24"/>
          <w:szCs w:val="24"/>
        </w:rPr>
        <w:t xml:space="preserve">fragmentary, mobile and stretched across decades and continents. As such, writing about white migration means elucidating a largely 'hidden' history of international solidarity (Featherstone, 2012); it entails collecting scattered evidence, and making fresh meanings from transnational connections. Examining apartheid migration to South Africa offers a portal into the transnational spatialization of whiteness, and articulates how the racial political economy of South Africa was partly assembled in European places through people, transnational connections and capital. I start with the familiar story of Sharpeville and relate it to the less familiar co-ordinates of white migration. Sharpeville was ingrained in the BOA's activist repertoire, and bringing the massacre into the 'now' provided international recognition and solidarity for the anti-emigration campaigns.  </w:t>
      </w:r>
    </w:p>
    <w:p w:rsidR="001A6B91" w:rsidRDefault="001A6B91"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037B38">
      <w:pPr>
        <w:pStyle w:val="Heading2"/>
      </w:pPr>
      <w:bookmarkStart w:id="677" w:name="_Toc244535771"/>
      <w:bookmarkStart w:id="678" w:name="_Toc244578403"/>
      <w:bookmarkStart w:id="679" w:name="_Toc244578787"/>
      <w:bookmarkStart w:id="680" w:name="_Toc263452038"/>
      <w:bookmarkStart w:id="681" w:name="_Toc263510956"/>
      <w:r w:rsidRPr="004246B0">
        <w:t>White migration and the war of representation</w:t>
      </w:r>
      <w:bookmarkEnd w:id="677"/>
      <w:bookmarkEnd w:id="678"/>
      <w:bookmarkEnd w:id="679"/>
      <w:bookmarkEnd w:id="680"/>
      <w:bookmarkEnd w:id="681"/>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1A6B91" w:rsidRDefault="003F4A98" w:rsidP="003F4A98">
      <w:pPr>
        <w:autoSpaceDE w:val="0"/>
        <w:autoSpaceDN w:val="0"/>
        <w:adjustRightInd w:val="0"/>
        <w:spacing w:after="0" w:line="360" w:lineRule="auto"/>
        <w:jc w:val="both"/>
        <w:rPr>
          <w:rFonts w:ascii="Garamond" w:hAnsi="Garamond"/>
          <w:b/>
          <w:i/>
          <w:szCs w:val="24"/>
        </w:rPr>
      </w:pPr>
      <w:r w:rsidRPr="001A6B91">
        <w:rPr>
          <w:rFonts w:ascii="Garamond" w:hAnsi="Garamond"/>
          <w:b/>
          <w:i/>
          <w:szCs w:val="24"/>
        </w:rPr>
        <w:t xml:space="preserve">Sharpeville and white migration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In </w:t>
      </w:r>
      <w:r w:rsidRPr="004246B0">
        <w:rPr>
          <w:rFonts w:ascii="Garamond" w:hAnsi="Garamond"/>
          <w:i/>
          <w:sz w:val="24"/>
          <w:szCs w:val="24"/>
        </w:rPr>
        <w:t xml:space="preserve">Anti-apartheid and the emergence of a global civil society, </w:t>
      </w:r>
      <w:r w:rsidRPr="004246B0">
        <w:rPr>
          <w:rFonts w:ascii="Garamond" w:hAnsi="Garamond"/>
          <w:sz w:val="24"/>
          <w:szCs w:val="24"/>
        </w:rPr>
        <w:t xml:space="preserve">Håkan Thörn (2009) asserts that anti-apartheid events which are remembered as momentous were often preceded by </w:t>
      </w:r>
      <w:r w:rsidRPr="004246B0">
        <w:rPr>
          <w:rFonts w:ascii="Garamond" w:hAnsi="Garamond"/>
          <w:sz w:val="24"/>
          <w:szCs w:val="24"/>
        </w:rPr>
        <w:lastRenderedPageBreak/>
        <w:t>equally important happenings that did not receive the same publicity. But these events acted as signposts for the global media to capture the next 'big thing'. Sharpeville, he continues, was one such event. In Sharpeville, a town 30 miles South of Johannesburg, South African police attacked a peaceful black protest on March 21st 1960. The protest was organized by the PAC to contest the pass laws (laws that curtailed black movement and required all black people to carry a pass-book). The protesters asked the authorities to arrest them for not carrying their pass-books. In response the police opened fire. The shooting left 69 dead and 180 injured, including many women and children. That the tragedy became a leitmotiv of apartheid brutality (and subsequently an anti-apartheid symbol of change and resistance) was a consequence of well-publicized calls for international boycotts in the preceding months from Albert Luthuli in South Africa,</w:t>
      </w:r>
      <w:r w:rsidRPr="004246B0">
        <w:rPr>
          <w:rStyle w:val="FootnoteReference"/>
          <w:rFonts w:ascii="Garamond" w:hAnsi="Garamond"/>
          <w:sz w:val="24"/>
          <w:szCs w:val="24"/>
        </w:rPr>
        <w:footnoteReference w:id="152"/>
      </w:r>
      <w:r w:rsidRPr="004246B0">
        <w:rPr>
          <w:rFonts w:ascii="Garamond" w:hAnsi="Garamond"/>
          <w:sz w:val="24"/>
          <w:szCs w:val="24"/>
        </w:rPr>
        <w:t xml:space="preserve"> and of the press being prepared for violence following the largely unreported massacre of Windhoek, Namibia in 1959. Windhoek marked the brutal intent of the white supremacists to murder peaceful protesters and boycotters of municipal services. In other words, Sharpeville was primed to be a transnational event even before it happened; cameras were ready to capture the event, and journalists were prepared to give the images immediate context. Consequently photographs of the protest, the shootings and its aftermath adorned newspapers across the world, and the massacre became a global spectacle that created a crisis of confidence within South African white politics (Dalcanton, 1976) and diminished international sympathy for apartheid rule (Gerhart, 1978)</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center"/>
        <w:rPr>
          <w:rFonts w:ascii="Garamond" w:hAnsi="Garamond"/>
          <w:sz w:val="24"/>
          <w:szCs w:val="24"/>
        </w:rPr>
      </w:pPr>
      <w:r w:rsidRPr="004246B0">
        <w:rPr>
          <w:rFonts w:ascii="Garamond" w:hAnsi="Garamond"/>
          <w:noProof/>
          <w:lang w:eastAsia="en-GB"/>
        </w:rPr>
        <w:lastRenderedPageBreak/>
        <w:drawing>
          <wp:inline distT="0" distB="0" distL="0" distR="0">
            <wp:extent cx="4703557" cy="3037640"/>
            <wp:effectExtent l="19050" t="0" r="1793" b="0"/>
            <wp:docPr id="107" name="Picture 9" descr="photo of scared people running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 of scared people running away"/>
                    <pic:cNvPicPr>
                      <a:picLocks noChangeAspect="1" noChangeArrowheads="1"/>
                    </pic:cNvPicPr>
                  </pic:nvPicPr>
                  <pic:blipFill>
                    <a:blip r:embed="rId102" cstate="print"/>
                    <a:srcRect/>
                    <a:stretch>
                      <a:fillRect/>
                    </a:stretch>
                  </pic:blipFill>
                  <pic:spPr bwMode="auto">
                    <a:xfrm>
                      <a:off x="0" y="0"/>
                      <a:ext cx="4741451" cy="3062112"/>
                    </a:xfrm>
                    <a:prstGeom prst="rect">
                      <a:avLst/>
                    </a:prstGeom>
                    <a:noFill/>
                    <a:ln w="9525">
                      <a:noFill/>
                      <a:miter lim="800000"/>
                      <a:headEnd/>
                      <a:tailEnd/>
                    </a:ln>
                  </pic:spPr>
                </pic:pic>
              </a:graphicData>
            </a:graphic>
          </wp:inline>
        </w:drawing>
      </w:r>
    </w:p>
    <w:p w:rsidR="003E091C" w:rsidRDefault="001A6B91" w:rsidP="001A6B91">
      <w:pPr>
        <w:pStyle w:val="Caption"/>
        <w:ind w:left="426"/>
        <w:rPr>
          <w:rFonts w:ascii="Perpetua" w:hAnsi="Perpetua"/>
          <w:b w:val="0"/>
          <w:color w:val="auto"/>
          <w:sz w:val="20"/>
        </w:rPr>
      </w:pPr>
      <w:bookmarkStart w:id="682" w:name="_Toc263509055"/>
      <w:bookmarkStart w:id="683" w:name="_Toc263510842"/>
      <w:bookmarkStart w:id="684" w:name="_Toc244577320"/>
      <w:bookmarkStart w:id="685" w:name="_Toc263495789"/>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58</w:t>
      </w:r>
      <w:r w:rsidR="00DF2DF8" w:rsidRPr="003E091C">
        <w:rPr>
          <w:rFonts w:ascii="Perpetua" w:hAnsi="Perpetua"/>
          <w:b w:val="0"/>
          <w:color w:val="auto"/>
          <w:sz w:val="20"/>
        </w:rPr>
        <w:fldChar w:fldCharType="end"/>
      </w:r>
      <w:r w:rsidR="003F4A98" w:rsidRPr="003E091C">
        <w:rPr>
          <w:rFonts w:ascii="Perpetua" w:hAnsi="Perpetua"/>
          <w:b w:val="0"/>
          <w:color w:val="auto"/>
          <w:sz w:val="20"/>
        </w:rPr>
        <w:t>:</w:t>
      </w:r>
      <w:r w:rsidR="003F4A98" w:rsidRPr="0000513E">
        <w:rPr>
          <w:rFonts w:ascii="Perpetua" w:hAnsi="Perpetua"/>
          <w:b w:val="0"/>
          <w:color w:val="auto"/>
          <w:sz w:val="20"/>
        </w:rPr>
        <w:t xml:space="preserve"> P</w:t>
      </w:r>
      <w:r w:rsidR="003E091C">
        <w:rPr>
          <w:rFonts w:ascii="Perpetua" w:hAnsi="Perpetua"/>
          <w:b w:val="0"/>
          <w:color w:val="auto"/>
          <w:sz w:val="20"/>
        </w:rPr>
        <w:t>hotograph of p</w:t>
      </w:r>
      <w:r w:rsidR="003F4A98" w:rsidRPr="0000513E">
        <w:rPr>
          <w:rFonts w:ascii="Perpetua" w:hAnsi="Perpetua"/>
          <w:b w:val="0"/>
          <w:color w:val="auto"/>
          <w:sz w:val="20"/>
        </w:rPr>
        <w:t>eaceful crowds fleeing gunfire from South African</w:t>
      </w:r>
      <w:r w:rsidR="003E091C">
        <w:rPr>
          <w:rFonts w:ascii="Perpetua" w:hAnsi="Perpetua"/>
          <w:b w:val="0"/>
          <w:color w:val="auto"/>
          <w:sz w:val="20"/>
        </w:rPr>
        <w:t xml:space="preserve"> Police at Sharpeville, 21 March </w:t>
      </w:r>
      <w:r w:rsidR="003F4A98" w:rsidRPr="0000513E">
        <w:rPr>
          <w:rFonts w:ascii="Perpetua" w:hAnsi="Perpetua"/>
          <w:b w:val="0"/>
          <w:color w:val="auto"/>
          <w:sz w:val="20"/>
        </w:rPr>
        <w:t>1960.</w:t>
      </w:r>
      <w:bookmarkEnd w:id="682"/>
      <w:bookmarkEnd w:id="683"/>
      <w:r w:rsidR="003F4A98" w:rsidRPr="0000513E">
        <w:rPr>
          <w:rFonts w:ascii="Perpetua" w:hAnsi="Perpetua"/>
          <w:b w:val="0"/>
          <w:color w:val="auto"/>
          <w:sz w:val="20"/>
        </w:rPr>
        <w:t xml:space="preserve"> </w:t>
      </w:r>
    </w:p>
    <w:p w:rsidR="003F4A98" w:rsidRPr="003E091C" w:rsidRDefault="003F4A98" w:rsidP="003E091C">
      <w:pPr>
        <w:ind w:left="426"/>
        <w:rPr>
          <w:rFonts w:ascii="Perpetua" w:hAnsi="Perpetua"/>
          <w:sz w:val="20"/>
        </w:rPr>
      </w:pPr>
      <w:r w:rsidRPr="003E091C">
        <w:rPr>
          <w:rFonts w:ascii="Perpetua" w:hAnsi="Perpetua"/>
          <w:sz w:val="20"/>
        </w:rPr>
        <w:t>Courtesy of Ian Berry/Magnum Photos</w:t>
      </w:r>
      <w:r w:rsidR="001A6B91" w:rsidRPr="003E091C">
        <w:rPr>
          <w:rFonts w:ascii="Perpetua" w:hAnsi="Perpetua"/>
          <w:sz w:val="20"/>
        </w:rPr>
        <w:t>.</w:t>
      </w:r>
      <w:r w:rsidR="0000513E" w:rsidRPr="003E091C">
        <w:rPr>
          <w:rFonts w:ascii="Perpetua" w:hAnsi="Perpetua"/>
          <w:sz w:val="20"/>
        </w:rPr>
        <w:t xml:space="preserve"> Photograph reprinted by Liverpool's International Museum of Slavery. Available at: http://www.liverpoolmuseums.org.uk/ism/exhibitions/livingapart/sharpeville.aspx</w:t>
      </w:r>
      <w:bookmarkEnd w:id="684"/>
      <w:bookmarkEnd w:id="685"/>
    </w:p>
    <w:p w:rsidR="003F4A98" w:rsidRPr="004246B0" w:rsidRDefault="003F4A98" w:rsidP="003F4A98">
      <w:pPr>
        <w:autoSpaceDE w:val="0"/>
        <w:autoSpaceDN w:val="0"/>
        <w:adjustRightInd w:val="0"/>
        <w:spacing w:after="0" w:line="360" w:lineRule="auto"/>
        <w:jc w:val="center"/>
        <w:rPr>
          <w:rFonts w:ascii="Garamond" w:hAnsi="Garamond"/>
          <w:i/>
        </w:rPr>
      </w:pPr>
    </w:p>
    <w:p w:rsidR="003F4A98" w:rsidRPr="004246B0" w:rsidRDefault="003F4A98" w:rsidP="003F4A98">
      <w:pPr>
        <w:autoSpaceDE w:val="0"/>
        <w:autoSpaceDN w:val="0"/>
        <w:adjustRightInd w:val="0"/>
        <w:spacing w:after="0" w:line="360" w:lineRule="auto"/>
        <w:jc w:val="center"/>
        <w:rPr>
          <w:rFonts w:ascii="Garamond" w:hAnsi="Garamond"/>
          <w:sz w:val="24"/>
          <w:szCs w:val="24"/>
        </w:rPr>
      </w:pPr>
      <w:r w:rsidRPr="004246B0">
        <w:rPr>
          <w:rFonts w:ascii="Garamond" w:hAnsi="Garamond"/>
          <w:noProof/>
          <w:lang w:eastAsia="en-GB"/>
        </w:rPr>
        <w:drawing>
          <wp:inline distT="0" distB="0" distL="0" distR="0">
            <wp:extent cx="4133402" cy="3380454"/>
            <wp:effectExtent l="19050" t="0" r="448" b="0"/>
            <wp:docPr id="108" name="Picture 12" descr="DERIV-364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RIV-364_29-4"/>
                    <pic:cNvPicPr>
                      <a:picLocks noChangeAspect="1" noChangeArrowheads="1"/>
                    </pic:cNvPicPr>
                  </pic:nvPicPr>
                  <pic:blipFill>
                    <a:blip r:embed="rId103" cstate="print"/>
                    <a:srcRect/>
                    <a:stretch>
                      <a:fillRect/>
                    </a:stretch>
                  </pic:blipFill>
                  <pic:spPr bwMode="auto">
                    <a:xfrm>
                      <a:off x="0" y="0"/>
                      <a:ext cx="4133826" cy="3380801"/>
                    </a:xfrm>
                    <a:prstGeom prst="rect">
                      <a:avLst/>
                    </a:prstGeom>
                    <a:noFill/>
                    <a:ln w="9525">
                      <a:noFill/>
                      <a:miter lim="800000"/>
                      <a:headEnd/>
                      <a:tailEnd/>
                    </a:ln>
                  </pic:spPr>
                </pic:pic>
              </a:graphicData>
            </a:graphic>
          </wp:inline>
        </w:drawing>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E091C" w:rsidRDefault="001A6B91" w:rsidP="004837E5">
      <w:pPr>
        <w:pStyle w:val="Caption"/>
        <w:ind w:left="851" w:right="929"/>
        <w:rPr>
          <w:rFonts w:ascii="Perpetua" w:hAnsi="Perpetua"/>
          <w:b w:val="0"/>
          <w:color w:val="auto"/>
          <w:sz w:val="20"/>
        </w:rPr>
      </w:pPr>
      <w:bookmarkStart w:id="686" w:name="_Toc263509056"/>
      <w:bookmarkStart w:id="687" w:name="_Toc263510843"/>
      <w:bookmarkStart w:id="688" w:name="_Toc244577321"/>
      <w:bookmarkStart w:id="689" w:name="_Toc263495790"/>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59</w:t>
      </w:r>
      <w:r w:rsidR="00DF2DF8" w:rsidRPr="003E091C">
        <w:rPr>
          <w:rFonts w:ascii="Perpetua" w:hAnsi="Perpetua"/>
          <w:b w:val="0"/>
          <w:color w:val="auto"/>
          <w:sz w:val="20"/>
        </w:rPr>
        <w:fldChar w:fldCharType="end"/>
      </w:r>
      <w:r w:rsidR="003F4A98" w:rsidRPr="003E091C">
        <w:rPr>
          <w:rFonts w:ascii="Perpetua" w:hAnsi="Perpetua"/>
          <w:b w:val="0"/>
          <w:color w:val="auto"/>
          <w:sz w:val="20"/>
        </w:rPr>
        <w:t>:</w:t>
      </w:r>
      <w:r w:rsidR="003F4A98" w:rsidRPr="0000513E">
        <w:rPr>
          <w:rFonts w:ascii="Perpetua" w:hAnsi="Perpetua"/>
          <w:b w:val="0"/>
          <w:color w:val="auto"/>
          <w:sz w:val="20"/>
        </w:rPr>
        <w:t xml:space="preserve"> P</w:t>
      </w:r>
      <w:r w:rsidR="003E091C">
        <w:rPr>
          <w:rFonts w:ascii="Perpetua" w:hAnsi="Perpetua"/>
          <w:b w:val="0"/>
          <w:color w:val="auto"/>
          <w:sz w:val="20"/>
        </w:rPr>
        <w:t>hotograph of p</w:t>
      </w:r>
      <w:r w:rsidR="003F4A98" w:rsidRPr="0000513E">
        <w:rPr>
          <w:rFonts w:ascii="Perpetua" w:hAnsi="Perpetua"/>
          <w:b w:val="0"/>
          <w:color w:val="auto"/>
          <w:sz w:val="20"/>
        </w:rPr>
        <w:t>olice assaulting men, women and children at Sharpeville after Sabre aircraft were used to 'buzz' and disperse the 20,000 protesters</w:t>
      </w:r>
      <w:r w:rsidR="003E091C">
        <w:rPr>
          <w:rFonts w:ascii="Perpetua" w:hAnsi="Perpetua"/>
          <w:b w:val="0"/>
          <w:color w:val="auto"/>
          <w:sz w:val="20"/>
        </w:rPr>
        <w:t>, 21 March 1960</w:t>
      </w:r>
      <w:r w:rsidR="003F4A98" w:rsidRPr="0000513E">
        <w:rPr>
          <w:rFonts w:ascii="Perpetua" w:hAnsi="Perpetua"/>
          <w:b w:val="0"/>
          <w:color w:val="auto"/>
          <w:sz w:val="20"/>
        </w:rPr>
        <w:t>.</w:t>
      </w:r>
      <w:bookmarkEnd w:id="686"/>
      <w:bookmarkEnd w:id="687"/>
      <w:r w:rsidR="003F4A98" w:rsidRPr="0000513E">
        <w:rPr>
          <w:rFonts w:ascii="Perpetua" w:hAnsi="Perpetua"/>
          <w:b w:val="0"/>
          <w:color w:val="auto"/>
          <w:sz w:val="20"/>
        </w:rPr>
        <w:t xml:space="preserve"> </w:t>
      </w:r>
    </w:p>
    <w:p w:rsidR="003F4A98" w:rsidRPr="003E091C" w:rsidRDefault="003F4A98" w:rsidP="003E091C">
      <w:pPr>
        <w:ind w:left="851"/>
        <w:rPr>
          <w:rFonts w:ascii="Perpetua" w:hAnsi="Perpetua"/>
          <w:sz w:val="20"/>
        </w:rPr>
      </w:pPr>
      <w:r w:rsidRPr="003E091C">
        <w:rPr>
          <w:rFonts w:ascii="Perpetua" w:hAnsi="Perpetua"/>
          <w:sz w:val="20"/>
        </w:rPr>
        <w:t>Image courtesy of ANC archives</w:t>
      </w:r>
      <w:r w:rsidR="0000513E" w:rsidRPr="003E091C">
        <w:rPr>
          <w:rFonts w:ascii="Perpetua" w:hAnsi="Perpetua"/>
          <w:sz w:val="20"/>
        </w:rPr>
        <w:t>. Available at: http://ancarchives.org.za/sharpeville-protest/</w:t>
      </w:r>
      <w:bookmarkEnd w:id="688"/>
      <w:bookmarkEnd w:id="689"/>
    </w:p>
    <w:p w:rsidR="003F4A98" w:rsidRPr="004246B0" w:rsidRDefault="003F4A98" w:rsidP="003F4A98">
      <w:pPr>
        <w:autoSpaceDE w:val="0"/>
        <w:autoSpaceDN w:val="0"/>
        <w:adjustRightInd w:val="0"/>
        <w:spacing w:after="0" w:line="360" w:lineRule="auto"/>
        <w:jc w:val="center"/>
        <w:rPr>
          <w:rFonts w:ascii="Garamond" w:hAnsi="Garamond"/>
          <w:sz w:val="24"/>
          <w:szCs w:val="24"/>
        </w:rPr>
      </w:pPr>
      <w:r w:rsidRPr="004246B0">
        <w:rPr>
          <w:rFonts w:ascii="Garamond" w:hAnsi="Garamond"/>
          <w:noProof/>
          <w:lang w:eastAsia="en-GB"/>
        </w:rPr>
        <w:lastRenderedPageBreak/>
        <w:drawing>
          <wp:inline distT="0" distB="0" distL="0" distR="0">
            <wp:extent cx="4294766" cy="3276272"/>
            <wp:effectExtent l="19050" t="0" r="0" b="0"/>
            <wp:docPr id="109" name="Picture 15" descr=" - nex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 next picture"/>
                    <pic:cNvPicPr>
                      <a:picLocks noChangeAspect="1" noChangeArrowheads="1"/>
                    </pic:cNvPicPr>
                  </pic:nvPicPr>
                  <pic:blipFill>
                    <a:blip r:embed="rId104" cstate="print"/>
                    <a:srcRect/>
                    <a:stretch>
                      <a:fillRect/>
                    </a:stretch>
                  </pic:blipFill>
                  <pic:spPr bwMode="auto">
                    <a:xfrm>
                      <a:off x="0" y="0"/>
                      <a:ext cx="4299378" cy="3279790"/>
                    </a:xfrm>
                    <a:prstGeom prst="rect">
                      <a:avLst/>
                    </a:prstGeom>
                    <a:noFill/>
                    <a:ln w="9525">
                      <a:noFill/>
                      <a:miter lim="800000"/>
                      <a:headEnd/>
                      <a:tailEnd/>
                    </a:ln>
                  </pic:spPr>
                </pic:pic>
              </a:graphicData>
            </a:graphic>
          </wp:inline>
        </w:drawing>
      </w:r>
    </w:p>
    <w:p w:rsidR="003E091C" w:rsidRDefault="004837E5" w:rsidP="0000513E">
      <w:pPr>
        <w:pStyle w:val="Caption"/>
        <w:ind w:left="1134" w:right="929"/>
        <w:rPr>
          <w:rFonts w:ascii="Perpetua" w:hAnsi="Perpetua"/>
          <w:b w:val="0"/>
          <w:color w:val="auto"/>
          <w:sz w:val="20"/>
        </w:rPr>
      </w:pPr>
      <w:bookmarkStart w:id="690" w:name="_Toc263509057"/>
      <w:bookmarkStart w:id="691" w:name="_Toc263510844"/>
      <w:bookmarkStart w:id="692" w:name="_Toc244577322"/>
      <w:bookmarkStart w:id="693" w:name="_Toc263495791"/>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60</w:t>
      </w:r>
      <w:r w:rsidR="00DF2DF8" w:rsidRPr="003E091C">
        <w:rPr>
          <w:rFonts w:ascii="Perpetua" w:hAnsi="Perpetua"/>
          <w:b w:val="0"/>
          <w:color w:val="auto"/>
          <w:sz w:val="20"/>
        </w:rPr>
        <w:fldChar w:fldCharType="end"/>
      </w:r>
      <w:r w:rsidR="003F4A98" w:rsidRPr="003E091C">
        <w:rPr>
          <w:rFonts w:ascii="Perpetua" w:hAnsi="Perpetua"/>
          <w:b w:val="0"/>
          <w:color w:val="auto"/>
          <w:sz w:val="20"/>
        </w:rPr>
        <w:t>:</w:t>
      </w:r>
      <w:r w:rsidR="003F4A98" w:rsidRPr="004837E5">
        <w:rPr>
          <w:rFonts w:ascii="Perpetua" w:hAnsi="Perpetua"/>
          <w:b w:val="0"/>
          <w:color w:val="auto"/>
          <w:sz w:val="20"/>
        </w:rPr>
        <w:t xml:space="preserve"> "Recollections of Sharpeville": waterc</w:t>
      </w:r>
      <w:r w:rsidR="003E091C">
        <w:rPr>
          <w:rFonts w:ascii="Perpetua" w:hAnsi="Perpetua"/>
          <w:b w:val="0"/>
          <w:color w:val="auto"/>
          <w:sz w:val="20"/>
        </w:rPr>
        <w:t>olour painting by Gerard Sekoto.</w:t>
      </w:r>
      <w:bookmarkEnd w:id="690"/>
      <w:bookmarkEnd w:id="691"/>
      <w:r w:rsidR="003F4A98" w:rsidRPr="004837E5">
        <w:rPr>
          <w:rFonts w:ascii="Perpetua" w:hAnsi="Perpetua"/>
          <w:b w:val="0"/>
          <w:color w:val="auto"/>
          <w:sz w:val="20"/>
        </w:rPr>
        <w:t xml:space="preserve"> </w:t>
      </w:r>
    </w:p>
    <w:p w:rsidR="003F4A98" w:rsidRPr="003E091C" w:rsidRDefault="003E091C" w:rsidP="003E091C">
      <w:pPr>
        <w:ind w:left="1134" w:right="929"/>
        <w:rPr>
          <w:rFonts w:ascii="Perpetua" w:hAnsi="Perpetua"/>
          <w:sz w:val="20"/>
        </w:rPr>
      </w:pPr>
      <w:r>
        <w:rPr>
          <w:rFonts w:ascii="Perpetua" w:hAnsi="Perpetua"/>
          <w:sz w:val="20"/>
        </w:rPr>
        <w:t xml:space="preserve">Gerard Sekoto was an </w:t>
      </w:r>
      <w:r w:rsidRPr="003E091C">
        <w:rPr>
          <w:rFonts w:ascii="Perpetua" w:hAnsi="Perpetua"/>
          <w:sz w:val="20"/>
        </w:rPr>
        <w:t xml:space="preserve">exiled South African artist based in Paris </w:t>
      </w:r>
      <w:r>
        <w:rPr>
          <w:rFonts w:ascii="Perpetua" w:hAnsi="Perpetua"/>
          <w:sz w:val="20"/>
        </w:rPr>
        <w:t>during the time of the massacre; the</w:t>
      </w:r>
      <w:r w:rsidRPr="003E091C">
        <w:rPr>
          <w:rFonts w:ascii="Perpetua" w:hAnsi="Perpetua"/>
          <w:sz w:val="20"/>
        </w:rPr>
        <w:t xml:space="preserve"> </w:t>
      </w:r>
      <w:r w:rsidR="003F4A98" w:rsidRPr="003E091C">
        <w:rPr>
          <w:rFonts w:ascii="Perpetua" w:hAnsi="Perpetua"/>
          <w:sz w:val="20"/>
        </w:rPr>
        <w:t>painting amalgamates several of the iconic photographs of the tragedy.</w:t>
      </w:r>
      <w:bookmarkEnd w:id="692"/>
      <w:bookmarkEnd w:id="693"/>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00513E" w:rsidRDefault="003F4A98" w:rsidP="003F4A98">
      <w:pPr>
        <w:autoSpaceDE w:val="0"/>
        <w:autoSpaceDN w:val="0"/>
        <w:adjustRightInd w:val="0"/>
        <w:spacing w:after="0" w:line="360" w:lineRule="auto"/>
        <w:jc w:val="center"/>
        <w:rPr>
          <w:rFonts w:ascii="Perpetua" w:hAnsi="Perpetua"/>
          <w:sz w:val="20"/>
          <w:szCs w:val="24"/>
        </w:rPr>
      </w:pPr>
      <w:r w:rsidRPr="0000513E">
        <w:rPr>
          <w:rFonts w:ascii="Perpetua" w:hAnsi="Perpetua"/>
          <w:noProof/>
          <w:sz w:val="20"/>
          <w:lang w:eastAsia="en-GB"/>
        </w:rPr>
        <w:drawing>
          <wp:inline distT="0" distB="0" distL="0" distR="0">
            <wp:extent cx="4718857" cy="2829261"/>
            <wp:effectExtent l="19050" t="0" r="5543" b="0"/>
            <wp:docPr id="110" name="Picture 3" descr="The aftermath of the 1960 Sharpeville massacre in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aftermath of the 1960 Sharpeville massacre in South Africa"/>
                    <pic:cNvPicPr>
                      <a:picLocks noChangeAspect="1" noChangeArrowheads="1"/>
                    </pic:cNvPicPr>
                  </pic:nvPicPr>
                  <pic:blipFill>
                    <a:blip r:embed="rId105" cstate="print"/>
                    <a:srcRect/>
                    <a:stretch>
                      <a:fillRect/>
                    </a:stretch>
                  </pic:blipFill>
                  <pic:spPr bwMode="auto">
                    <a:xfrm>
                      <a:off x="0" y="0"/>
                      <a:ext cx="4719581" cy="2829695"/>
                    </a:xfrm>
                    <a:prstGeom prst="rect">
                      <a:avLst/>
                    </a:prstGeom>
                    <a:noFill/>
                    <a:ln w="9525">
                      <a:noFill/>
                      <a:miter lim="800000"/>
                      <a:headEnd/>
                      <a:tailEnd/>
                    </a:ln>
                  </pic:spPr>
                </pic:pic>
              </a:graphicData>
            </a:graphic>
          </wp:inline>
        </w:drawing>
      </w:r>
    </w:p>
    <w:p w:rsidR="003E091C" w:rsidRDefault="004837E5" w:rsidP="003E091C">
      <w:pPr>
        <w:pStyle w:val="Caption"/>
        <w:ind w:left="426" w:right="503"/>
        <w:rPr>
          <w:rFonts w:ascii="Perpetua" w:hAnsi="Perpetua"/>
          <w:b w:val="0"/>
          <w:color w:val="auto"/>
          <w:sz w:val="20"/>
        </w:rPr>
      </w:pPr>
      <w:bookmarkStart w:id="694" w:name="_Toc263509058"/>
      <w:bookmarkStart w:id="695" w:name="_Toc263510845"/>
      <w:bookmarkStart w:id="696" w:name="_Toc244577323"/>
      <w:bookmarkStart w:id="697" w:name="_Toc263495792"/>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61</w:t>
      </w:r>
      <w:r w:rsidR="00DF2DF8" w:rsidRPr="003E091C">
        <w:rPr>
          <w:rFonts w:ascii="Perpetua" w:hAnsi="Perpetua"/>
          <w:b w:val="0"/>
          <w:color w:val="auto"/>
          <w:sz w:val="20"/>
        </w:rPr>
        <w:fldChar w:fldCharType="end"/>
      </w:r>
      <w:r w:rsidR="0000513E" w:rsidRPr="003E091C">
        <w:rPr>
          <w:rFonts w:ascii="Perpetua" w:hAnsi="Perpetua"/>
          <w:b w:val="0"/>
          <w:color w:val="auto"/>
          <w:sz w:val="20"/>
        </w:rPr>
        <w:t>:</w:t>
      </w:r>
      <w:r w:rsidR="003E091C">
        <w:rPr>
          <w:rFonts w:ascii="Perpetua" w:hAnsi="Perpetua"/>
          <w:b w:val="0"/>
          <w:color w:val="auto"/>
          <w:sz w:val="20"/>
        </w:rPr>
        <w:t xml:space="preserve"> Photograph of the Sharpville massacre by </w:t>
      </w:r>
      <w:r w:rsidR="0000513E" w:rsidRPr="0000513E">
        <w:rPr>
          <w:rFonts w:ascii="Perpetua" w:hAnsi="Perpetua"/>
          <w:b w:val="0"/>
          <w:color w:val="auto"/>
          <w:sz w:val="20"/>
        </w:rPr>
        <w:t>Corbis</w:t>
      </w:r>
      <w:r w:rsidR="003E091C">
        <w:rPr>
          <w:rFonts w:ascii="Perpetua" w:hAnsi="Perpetua"/>
          <w:b w:val="0"/>
          <w:color w:val="auto"/>
          <w:sz w:val="20"/>
        </w:rPr>
        <w:t>.</w:t>
      </w:r>
      <w:bookmarkEnd w:id="694"/>
      <w:bookmarkEnd w:id="695"/>
    </w:p>
    <w:p w:rsidR="003F4A98" w:rsidRPr="003E091C" w:rsidRDefault="003E091C" w:rsidP="003E091C">
      <w:pPr>
        <w:ind w:left="426"/>
        <w:rPr>
          <w:rFonts w:ascii="Perpetua" w:hAnsi="Perpetua"/>
          <w:sz w:val="20"/>
        </w:rPr>
      </w:pPr>
      <w:r w:rsidRPr="003E091C">
        <w:rPr>
          <w:rFonts w:ascii="Perpetua" w:hAnsi="Perpetua"/>
          <w:sz w:val="20"/>
        </w:rPr>
        <w:t>S</w:t>
      </w:r>
      <w:r w:rsidR="004837E5" w:rsidRPr="003E091C">
        <w:rPr>
          <w:rFonts w:ascii="Perpetua" w:hAnsi="Perpetua"/>
          <w:sz w:val="20"/>
        </w:rPr>
        <w:t>ourced from The Guardian</w:t>
      </w:r>
      <w:r w:rsidR="0000513E" w:rsidRPr="003E091C">
        <w:rPr>
          <w:rFonts w:ascii="Perpetua" w:hAnsi="Perpetua"/>
          <w:sz w:val="20"/>
        </w:rPr>
        <w:t xml:space="preserve"> [online], 19 March 2010. Available at: http://www.guardian.co.uk/world/2010/mar/19/south-africa-sharpeville-massacre-anniversary. (Accessed: 27 July 2012).</w:t>
      </w:r>
      <w:bookmarkEnd w:id="696"/>
      <w:bookmarkEnd w:id="697"/>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p w:rsidR="0000513E" w:rsidRDefault="0000513E" w:rsidP="003F4A98">
      <w:pPr>
        <w:autoSpaceDE w:val="0"/>
        <w:autoSpaceDN w:val="0"/>
        <w:adjustRightInd w:val="0"/>
        <w:spacing w:after="0" w:line="360" w:lineRule="auto"/>
        <w:jc w:val="center"/>
        <w:rPr>
          <w:rFonts w:ascii="Garamond" w:hAnsi="Garamond"/>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tblPr>
      <w:tblGrid>
        <w:gridCol w:w="3227"/>
        <w:gridCol w:w="5289"/>
      </w:tblGrid>
      <w:tr w:rsidR="0000513E">
        <w:tc>
          <w:tcPr>
            <w:tcW w:w="3227" w:type="dxa"/>
          </w:tcPr>
          <w:p w:rsidR="003E091C" w:rsidRDefault="006E588F" w:rsidP="006E588F">
            <w:pPr>
              <w:pStyle w:val="Caption"/>
              <w:rPr>
                <w:rFonts w:ascii="Perpetua" w:hAnsi="Perpetua"/>
                <w:b w:val="0"/>
                <w:color w:val="auto"/>
                <w:sz w:val="20"/>
              </w:rPr>
            </w:pPr>
            <w:bookmarkStart w:id="698" w:name="_Toc263509059"/>
            <w:bookmarkStart w:id="699" w:name="_Toc263510846"/>
            <w:bookmarkStart w:id="700" w:name="_Toc244577324"/>
            <w:bookmarkStart w:id="701" w:name="_Toc263495793"/>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62</w:t>
            </w:r>
            <w:r w:rsidR="00DF2DF8" w:rsidRPr="003E091C">
              <w:rPr>
                <w:rFonts w:ascii="Perpetua" w:hAnsi="Perpetua"/>
                <w:b w:val="0"/>
                <w:color w:val="auto"/>
                <w:sz w:val="20"/>
              </w:rPr>
              <w:fldChar w:fldCharType="end"/>
            </w:r>
            <w:r w:rsidRPr="003E091C">
              <w:rPr>
                <w:rFonts w:ascii="Perpetua" w:hAnsi="Perpetua"/>
                <w:b w:val="0"/>
                <w:color w:val="auto"/>
                <w:sz w:val="20"/>
              </w:rPr>
              <w:t>:</w:t>
            </w:r>
            <w:r w:rsidRPr="006E588F">
              <w:rPr>
                <w:rFonts w:ascii="Perpetua" w:hAnsi="Perpetua"/>
                <w:color w:val="auto"/>
                <w:sz w:val="20"/>
              </w:rPr>
              <w:t xml:space="preserve"> </w:t>
            </w:r>
            <w:r w:rsidR="0000513E" w:rsidRPr="006E588F">
              <w:rPr>
                <w:rFonts w:ascii="Perpetua" w:hAnsi="Perpetua"/>
                <w:b w:val="0"/>
                <w:color w:val="auto"/>
                <w:sz w:val="20"/>
              </w:rPr>
              <w:t>1970s British anti-apartheid sports boycott poster drawing on brutal icono</w:t>
            </w:r>
            <w:r w:rsidR="00353742">
              <w:rPr>
                <w:rFonts w:ascii="Perpetua" w:hAnsi="Perpetua"/>
                <w:b w:val="0"/>
                <w:color w:val="auto"/>
                <w:sz w:val="20"/>
              </w:rPr>
              <w:t>graphy from Sharpeville.</w:t>
            </w:r>
            <w:bookmarkEnd w:id="698"/>
            <w:bookmarkEnd w:id="699"/>
            <w:r w:rsidR="00353742">
              <w:rPr>
                <w:rFonts w:ascii="Perpetua" w:hAnsi="Perpetua"/>
                <w:b w:val="0"/>
                <w:color w:val="auto"/>
                <w:sz w:val="20"/>
              </w:rPr>
              <w:t xml:space="preserve"> </w:t>
            </w:r>
          </w:p>
          <w:p w:rsidR="0000513E" w:rsidRPr="003E091C" w:rsidRDefault="00353742" w:rsidP="003E091C">
            <w:pPr>
              <w:rPr>
                <w:rFonts w:ascii="Perpetua" w:hAnsi="Perpetua"/>
                <w:sz w:val="20"/>
              </w:rPr>
            </w:pPr>
            <w:r w:rsidRPr="003E091C">
              <w:rPr>
                <w:rFonts w:ascii="Perpetua" w:hAnsi="Perpetua"/>
                <w:sz w:val="20"/>
              </w:rPr>
              <w:t xml:space="preserve">Image </w:t>
            </w:r>
            <w:r w:rsidR="0000513E" w:rsidRPr="003E091C">
              <w:rPr>
                <w:rFonts w:ascii="Perpetua" w:hAnsi="Perpetua"/>
                <w:sz w:val="20"/>
              </w:rPr>
              <w:t>sourced from:</w:t>
            </w:r>
            <w:r w:rsidR="006E588F" w:rsidRPr="003E091C">
              <w:rPr>
                <w:rFonts w:ascii="Perpetua" w:hAnsi="Perpetua"/>
                <w:sz w:val="20"/>
              </w:rPr>
              <w:t xml:space="preserve"> </w:t>
            </w:r>
            <w:r w:rsidR="0000513E" w:rsidRPr="003E091C">
              <w:rPr>
                <w:rFonts w:ascii="Perpetua" w:hAnsi="Perpetua"/>
                <w:sz w:val="20"/>
              </w:rPr>
              <w:t>http://slaveryinthe21stcentury.blogspot.co.uk/2010_09_01_archive.html</w:t>
            </w:r>
            <w:r w:rsidR="006E588F" w:rsidRPr="003E091C">
              <w:rPr>
                <w:rFonts w:ascii="Perpetua" w:hAnsi="Perpetua"/>
                <w:sz w:val="20"/>
              </w:rPr>
              <w:t xml:space="preserve">. (Accessed 13 December 2012). </w:t>
            </w:r>
            <w:r w:rsidR="0000513E" w:rsidRPr="003E091C">
              <w:rPr>
                <w:rFonts w:ascii="Perpetua" w:hAnsi="Perpetua"/>
                <w:sz w:val="20"/>
              </w:rPr>
              <w:t>Motifs from Sharpeville continued to define anti-apartheid images of violence through to the Soweto riots and massacre in 1976</w:t>
            </w:r>
            <w:r w:rsidR="006E588F" w:rsidRPr="003E091C">
              <w:rPr>
                <w:rFonts w:ascii="Perpetua" w:hAnsi="Perpetua"/>
                <w:sz w:val="20"/>
              </w:rPr>
              <w:t>.</w:t>
            </w:r>
            <w:bookmarkEnd w:id="700"/>
            <w:bookmarkEnd w:id="701"/>
          </w:p>
        </w:tc>
        <w:tc>
          <w:tcPr>
            <w:tcW w:w="5289" w:type="dxa"/>
          </w:tcPr>
          <w:p w:rsidR="0000513E" w:rsidRPr="0000513E" w:rsidRDefault="0000513E" w:rsidP="006E588F">
            <w:pPr>
              <w:keepNext/>
              <w:autoSpaceDE w:val="0"/>
              <w:autoSpaceDN w:val="0"/>
              <w:adjustRightInd w:val="0"/>
              <w:spacing w:after="0" w:line="360" w:lineRule="auto"/>
              <w:jc w:val="center"/>
              <w:rPr>
                <w:rFonts w:ascii="Garamond" w:hAnsi="Garamond"/>
                <w:i/>
              </w:rPr>
            </w:pPr>
            <w:r w:rsidRPr="0000513E">
              <w:rPr>
                <w:rFonts w:ascii="Garamond" w:hAnsi="Garamond"/>
                <w:i/>
                <w:noProof/>
                <w:lang w:eastAsia="en-GB"/>
              </w:rPr>
              <w:drawing>
                <wp:inline distT="0" distB="0" distL="0" distR="0">
                  <wp:extent cx="2859359" cy="3822358"/>
                  <wp:effectExtent l="19050" t="0" r="0" b="0"/>
                  <wp:docPr id="130" name="Picture 20" descr="http://2.bp.blogspot.com/_9f9eXpWwKkw/TIU7n_qbH9I/AAAAAAAAAEc/KLmu87-ddDo/s1600/sa-anti-apartheid-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bp.blogspot.com/_9f9eXpWwKkw/TIU7n_qbH9I/AAAAAAAAAEc/KLmu87-ddDo/s1600/sa-anti-apartheid-poster.jpg"/>
                          <pic:cNvPicPr>
                            <a:picLocks noChangeAspect="1" noChangeArrowheads="1"/>
                          </pic:cNvPicPr>
                        </pic:nvPicPr>
                        <pic:blipFill>
                          <a:blip r:embed="rId106" cstate="print"/>
                          <a:srcRect/>
                          <a:stretch>
                            <a:fillRect/>
                          </a:stretch>
                        </pic:blipFill>
                        <pic:spPr bwMode="auto">
                          <a:xfrm>
                            <a:off x="0" y="0"/>
                            <a:ext cx="2859333" cy="3822323"/>
                          </a:xfrm>
                          <a:prstGeom prst="rect">
                            <a:avLst/>
                          </a:prstGeom>
                          <a:noFill/>
                          <a:ln w="9525">
                            <a:noFill/>
                            <a:miter lim="800000"/>
                            <a:headEnd/>
                            <a:tailEnd/>
                          </a:ln>
                        </pic:spPr>
                      </pic:pic>
                    </a:graphicData>
                  </a:graphic>
                </wp:inline>
              </w:drawing>
            </w:r>
          </w:p>
        </w:tc>
      </w:tr>
    </w:tbl>
    <w:p w:rsidR="003F4A98" w:rsidRPr="004246B0" w:rsidRDefault="003F4A98" w:rsidP="003F4A98">
      <w:pPr>
        <w:autoSpaceDE w:val="0"/>
        <w:autoSpaceDN w:val="0"/>
        <w:adjustRightInd w:val="0"/>
        <w:spacing w:after="0" w:line="360" w:lineRule="auto"/>
        <w:jc w:val="center"/>
        <w:rPr>
          <w:rFonts w:ascii="Garamond" w:hAnsi="Garamond"/>
          <w:sz w:val="24"/>
          <w:szCs w:val="24"/>
        </w:rPr>
      </w:pPr>
    </w:p>
    <w:p w:rsidR="003F4A98" w:rsidRPr="0000513E" w:rsidRDefault="0000513E" w:rsidP="0000513E">
      <w:pPr>
        <w:autoSpaceDE w:val="0"/>
        <w:autoSpaceDN w:val="0"/>
        <w:adjustRightInd w:val="0"/>
        <w:spacing w:after="0" w:line="360" w:lineRule="auto"/>
        <w:ind w:left="1843"/>
        <w:jc w:val="both"/>
        <w:rPr>
          <w:rFonts w:ascii="Garamond" w:hAnsi="Garamond"/>
        </w:rPr>
      </w:pPr>
      <w:r w:rsidRPr="0000513E">
        <w:rPr>
          <w:rFonts w:ascii="Garamond" w:hAnsi="Garamond"/>
        </w:rPr>
        <w:t>.</w:t>
      </w:r>
    </w:p>
    <w:p w:rsidR="003F4A98" w:rsidRPr="004246B0" w:rsidRDefault="003F4A98" w:rsidP="003F4A98">
      <w:pPr>
        <w:autoSpaceDE w:val="0"/>
        <w:autoSpaceDN w:val="0"/>
        <w:adjustRightInd w:val="0"/>
        <w:spacing w:after="0" w:line="360" w:lineRule="auto"/>
        <w:jc w:val="center"/>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From the perspective of the South African NP (National Party), isolation was the immediate shadow cast from the circulation of the grainy images of families fleeing gunfire, police brutality and felled bodies at Sharpeville. South Africa withdrew from the Commonwealth in 1961 to save face, and companies left South Africa in droves. A widespread arms embargo on South Africa was launched, and the United Nations wholly condemned apartheid in 1963 (Lester, 1996). For a short period, as images of the massacre were contemplated around the globe, emigration from Europe to South Africa dropped markedly (in 1960 net migration was in the red for the first time since WW2). But declining numbers of immigrants cannot be solely attributed to the international effects of Sharpeville.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political landscape of South Africa shifted in the twelve years following the National Party taking power.  In 1948 the NP sought to limit white immigration to 14,000 a year, incorporating a high percentage of</w:t>
      </w:r>
      <w:r>
        <w:rPr>
          <w:rFonts w:ascii="Garamond" w:hAnsi="Garamond"/>
          <w:sz w:val="24"/>
          <w:szCs w:val="24"/>
        </w:rPr>
        <w:t xml:space="preserve"> Dutch Afrikaner sympathiz</w:t>
      </w:r>
      <w:r w:rsidRPr="004246B0">
        <w:rPr>
          <w:rFonts w:ascii="Garamond" w:hAnsi="Garamond"/>
          <w:sz w:val="24"/>
          <w:szCs w:val="24"/>
        </w:rPr>
        <w:t xml:space="preserve">ers due to the threat posed </w:t>
      </w:r>
      <w:r w:rsidRPr="004246B0">
        <w:rPr>
          <w:rFonts w:ascii="Garamond" w:hAnsi="Garamond"/>
          <w:sz w:val="24"/>
          <w:szCs w:val="24"/>
        </w:rPr>
        <w:lastRenderedPageBreak/>
        <w:t>by British immigrants voting for the United Party (UP). But by 1960, the NP were sufficiently entrenched to have few concerns about the electorate. To avoid going "down in a sea of colour",</w:t>
      </w:r>
      <w:r w:rsidRPr="004246B0">
        <w:rPr>
          <w:rStyle w:val="FootnoteReference"/>
          <w:rFonts w:ascii="Garamond" w:hAnsi="Garamond"/>
          <w:sz w:val="24"/>
          <w:szCs w:val="24"/>
        </w:rPr>
        <w:footnoteReference w:id="153"/>
      </w:r>
      <w:r w:rsidRPr="004246B0">
        <w:rPr>
          <w:rFonts w:ascii="Garamond" w:hAnsi="Garamond"/>
          <w:sz w:val="24"/>
          <w:szCs w:val="24"/>
        </w:rPr>
        <w:t xml:space="preserve"> both the NP and the United Party were keen to accept white migrants from across northern and southern Europe. Of these, </w:t>
      </w:r>
      <w:r>
        <w:rPr>
          <w:rFonts w:ascii="Garamond" w:hAnsi="Garamond"/>
          <w:sz w:val="24"/>
          <w:szCs w:val="24"/>
        </w:rPr>
        <w:t>P</w:t>
      </w:r>
      <w:r w:rsidRPr="004246B0">
        <w:rPr>
          <w:rFonts w:ascii="Garamond" w:hAnsi="Garamond"/>
          <w:sz w:val="24"/>
          <w:szCs w:val="24"/>
        </w:rPr>
        <w:t>r</w:t>
      </w:r>
      <w:r>
        <w:rPr>
          <w:rFonts w:ascii="Garamond" w:hAnsi="Garamond"/>
          <w:sz w:val="24"/>
          <w:szCs w:val="24"/>
        </w:rPr>
        <w:t>otestants were desired, C</w:t>
      </w:r>
      <w:r w:rsidRPr="004246B0">
        <w:rPr>
          <w:rFonts w:ascii="Garamond" w:hAnsi="Garamond"/>
          <w:sz w:val="24"/>
          <w:szCs w:val="24"/>
        </w:rPr>
        <w:t xml:space="preserve">atholics were accepted and atheists were excluded (Zöller, 1975). Despite concerns voiced in the </w:t>
      </w:r>
      <w:r w:rsidRPr="004246B0">
        <w:rPr>
          <w:rFonts w:ascii="Garamond" w:hAnsi="Garamond"/>
          <w:i/>
          <w:sz w:val="24"/>
          <w:szCs w:val="24"/>
        </w:rPr>
        <w:t>Rand Daily Mail</w:t>
      </w:r>
      <w:r w:rsidRPr="004246B0">
        <w:rPr>
          <w:rFonts w:ascii="Garamond" w:hAnsi="Garamond"/>
          <w:sz w:val="24"/>
          <w:szCs w:val="24"/>
        </w:rPr>
        <w:t xml:space="preserve"> in 1967 by the Nationalist Youth Movement (</w:t>
      </w:r>
      <w:r w:rsidRPr="004246B0">
        <w:rPr>
          <w:rFonts w:ascii="Garamond" w:hAnsi="Garamond"/>
          <w:i/>
          <w:sz w:val="24"/>
          <w:szCs w:val="24"/>
        </w:rPr>
        <w:t>Nasionale Jeugbond</w:t>
      </w:r>
      <w:r w:rsidRPr="004246B0">
        <w:rPr>
          <w:rFonts w:ascii="Garamond" w:hAnsi="Garamond"/>
          <w:sz w:val="24"/>
          <w:szCs w:val="24"/>
        </w:rPr>
        <w:t>) that the nation's Afrikaner identity was being compromised,</w:t>
      </w:r>
      <w:r w:rsidRPr="004246B0">
        <w:rPr>
          <w:rStyle w:val="FootnoteReference"/>
          <w:rFonts w:ascii="Garamond" w:hAnsi="Garamond"/>
          <w:sz w:val="24"/>
          <w:szCs w:val="24"/>
        </w:rPr>
        <w:footnoteReference w:id="154"/>
      </w:r>
      <w:r w:rsidRPr="004246B0">
        <w:rPr>
          <w:rFonts w:ascii="Garamond" w:hAnsi="Garamond"/>
          <w:sz w:val="24"/>
          <w:szCs w:val="24"/>
        </w:rPr>
        <w:t xml:space="preserve"> white Europeans were welcome so long as they shared the outlook of the NP.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 From the early 1960s the South African government hit back at critics of apartheid with propaganda, diplomacy and white migration. Following the assassination of Prime Minister Voerward in 1966, John Vorster ushered in a new period of 'diplomatic openness' and co-operation with the United Party in South Africa and the Western powers. In the period 1966-74 the apartheid state reached the zenith of its power;</w:t>
      </w:r>
      <w:r w:rsidRPr="004246B0">
        <w:rPr>
          <w:rStyle w:val="FootnoteReference"/>
          <w:rFonts w:ascii="Garamond" w:hAnsi="Garamond"/>
          <w:sz w:val="24"/>
          <w:szCs w:val="24"/>
        </w:rPr>
        <w:footnoteReference w:id="155"/>
      </w:r>
      <w:r w:rsidRPr="004246B0">
        <w:rPr>
          <w:rFonts w:ascii="Garamond" w:hAnsi="Garamond"/>
          <w:sz w:val="24"/>
          <w:szCs w:val="24"/>
        </w:rPr>
        <w:t xml:space="preserve"> Vorster's 'politics of confidence' (Dalcanton, 1976), was defined by steady industrial growth, a move towards the white political centre, high levels of white immigration, a paternalistic 'care' for Africa and the brutal suppression of the liberation movements</w:t>
      </w:r>
      <w:r>
        <w:rPr>
          <w:rFonts w:ascii="Garamond" w:hAnsi="Garamond"/>
          <w:sz w:val="24"/>
          <w:szCs w:val="24"/>
        </w:rPr>
        <w:t xml:space="preserve"> (Sto</w:t>
      </w:r>
      <w:r w:rsidRPr="004246B0">
        <w:rPr>
          <w:rFonts w:ascii="Garamond" w:hAnsi="Garamond"/>
          <w:sz w:val="24"/>
          <w:szCs w:val="24"/>
        </w:rPr>
        <w:t>ne, 1975; Dalcanton, 1976). Sharpeville made obvious the need for South Africa to work on its image in order to recruit white migrants. Attempts to influence public perception and media were channelled through The South Africa Foundation,</w:t>
      </w:r>
      <w:r w:rsidRPr="004246B0">
        <w:rPr>
          <w:rStyle w:val="FootnoteReference"/>
          <w:rFonts w:ascii="Garamond" w:hAnsi="Garamond"/>
          <w:sz w:val="24"/>
          <w:szCs w:val="24"/>
        </w:rPr>
        <w:footnoteReference w:id="156"/>
      </w:r>
      <w:r w:rsidRPr="004246B0">
        <w:rPr>
          <w:rFonts w:ascii="Garamond" w:hAnsi="Garamond"/>
          <w:sz w:val="24"/>
          <w:szCs w:val="24"/>
        </w:rPr>
        <w:t xml:space="preserve"> a state funded organization based in London and Washington that was set up in 1959 as a counter to the formation of the Boycott Movement in Britain (Thörn, 2006). This was supplemented by the creation of a second diplomatic organization, the South African Immigration Council, months after Sharpeville (Stone, 1975; Lipton, 1985). Across Europe, South African embassies worked with The South Africa Foundation, the Immigration Council and the Department of Information to target migration as a key </w:t>
      </w:r>
      <w:r w:rsidRPr="004246B0">
        <w:rPr>
          <w:rFonts w:ascii="Garamond" w:hAnsi="Garamond"/>
          <w:sz w:val="24"/>
          <w:szCs w:val="24"/>
        </w:rPr>
        <w:lastRenderedPageBreak/>
        <w:t xml:space="preserve">market and important site for the production of apartheid knowledges. Within five years, net migration from Europe was well above pre-Sharpeville levels.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6E588F"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 Sharpeville resulted in an explicit global rejection to the nationalist white politics of the apartheid state. I now evidence how, post-Sharpeville, white migration became integral to projecting a sanitized and diplomatically friendly image of apartheid South Africa. In effect, white migration disseminated and negotiated a new transnational white racial contract that worked to bring European governments, media and capital into a position of complicity rather than critique.</w:t>
      </w:r>
      <w:r w:rsidRPr="004246B0">
        <w:rPr>
          <w:rStyle w:val="FootnoteReference"/>
          <w:rFonts w:ascii="Garamond" w:hAnsi="Garamond"/>
          <w:sz w:val="24"/>
          <w:szCs w:val="24"/>
        </w:rPr>
        <w:footnoteReference w:id="157"/>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6E588F">
        <w:tc>
          <w:tcPr>
            <w:tcW w:w="4258" w:type="dxa"/>
          </w:tcPr>
          <w:p w:rsidR="006E588F" w:rsidRDefault="006E588F" w:rsidP="003F4A98">
            <w:pPr>
              <w:autoSpaceDE w:val="0"/>
              <w:autoSpaceDN w:val="0"/>
              <w:adjustRightInd w:val="0"/>
              <w:spacing w:after="0" w:line="360" w:lineRule="auto"/>
              <w:jc w:val="both"/>
              <w:rPr>
                <w:rFonts w:ascii="Garamond" w:hAnsi="Garamond"/>
                <w:sz w:val="24"/>
                <w:szCs w:val="24"/>
              </w:rPr>
            </w:pPr>
            <w:r w:rsidRPr="004246B0">
              <w:rPr>
                <w:rFonts w:ascii="Garamond" w:hAnsi="Garamond"/>
                <w:noProof/>
                <w:sz w:val="24"/>
                <w:szCs w:val="24"/>
                <w:lang w:eastAsia="en-GB"/>
              </w:rPr>
              <w:drawing>
                <wp:inline distT="0" distB="0" distL="0" distR="0">
                  <wp:extent cx="2383908" cy="2665560"/>
                  <wp:effectExtent l="19050" t="0" r="0" b="0"/>
                  <wp:docPr id="131" name="Picture 1" descr="C:\Users\Hugh\Pictures\AEA PlakBoek pg 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Pictures\AEA PlakBoek pg 01 (2).tif"/>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2389266" cy="2671551"/>
                          </a:xfrm>
                          <a:prstGeom prst="rect">
                            <a:avLst/>
                          </a:prstGeom>
                          <a:noFill/>
                          <a:ln>
                            <a:noFill/>
                          </a:ln>
                        </pic:spPr>
                      </pic:pic>
                    </a:graphicData>
                  </a:graphic>
                </wp:inline>
              </w:drawing>
            </w:r>
          </w:p>
        </w:tc>
        <w:tc>
          <w:tcPr>
            <w:tcW w:w="4258" w:type="dxa"/>
          </w:tcPr>
          <w:p w:rsidR="006E588F" w:rsidRPr="004246B0" w:rsidRDefault="006E588F" w:rsidP="006E588F">
            <w:pPr>
              <w:autoSpaceDE w:val="0"/>
              <w:autoSpaceDN w:val="0"/>
              <w:adjustRightInd w:val="0"/>
              <w:spacing w:after="0" w:line="360" w:lineRule="auto"/>
              <w:jc w:val="both"/>
              <w:rPr>
                <w:rFonts w:ascii="Garamond" w:hAnsi="Garamond"/>
                <w:sz w:val="24"/>
                <w:szCs w:val="24"/>
                <w:u w:val="single"/>
              </w:rPr>
            </w:pPr>
          </w:p>
          <w:p w:rsidR="003E091C" w:rsidRDefault="006E588F" w:rsidP="006E588F">
            <w:pPr>
              <w:pStyle w:val="Caption"/>
              <w:rPr>
                <w:rFonts w:ascii="Perpetua" w:hAnsi="Perpetua"/>
                <w:b w:val="0"/>
                <w:color w:val="auto"/>
                <w:sz w:val="20"/>
              </w:rPr>
            </w:pPr>
            <w:bookmarkStart w:id="702" w:name="_Toc263509060"/>
            <w:bookmarkStart w:id="703" w:name="_Toc263510847"/>
            <w:bookmarkStart w:id="704" w:name="_Toc244577325"/>
            <w:bookmarkStart w:id="705" w:name="_Toc263495794"/>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63</w:t>
            </w:r>
            <w:r w:rsidR="00DF2DF8" w:rsidRPr="003E091C">
              <w:rPr>
                <w:rFonts w:ascii="Perpetua" w:hAnsi="Perpetua"/>
                <w:b w:val="0"/>
                <w:color w:val="auto"/>
                <w:sz w:val="20"/>
              </w:rPr>
              <w:fldChar w:fldCharType="end"/>
            </w:r>
            <w:r w:rsidRPr="003E091C">
              <w:rPr>
                <w:rFonts w:ascii="Perpetua" w:hAnsi="Perpetua"/>
                <w:b w:val="0"/>
                <w:color w:val="auto"/>
                <w:sz w:val="20"/>
              </w:rPr>
              <w:t>:</w:t>
            </w:r>
            <w:r w:rsidRPr="006E588F">
              <w:rPr>
                <w:rFonts w:ascii="Perpetua" w:hAnsi="Perpetua"/>
                <w:b w:val="0"/>
                <w:color w:val="auto"/>
                <w:sz w:val="20"/>
              </w:rPr>
              <w:t xml:space="preserve"> </w:t>
            </w:r>
            <w:r w:rsidR="003E091C">
              <w:rPr>
                <w:rFonts w:ascii="Perpetua" w:hAnsi="Perpetua"/>
                <w:b w:val="0"/>
                <w:color w:val="auto"/>
                <w:sz w:val="20"/>
              </w:rPr>
              <w:t>A</w:t>
            </w:r>
            <w:r w:rsidRPr="006E588F">
              <w:rPr>
                <w:rFonts w:ascii="Perpetua" w:hAnsi="Perpetua"/>
                <w:b w:val="0"/>
                <w:color w:val="auto"/>
                <w:sz w:val="20"/>
              </w:rPr>
              <w:t xml:space="preserve">dvertisements in the Dutch press for immigrant white labour in Dutch press </w:t>
            </w:r>
            <w:r w:rsidR="003E091C">
              <w:rPr>
                <w:rStyle w:val="hps"/>
                <w:rFonts w:ascii="Perpetua" w:hAnsi="Perpetua"/>
                <w:b w:val="0"/>
                <w:color w:val="auto"/>
                <w:sz w:val="20"/>
              </w:rPr>
              <w:t xml:space="preserve">Trouw 19 March </w:t>
            </w:r>
            <w:r w:rsidRPr="006E588F">
              <w:rPr>
                <w:rStyle w:val="hps"/>
                <w:rFonts w:ascii="Perpetua" w:hAnsi="Perpetua"/>
                <w:b w:val="0"/>
                <w:color w:val="auto"/>
                <w:sz w:val="20"/>
              </w:rPr>
              <w:t>1975</w:t>
            </w:r>
            <w:r w:rsidRPr="006E588F">
              <w:rPr>
                <w:rFonts w:ascii="Perpetua" w:hAnsi="Perpetua"/>
                <w:b w:val="0"/>
                <w:color w:val="auto"/>
                <w:sz w:val="20"/>
              </w:rPr>
              <w:t>.</w:t>
            </w:r>
            <w:bookmarkEnd w:id="702"/>
            <w:bookmarkEnd w:id="703"/>
            <w:r w:rsidRPr="006E588F">
              <w:rPr>
                <w:rFonts w:ascii="Perpetua" w:hAnsi="Perpetua"/>
                <w:b w:val="0"/>
                <w:color w:val="auto"/>
                <w:sz w:val="20"/>
              </w:rPr>
              <w:t xml:space="preserve"> </w:t>
            </w:r>
          </w:p>
          <w:p w:rsidR="006E588F" w:rsidRPr="003E091C" w:rsidRDefault="003E091C" w:rsidP="003E091C">
            <w:pPr>
              <w:rPr>
                <w:rFonts w:ascii="Perpetua" w:hAnsi="Perpetua"/>
                <w:sz w:val="20"/>
              </w:rPr>
            </w:pPr>
            <w:r w:rsidRPr="003E091C">
              <w:rPr>
                <w:rFonts w:ascii="Perpetua" w:hAnsi="Perpetua"/>
                <w:sz w:val="20"/>
              </w:rPr>
              <w:t>Marketing white identities: t</w:t>
            </w:r>
            <w:r w:rsidR="006E588F" w:rsidRPr="003E091C">
              <w:rPr>
                <w:rFonts w:ascii="Perpetua" w:hAnsi="Perpetua"/>
                <w:sz w:val="20"/>
              </w:rPr>
              <w:t>he positions advertised are male clerk, female clerk, lady selling shoes, barman, registered nurse assistant. Adverts say applicants must 'obviously' be European and white.</w:t>
            </w:r>
            <w:bookmarkEnd w:id="704"/>
            <w:bookmarkEnd w:id="705"/>
            <w:r w:rsidR="006E588F" w:rsidRPr="003E091C">
              <w:rPr>
                <w:rFonts w:ascii="Perpetua" w:hAnsi="Perpetua"/>
                <w:sz w:val="20"/>
              </w:rPr>
              <w:t xml:space="preserve"> </w:t>
            </w:r>
          </w:p>
          <w:p w:rsidR="006E588F" w:rsidRDefault="006E588F" w:rsidP="006E588F">
            <w:pPr>
              <w:keepNext/>
              <w:autoSpaceDE w:val="0"/>
              <w:autoSpaceDN w:val="0"/>
              <w:adjustRightInd w:val="0"/>
              <w:spacing w:after="0" w:line="360" w:lineRule="auto"/>
              <w:jc w:val="both"/>
              <w:rPr>
                <w:rFonts w:ascii="Garamond" w:hAnsi="Garamond"/>
                <w:sz w:val="24"/>
                <w:szCs w:val="24"/>
              </w:rPr>
            </w:pPr>
          </w:p>
        </w:tc>
      </w:tr>
    </w:tbl>
    <w:p w:rsidR="003F4A98" w:rsidRPr="004246B0" w:rsidRDefault="003F4A98" w:rsidP="003F4A98">
      <w:pPr>
        <w:autoSpaceDE w:val="0"/>
        <w:autoSpaceDN w:val="0"/>
        <w:adjustRightInd w:val="0"/>
        <w:spacing w:after="0" w:line="360" w:lineRule="auto"/>
        <w:jc w:val="center"/>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Adrien Zöller's (1975) general introduction to </w:t>
      </w:r>
      <w:r w:rsidRPr="004246B0">
        <w:rPr>
          <w:rFonts w:ascii="Garamond" w:hAnsi="Garamond"/>
          <w:i/>
          <w:sz w:val="24"/>
          <w:szCs w:val="24"/>
        </w:rPr>
        <w:t>White Migration</w:t>
      </w:r>
      <w:r w:rsidRPr="004246B0">
        <w:rPr>
          <w:rFonts w:ascii="Garamond" w:hAnsi="Garamond"/>
          <w:sz w:val="24"/>
          <w:szCs w:val="24"/>
        </w:rPr>
        <w:t xml:space="preserve"> is the only detailed overview of the transnational South African migration machine published in English.</w:t>
      </w:r>
      <w:r w:rsidRPr="004246B0">
        <w:rPr>
          <w:rStyle w:val="FootnoteReference"/>
          <w:rFonts w:ascii="Garamond" w:hAnsi="Garamond"/>
          <w:sz w:val="24"/>
          <w:szCs w:val="24"/>
        </w:rPr>
        <w:footnoteReference w:id="158"/>
      </w:r>
      <w:r w:rsidRPr="004246B0">
        <w:rPr>
          <w:rFonts w:ascii="Garamond" w:hAnsi="Garamond"/>
          <w:sz w:val="24"/>
          <w:szCs w:val="24"/>
        </w:rPr>
        <w:t xml:space="preserve"> His data was gathered through a variety of methods, including posing as a potential </w:t>
      </w:r>
      <w:r w:rsidRPr="004246B0">
        <w:rPr>
          <w:rFonts w:ascii="Garamond" w:hAnsi="Garamond"/>
          <w:sz w:val="24"/>
          <w:szCs w:val="24"/>
        </w:rPr>
        <w:lastRenderedPageBreak/>
        <w:t>migrant and undertaking participant observation in South African recruitment agencies and cultural organizations based in Holland. The introduction evidences the degree of influence the Department of Information and the other migrant organizations had on European companies and governments. These organizations worked (sometimes clandestinely) to influence European policy, and were responsible for placing advertisements in major European newspapers where they deployed geographical imaginaries similar to those of Outspan to sell South Africa to white European publics. The Department of Immigration published pamphlets in seven languages to distribute throughout the 14 immigration offices based in Europe.</w:t>
      </w:r>
      <w:r w:rsidRPr="004246B0">
        <w:rPr>
          <w:rStyle w:val="FootnoteReference"/>
          <w:rFonts w:ascii="Garamond" w:hAnsi="Garamond"/>
          <w:sz w:val="24"/>
          <w:szCs w:val="24"/>
        </w:rPr>
        <w:footnoteReference w:id="159"/>
      </w:r>
      <w:r w:rsidRPr="004246B0">
        <w:rPr>
          <w:rFonts w:ascii="Garamond" w:hAnsi="Garamond"/>
          <w:sz w:val="24"/>
          <w:szCs w:val="24"/>
        </w:rPr>
        <w:t xml:space="preserve"> Vitality, leisure, nature, sport, sun, money and success sold the 'good life'.</w:t>
      </w:r>
      <w:r w:rsidRPr="004246B0">
        <w:rPr>
          <w:rStyle w:val="FootnoteReference"/>
          <w:rFonts w:ascii="Garamond" w:hAnsi="Garamond"/>
          <w:sz w:val="24"/>
          <w:szCs w:val="24"/>
        </w:rPr>
        <w:footnoteReference w:id="160"/>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immigration department arranged film showings, lectures and recruitment days while targeting particularly economically deprived urban areas of Europe (Zöller in CETIM, 1975). South African embassies in London, Paris, Basel and The Hague worked with national airlines and travel agencies to offer assisted passage, free reception, chauffeur services, free travel and accommodation on arrival and tax incentives to potential migrants.</w:t>
      </w:r>
      <w:r w:rsidRPr="004246B0">
        <w:rPr>
          <w:rStyle w:val="FootnoteReference"/>
          <w:rFonts w:ascii="Garamond" w:hAnsi="Garamond"/>
          <w:sz w:val="24"/>
          <w:szCs w:val="24"/>
        </w:rPr>
        <w:footnoteReference w:id="161"/>
      </w:r>
      <w:r w:rsidRPr="004246B0">
        <w:rPr>
          <w:rFonts w:ascii="Garamond" w:hAnsi="Garamond"/>
          <w:sz w:val="24"/>
          <w:szCs w:val="24"/>
        </w:rPr>
        <w:t xml:space="preserve">  Apartheid politicians made annual tours of European cities to promote white immigration (Luckhardt </w:t>
      </w:r>
      <w:r w:rsidR="00F152DB">
        <w:rPr>
          <w:rFonts w:ascii="Garamond" w:hAnsi="Garamond"/>
          <w:sz w:val="24"/>
          <w:szCs w:val="24"/>
        </w:rPr>
        <w:t>and</w:t>
      </w:r>
      <w:r w:rsidRPr="004246B0">
        <w:rPr>
          <w:rFonts w:ascii="Garamond" w:hAnsi="Garamond"/>
          <w:sz w:val="24"/>
          <w:szCs w:val="24"/>
        </w:rPr>
        <w:t xml:space="preserve"> Wall, 1980). Official reports from the Department of Immigration from the late 1960s emphasize the heightened political discretion the South African government thought </w:t>
      </w:r>
      <w:r>
        <w:rPr>
          <w:rFonts w:ascii="Garamond" w:hAnsi="Garamond"/>
          <w:sz w:val="24"/>
          <w:szCs w:val="24"/>
        </w:rPr>
        <w:t>was required</w:t>
      </w:r>
      <w:r w:rsidRPr="004246B0">
        <w:rPr>
          <w:rFonts w:ascii="Garamond" w:hAnsi="Garamond"/>
          <w:sz w:val="24"/>
          <w:szCs w:val="24"/>
        </w:rPr>
        <w:t xml:space="preserve"> for these tours: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With few exceptions, foreign governments prescribe specific requirements in connection with the recruitment of immigrants. All recruiting campaigns must therefore, be planned and conducted with due regard to these requirements. The need for a discreet approach in these cou</w:t>
      </w:r>
      <w:r>
        <w:rPr>
          <w:rFonts w:ascii="Garamond" w:hAnsi="Garamond"/>
        </w:rPr>
        <w:t>ntries cannot be overemphasized.</w:t>
      </w:r>
      <w:r w:rsidRPr="004246B0">
        <w:rPr>
          <w:rFonts w:ascii="Garamond" w:hAnsi="Garamond"/>
        </w:rPr>
        <w:t xml:space="preserve"> (1968 Department of Information Report, Zöller in CETIM, 1975: 20)</w:t>
      </w:r>
      <w:r w:rsidRPr="004246B0">
        <w:rPr>
          <w:rStyle w:val="FootnoteReference"/>
          <w:rFonts w:ascii="Garamond" w:hAnsi="Garamond"/>
        </w:rPr>
        <w:footnoteReference w:id="162"/>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Zöller substantiates that the Department of Immigration provided subsidies to two private organizations, The South African Immigration Organization (based in the UK), </w:t>
      </w:r>
      <w:r w:rsidRPr="004246B0">
        <w:rPr>
          <w:rFonts w:ascii="Garamond" w:hAnsi="Garamond"/>
          <w:sz w:val="24"/>
          <w:szCs w:val="24"/>
        </w:rPr>
        <w:lastRenderedPageBreak/>
        <w:t xml:space="preserve">and Transa (based in Switzerland, Germany and Austria). Under a section entitled 'other devices', the Swiss economist focuses attention on the infamous 'Club of Ten' that would years later be exposed in the 'Muldergate' scandal of 1978. South African diplomats (including the leader of the Dutch based Ministry of Information, Eschel Rhoodie) persuaded a selection of very wealthy businessmen with global contacts to wield their influence on editors of various international media. During the 1970s this resulted in double page advertisements in national newspapers extolling white narratives of the Republic, and the publication of special editions in quasi-academic journals. Not surprisingly, apartheid was airbrushed from these publications (with hindsight they were declared components of a well-oiled propaganda machine). To example this process, Zöller draws from a 1973 special issue of </w:t>
      </w:r>
      <w:r w:rsidRPr="004246B0">
        <w:rPr>
          <w:rFonts w:ascii="Garamond" w:hAnsi="Garamond"/>
          <w:i/>
          <w:sz w:val="24"/>
          <w:szCs w:val="24"/>
        </w:rPr>
        <w:t>La Revue Francaise de l'elite Europeenne</w:t>
      </w:r>
      <w:r w:rsidRPr="004246B0">
        <w:rPr>
          <w:rStyle w:val="FootnoteReference"/>
          <w:rFonts w:ascii="Garamond" w:hAnsi="Garamond"/>
          <w:sz w:val="24"/>
          <w:szCs w:val="24"/>
        </w:rPr>
        <w:footnoteReference w:id="163"/>
      </w:r>
      <w:r w:rsidRPr="004246B0">
        <w:rPr>
          <w:rFonts w:ascii="Garamond" w:hAnsi="Garamond"/>
          <w:sz w:val="24"/>
          <w:szCs w:val="24"/>
        </w:rPr>
        <w:t xml:space="preserve"> devoted to South Africa. Zöller quotes from the final section of the special issue:</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"Very quickly immigrants overcome the expected difficulties of living in a different society, mainly because of the uniqueness of its composition that requires little adjustment...non-white domestic help is easily found and inexpensive. This is an easy and pleasant way of life" (Issue 262 of </w:t>
      </w:r>
      <w:r w:rsidRPr="004246B0">
        <w:rPr>
          <w:rFonts w:ascii="Garamond" w:hAnsi="Garamond"/>
          <w:i/>
        </w:rPr>
        <w:t xml:space="preserve">La Revue Francaise de l'elite Europeenne </w:t>
      </w:r>
      <w:r w:rsidRPr="004246B0">
        <w:rPr>
          <w:rFonts w:ascii="Garamond" w:hAnsi="Garamond"/>
        </w:rPr>
        <w:t>1973</w:t>
      </w:r>
      <w:r w:rsidRPr="004246B0">
        <w:rPr>
          <w:rFonts w:ascii="Garamond" w:hAnsi="Garamond"/>
          <w:i/>
        </w:rPr>
        <w:t xml:space="preserve"> </w:t>
      </w:r>
      <w:r w:rsidRPr="004246B0">
        <w:rPr>
          <w:rFonts w:ascii="Garamond" w:hAnsi="Garamond"/>
        </w:rPr>
        <w:t>in CETIM, 1975: 22).</w:t>
      </w:r>
      <w:r w:rsidRPr="004246B0">
        <w:rPr>
          <w:rFonts w:ascii="Garamond" w:hAnsi="Garamond"/>
          <w:i/>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45538B" w:rsidRPr="004246B0" w:rsidRDefault="003F4A98" w:rsidP="0045538B">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Reputed academic journals even carried advertisements for South African tourism. At the end of Delcanton's 1976 article on Vorster's 'politics of confidence', published in the </w:t>
      </w:r>
      <w:r w:rsidRPr="004246B0">
        <w:rPr>
          <w:rFonts w:ascii="Garamond" w:hAnsi="Garamond"/>
          <w:i/>
          <w:sz w:val="24"/>
          <w:szCs w:val="24"/>
        </w:rPr>
        <w:t>Royal African Society</w:t>
      </w:r>
      <w:r w:rsidRPr="004246B0">
        <w:rPr>
          <w:rFonts w:ascii="Garamond" w:hAnsi="Garamond"/>
          <w:sz w:val="24"/>
          <w:szCs w:val="24"/>
        </w:rPr>
        <w:t xml:space="preserve">, is </w:t>
      </w:r>
      <w:r w:rsidR="0045538B">
        <w:rPr>
          <w:rFonts w:ascii="Garamond" w:hAnsi="Garamond"/>
          <w:sz w:val="24"/>
          <w:szCs w:val="24"/>
        </w:rPr>
        <w:t xml:space="preserve">an advert issued by the journal (see Table 9 below). </w:t>
      </w:r>
      <w:r w:rsidR="0045538B" w:rsidRPr="004246B0">
        <w:rPr>
          <w:rFonts w:ascii="Garamond" w:hAnsi="Garamond"/>
          <w:sz w:val="24"/>
          <w:szCs w:val="24"/>
        </w:rPr>
        <w:t xml:space="preserve">Abdul Minty's chapter on migration politics in </w:t>
      </w:r>
      <w:r w:rsidR="0045538B" w:rsidRPr="004246B0">
        <w:rPr>
          <w:rFonts w:ascii="Garamond" w:hAnsi="Garamond"/>
          <w:i/>
          <w:sz w:val="24"/>
          <w:szCs w:val="24"/>
        </w:rPr>
        <w:t>White Migration</w:t>
      </w:r>
      <w:r w:rsidR="0045538B">
        <w:rPr>
          <w:rFonts w:ascii="Garamond" w:hAnsi="Garamond"/>
          <w:sz w:val="24"/>
          <w:szCs w:val="24"/>
        </w:rPr>
        <w:t xml:space="preserve"> displays how such </w:t>
      </w:r>
      <w:r w:rsidR="0045538B" w:rsidRPr="004246B0">
        <w:rPr>
          <w:rFonts w:ascii="Garamond" w:hAnsi="Garamond"/>
          <w:sz w:val="24"/>
          <w:szCs w:val="24"/>
        </w:rPr>
        <w:t>pro-immigration network</w:t>
      </w:r>
      <w:r w:rsidR="0045538B">
        <w:rPr>
          <w:rFonts w:ascii="Garamond" w:hAnsi="Garamond"/>
          <w:sz w:val="24"/>
          <w:szCs w:val="24"/>
        </w:rPr>
        <w:t>s</w:t>
      </w:r>
      <w:r w:rsidR="0045538B" w:rsidRPr="004246B0">
        <w:rPr>
          <w:rFonts w:ascii="Garamond" w:hAnsi="Garamond"/>
          <w:sz w:val="24"/>
          <w:szCs w:val="24"/>
        </w:rPr>
        <w:t xml:space="preserve"> also received support from companies without having to bribe, court and coax. Multinational companies investing in South Africa launched independent attempts to recruit white migrants; for example during the 1970s Barclays Bank distributed a free booklet entitled 'Emigrating to South Africa'. In the UK the booklet was available in both banks and South African recruiting agencies (Minty, 1975). </w:t>
      </w: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C93F78" w:rsidRDefault="00C93F78"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45538B" w:rsidRDefault="0045538B"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C93F78"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both"/>
        <w:rPr>
          <w:rFonts w:ascii="Garamond" w:hAnsi="Garamond"/>
          <w:sz w:val="24"/>
          <w:szCs w:val="24"/>
        </w:rPr>
      </w:pPr>
    </w:p>
    <w:p w:rsidR="0045538B"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rPr>
          <w:rFonts w:ascii="Cambria" w:hAnsi="Cambria"/>
          <w:b/>
          <w:sz w:val="32"/>
          <w:szCs w:val="24"/>
        </w:rPr>
      </w:pPr>
      <w:r w:rsidRPr="0045538B">
        <w:rPr>
          <w:rFonts w:ascii="Cambria" w:hAnsi="Cambria"/>
          <w:b/>
          <w:sz w:val="32"/>
          <w:szCs w:val="24"/>
        </w:rPr>
        <w:t>Royal African Society</w:t>
      </w:r>
    </w:p>
    <w:p w:rsidR="00C93F78" w:rsidRPr="0045538B"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rPr>
          <w:rFonts w:ascii="Cambria" w:hAnsi="Cambria"/>
          <w:b/>
          <w:sz w:val="32"/>
          <w:szCs w:val="24"/>
        </w:rPr>
      </w:pPr>
    </w:p>
    <w:p w:rsidR="00C93F78" w:rsidRPr="0045538B"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both"/>
        <w:rPr>
          <w:sz w:val="28"/>
        </w:rPr>
      </w:pPr>
      <w:r w:rsidRPr="0045538B">
        <w:rPr>
          <w:sz w:val="28"/>
        </w:rPr>
        <w:t>We hope to be able to arrange package tours to some African countries. Will any member or journal subscriber interested in African travel please contact the Hon. Director at the Society's offices, advising countries which they would like to visit and giving dates if possible. Trips to a number of African countries can be arranged reasonably quickly, but others require longer notice, so please contact us urgently, without any commitment, if you are interested.</w:t>
      </w:r>
    </w:p>
    <w:p w:rsidR="00C93F78"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pPr>
    </w:p>
    <w:p w:rsidR="00C93F78" w:rsidRPr="00E25E04"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rPr>
          <w:sz w:val="28"/>
          <w:szCs w:val="28"/>
        </w:rPr>
      </w:pPr>
      <w:r w:rsidRPr="00E25E04">
        <w:rPr>
          <w:sz w:val="28"/>
          <w:szCs w:val="28"/>
        </w:rPr>
        <w:t>The Royal African Society</w:t>
      </w:r>
    </w:p>
    <w:p w:rsidR="00C93F78"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pPr>
      <w:r>
        <w:t>(Incorporated by Royal Charter)</w:t>
      </w:r>
    </w:p>
    <w:p w:rsidR="0045538B" w:rsidRDefault="00C93F7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pPr>
      <w:r>
        <w:t>18 Northumberland Avenue London WC2N</w:t>
      </w:r>
    </w:p>
    <w:p w:rsidR="003F4A98" w:rsidRPr="00C93F78" w:rsidRDefault="003F4A98" w:rsidP="0045538B">
      <w:pPr>
        <w:pBdr>
          <w:top w:val="single" w:sz="4" w:space="1" w:color="auto"/>
          <w:left w:val="single" w:sz="4" w:space="23" w:color="auto"/>
          <w:bottom w:val="single" w:sz="4" w:space="1" w:color="auto"/>
          <w:right w:val="single" w:sz="4" w:space="19" w:color="auto"/>
        </w:pBdr>
        <w:autoSpaceDE w:val="0"/>
        <w:autoSpaceDN w:val="0"/>
        <w:adjustRightInd w:val="0"/>
        <w:spacing w:after="0" w:line="360" w:lineRule="auto"/>
        <w:jc w:val="center"/>
        <w:rPr>
          <w:rFonts w:ascii="Garamond" w:hAnsi="Garamond"/>
          <w:b/>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C93F78" w:rsidRDefault="00C93F78" w:rsidP="00C93F78">
      <w:pPr>
        <w:pStyle w:val="Caption"/>
        <w:jc w:val="center"/>
        <w:rPr>
          <w:rFonts w:ascii="Perpetua" w:hAnsi="Perpetua"/>
          <w:b w:val="0"/>
          <w:color w:val="auto"/>
          <w:sz w:val="20"/>
          <w:szCs w:val="24"/>
        </w:rPr>
      </w:pPr>
      <w:bookmarkStart w:id="706" w:name="_Toc244578430"/>
      <w:r w:rsidRPr="00C93F78">
        <w:rPr>
          <w:rFonts w:ascii="Perpetua" w:hAnsi="Perpetua"/>
          <w:color w:val="auto"/>
          <w:sz w:val="20"/>
        </w:rPr>
        <w:t xml:space="preserve">Table </w:t>
      </w:r>
      <w:r w:rsidR="00DF2DF8" w:rsidRPr="00C93F78">
        <w:rPr>
          <w:rFonts w:ascii="Perpetua" w:hAnsi="Perpetua"/>
          <w:color w:val="auto"/>
          <w:sz w:val="20"/>
        </w:rPr>
        <w:fldChar w:fldCharType="begin"/>
      </w:r>
      <w:r w:rsidRPr="00C93F78">
        <w:rPr>
          <w:rFonts w:ascii="Perpetua" w:hAnsi="Perpetua"/>
          <w:color w:val="auto"/>
          <w:sz w:val="20"/>
        </w:rPr>
        <w:instrText xml:space="preserve"> SEQ Table \* ARABIC </w:instrText>
      </w:r>
      <w:r w:rsidR="00DF2DF8" w:rsidRPr="00C93F78">
        <w:rPr>
          <w:rFonts w:ascii="Perpetua" w:hAnsi="Perpetua"/>
          <w:color w:val="auto"/>
          <w:sz w:val="20"/>
        </w:rPr>
        <w:fldChar w:fldCharType="separate"/>
      </w:r>
      <w:r w:rsidR="002B3E92">
        <w:rPr>
          <w:rFonts w:ascii="Perpetua" w:hAnsi="Perpetua"/>
          <w:noProof/>
          <w:color w:val="auto"/>
          <w:sz w:val="20"/>
        </w:rPr>
        <w:t>9</w:t>
      </w:r>
      <w:r w:rsidR="00DF2DF8" w:rsidRPr="00C93F78">
        <w:rPr>
          <w:rFonts w:ascii="Perpetua" w:hAnsi="Perpetua"/>
          <w:color w:val="auto"/>
          <w:sz w:val="20"/>
        </w:rPr>
        <w:fldChar w:fldCharType="end"/>
      </w:r>
      <w:r>
        <w:rPr>
          <w:rFonts w:ascii="Perpetua" w:hAnsi="Perpetua"/>
          <w:color w:val="auto"/>
          <w:sz w:val="20"/>
        </w:rPr>
        <w:t>:</w:t>
      </w:r>
      <w:r w:rsidRPr="00C93F78">
        <w:rPr>
          <w:rFonts w:ascii="Perpetua" w:hAnsi="Perpetua"/>
          <w:b w:val="0"/>
          <w:color w:val="auto"/>
          <w:sz w:val="20"/>
        </w:rPr>
        <w:t xml:space="preserve"> </w:t>
      </w:r>
      <w:r w:rsidRPr="00C93F78">
        <w:rPr>
          <w:rFonts w:ascii="Perpetua" w:hAnsi="Perpetua"/>
          <w:b w:val="0"/>
          <w:color w:val="auto"/>
          <w:sz w:val="20"/>
          <w:szCs w:val="24"/>
        </w:rPr>
        <w:t>Advert in academic journal,</w:t>
      </w:r>
      <w:r w:rsidRPr="00C93F78">
        <w:rPr>
          <w:rFonts w:ascii="Perpetua" w:hAnsi="Perpetua"/>
          <w:b w:val="0"/>
          <w:i/>
          <w:color w:val="auto"/>
          <w:sz w:val="20"/>
          <w:szCs w:val="24"/>
        </w:rPr>
        <w:t xml:space="preserve"> The Royal African Society, </w:t>
      </w:r>
      <w:r w:rsidRPr="00C93F78">
        <w:rPr>
          <w:rFonts w:ascii="Perpetua" w:hAnsi="Perpetua"/>
          <w:b w:val="0"/>
          <w:color w:val="auto"/>
          <w:sz w:val="20"/>
          <w:szCs w:val="24"/>
        </w:rPr>
        <w:t>for white tourism</w:t>
      </w:r>
      <w:r>
        <w:rPr>
          <w:rFonts w:ascii="Perpetua" w:hAnsi="Perpetua"/>
          <w:b w:val="0"/>
          <w:color w:val="auto"/>
          <w:sz w:val="20"/>
          <w:szCs w:val="24"/>
        </w:rPr>
        <w:t>.</w:t>
      </w:r>
      <w:bookmarkEnd w:id="706"/>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774F2F" w:rsidRDefault="00774F2F"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3E091C" w:rsidRDefault="003F4A98" w:rsidP="003E091C">
      <w:pPr>
        <w:autoSpaceDE w:val="0"/>
        <w:autoSpaceDN w:val="0"/>
        <w:adjustRightInd w:val="0"/>
        <w:spacing w:after="0" w:line="360" w:lineRule="auto"/>
        <w:jc w:val="center"/>
        <w:rPr>
          <w:rFonts w:ascii="Garamond" w:hAnsi="Garamond"/>
          <w:sz w:val="24"/>
          <w:szCs w:val="24"/>
        </w:rPr>
      </w:pPr>
      <w:r w:rsidRPr="004246B0">
        <w:rPr>
          <w:rFonts w:ascii="Garamond" w:hAnsi="Garamond"/>
          <w:noProof/>
          <w:sz w:val="24"/>
          <w:szCs w:val="24"/>
          <w:lang w:eastAsia="en-GB"/>
        </w:rPr>
        <w:drawing>
          <wp:inline distT="0" distB="0" distL="0" distR="0">
            <wp:extent cx="4872751" cy="6495803"/>
            <wp:effectExtent l="19050" t="0" r="4049" b="0"/>
            <wp:docPr id="113" name="Picture 33" descr="C:\Users\hugh crosfield\Downloads\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ugh crosfield\Downloads\photo (10).JPG"/>
                    <pic:cNvPicPr>
                      <a:picLocks noChangeAspect="1" noChangeArrowheads="1"/>
                    </pic:cNvPicPr>
                  </pic:nvPicPr>
                  <pic:blipFill>
                    <a:blip r:embed="rId108" cstate="print"/>
                    <a:srcRect/>
                    <a:stretch>
                      <a:fillRect/>
                    </a:stretch>
                  </pic:blipFill>
                  <pic:spPr bwMode="auto">
                    <a:xfrm>
                      <a:off x="0" y="0"/>
                      <a:ext cx="4874427" cy="6498037"/>
                    </a:xfrm>
                    <a:prstGeom prst="rect">
                      <a:avLst/>
                    </a:prstGeom>
                    <a:noFill/>
                    <a:ln w="9525">
                      <a:noFill/>
                      <a:miter lim="800000"/>
                      <a:headEnd/>
                      <a:tailEnd/>
                    </a:ln>
                  </pic:spPr>
                </pic:pic>
              </a:graphicData>
            </a:graphic>
          </wp:inline>
        </w:drawing>
      </w:r>
    </w:p>
    <w:p w:rsidR="003E091C" w:rsidRDefault="0045538B" w:rsidP="00774F2F">
      <w:pPr>
        <w:pStyle w:val="Caption"/>
        <w:ind w:left="426" w:right="362"/>
        <w:jc w:val="both"/>
        <w:rPr>
          <w:rFonts w:ascii="Perpetua" w:hAnsi="Perpetua"/>
          <w:b w:val="0"/>
          <w:color w:val="auto"/>
          <w:sz w:val="20"/>
        </w:rPr>
      </w:pPr>
      <w:bookmarkStart w:id="707" w:name="_Toc263509061"/>
      <w:bookmarkStart w:id="708" w:name="_Toc263510848"/>
      <w:bookmarkStart w:id="709" w:name="_Toc244577326"/>
      <w:bookmarkStart w:id="710" w:name="_Toc263495795"/>
      <w:r w:rsidRPr="003E091C">
        <w:rPr>
          <w:rFonts w:ascii="Perpetua" w:hAnsi="Perpetua"/>
          <w:b w:val="0"/>
          <w:color w:val="auto"/>
          <w:sz w:val="20"/>
        </w:rPr>
        <w:t xml:space="preserve">Figure </w:t>
      </w:r>
      <w:r w:rsidR="00DF2DF8" w:rsidRPr="003E091C">
        <w:rPr>
          <w:rFonts w:ascii="Perpetua" w:hAnsi="Perpetua"/>
          <w:b w:val="0"/>
          <w:color w:val="auto"/>
          <w:sz w:val="20"/>
        </w:rPr>
        <w:fldChar w:fldCharType="begin"/>
      </w:r>
      <w:r w:rsidRPr="003E091C">
        <w:rPr>
          <w:rFonts w:ascii="Perpetua" w:hAnsi="Perpetua"/>
          <w:b w:val="0"/>
          <w:color w:val="auto"/>
          <w:sz w:val="20"/>
        </w:rPr>
        <w:instrText xml:space="preserve"> SEQ Figure \* ARABIC </w:instrText>
      </w:r>
      <w:r w:rsidR="00DF2DF8" w:rsidRPr="003E091C">
        <w:rPr>
          <w:rFonts w:ascii="Perpetua" w:hAnsi="Perpetua"/>
          <w:b w:val="0"/>
          <w:color w:val="auto"/>
          <w:sz w:val="20"/>
        </w:rPr>
        <w:fldChar w:fldCharType="separate"/>
      </w:r>
      <w:r w:rsidR="002B3E92">
        <w:rPr>
          <w:rFonts w:ascii="Perpetua" w:hAnsi="Perpetua"/>
          <w:b w:val="0"/>
          <w:noProof/>
          <w:color w:val="auto"/>
          <w:sz w:val="20"/>
        </w:rPr>
        <w:t>64</w:t>
      </w:r>
      <w:r w:rsidR="00DF2DF8" w:rsidRPr="003E091C">
        <w:rPr>
          <w:rFonts w:ascii="Perpetua" w:hAnsi="Perpetua"/>
          <w:b w:val="0"/>
          <w:color w:val="auto"/>
          <w:sz w:val="20"/>
        </w:rPr>
        <w:fldChar w:fldCharType="end"/>
      </w:r>
      <w:r w:rsidR="00774F2F" w:rsidRPr="003E091C">
        <w:rPr>
          <w:rFonts w:ascii="Perpetua" w:hAnsi="Perpetua"/>
          <w:b w:val="0"/>
          <w:color w:val="auto"/>
          <w:sz w:val="20"/>
        </w:rPr>
        <w:t>:</w:t>
      </w:r>
      <w:r w:rsidR="00774F2F">
        <w:rPr>
          <w:rFonts w:ascii="Perpetua" w:hAnsi="Perpetua"/>
          <w:b w:val="0"/>
          <w:color w:val="auto"/>
          <w:sz w:val="20"/>
        </w:rPr>
        <w:t xml:space="preserve"> </w:t>
      </w:r>
      <w:r w:rsidR="003F4A98" w:rsidRPr="00774F2F">
        <w:rPr>
          <w:rFonts w:ascii="Perpetua" w:hAnsi="Perpetua"/>
          <w:b w:val="0"/>
          <w:color w:val="auto"/>
          <w:sz w:val="20"/>
        </w:rPr>
        <w:t xml:space="preserve">A South African Immigration Department investment advert placed in </w:t>
      </w:r>
      <w:r w:rsidR="003F4A98" w:rsidRPr="00774F2F">
        <w:rPr>
          <w:rFonts w:ascii="Perpetua" w:hAnsi="Perpetua"/>
          <w:b w:val="0"/>
          <w:i/>
          <w:color w:val="auto"/>
          <w:sz w:val="20"/>
        </w:rPr>
        <w:t>The Economist</w:t>
      </w:r>
      <w:r w:rsidR="003E091C">
        <w:rPr>
          <w:rFonts w:ascii="Perpetua" w:hAnsi="Perpetua"/>
          <w:b w:val="0"/>
          <w:color w:val="auto"/>
          <w:sz w:val="20"/>
        </w:rPr>
        <w:t>, 17</w:t>
      </w:r>
      <w:r w:rsidR="003F4A98" w:rsidRPr="00774F2F">
        <w:rPr>
          <w:rFonts w:ascii="Perpetua" w:hAnsi="Perpetua"/>
          <w:b w:val="0"/>
          <w:color w:val="auto"/>
          <w:sz w:val="20"/>
        </w:rPr>
        <w:t xml:space="preserve"> April, 1974.</w:t>
      </w:r>
      <w:bookmarkEnd w:id="707"/>
      <w:bookmarkEnd w:id="708"/>
      <w:r w:rsidR="003F4A98" w:rsidRPr="00774F2F">
        <w:rPr>
          <w:rFonts w:ascii="Perpetua" w:hAnsi="Perpetua"/>
          <w:b w:val="0"/>
          <w:color w:val="auto"/>
          <w:sz w:val="20"/>
        </w:rPr>
        <w:t xml:space="preserve"> </w:t>
      </w:r>
    </w:p>
    <w:p w:rsidR="00774F2F" w:rsidRPr="003E091C" w:rsidRDefault="003F4A98" w:rsidP="003E091C">
      <w:pPr>
        <w:ind w:left="426"/>
        <w:rPr>
          <w:rFonts w:ascii="Perpetua" w:hAnsi="Perpetua"/>
          <w:sz w:val="20"/>
        </w:rPr>
      </w:pPr>
      <w:r w:rsidRPr="003E091C">
        <w:rPr>
          <w:rFonts w:ascii="Perpetua" w:hAnsi="Perpetua"/>
          <w:sz w:val="20"/>
        </w:rPr>
        <w:t>According to Butler et al. (1978), black homelands leaders were willing to lend "their names and faces to be used by South Africa to advertise investment opportunities in the homelands" (1977:98)</w:t>
      </w:r>
      <w:r w:rsidR="00774F2F" w:rsidRPr="003E091C">
        <w:rPr>
          <w:rFonts w:ascii="Perpetua" w:hAnsi="Perpetua"/>
          <w:sz w:val="20"/>
        </w:rPr>
        <w:t xml:space="preserve">. </w:t>
      </w:r>
      <w:r w:rsidRPr="003E091C">
        <w:rPr>
          <w:rFonts w:ascii="Perpetua" w:hAnsi="Perpetua"/>
          <w:sz w:val="20"/>
        </w:rPr>
        <w:t>The advert persuades Europeans to invest in the 'Bantustans' to start up a 'nice, fat, highly profitable overseas operation' and benefit from low labour costs -'in short the black proletariat in the black homelands is ready to do a decent day's work for a fair salary'.</w:t>
      </w:r>
      <w:bookmarkEnd w:id="709"/>
      <w:bookmarkEnd w:id="710"/>
      <w:r w:rsidRPr="003E091C">
        <w:rPr>
          <w:rFonts w:ascii="Perpetua" w:hAnsi="Perpetua"/>
          <w:sz w:val="20"/>
        </w:rPr>
        <w:t xml:space="preserve"> </w:t>
      </w:r>
    </w:p>
    <w:p w:rsidR="00774F2F" w:rsidRDefault="00774F2F" w:rsidP="00774F2F"/>
    <w:p w:rsidR="00774F2F" w:rsidRDefault="00774F2F" w:rsidP="00774F2F"/>
    <w:p w:rsidR="003F4A98" w:rsidRPr="00774F2F" w:rsidRDefault="003F4A98" w:rsidP="00774F2F"/>
    <w:p w:rsidR="003F4A98" w:rsidRPr="004246B0" w:rsidRDefault="003F4A98" w:rsidP="003F4A98">
      <w:pPr>
        <w:autoSpaceDE w:val="0"/>
        <w:autoSpaceDN w:val="0"/>
        <w:adjustRightInd w:val="0"/>
        <w:spacing w:after="0" w:line="360" w:lineRule="auto"/>
        <w:jc w:val="center"/>
        <w:rPr>
          <w:rFonts w:ascii="Garamond" w:hAnsi="Garamond"/>
          <w:sz w:val="24"/>
          <w:szCs w:val="24"/>
        </w:rPr>
      </w:pPr>
      <w:r w:rsidRPr="004246B0">
        <w:rPr>
          <w:rFonts w:ascii="Garamond" w:hAnsi="Garamond"/>
          <w:noProof/>
          <w:sz w:val="24"/>
          <w:szCs w:val="24"/>
          <w:lang w:eastAsia="en-GB"/>
        </w:rPr>
        <w:drawing>
          <wp:inline distT="0" distB="0" distL="0" distR="0">
            <wp:extent cx="5264174" cy="6020790"/>
            <wp:effectExtent l="19050" t="0" r="0" b="0"/>
            <wp:docPr id="114" name="Picture 24" descr="C:\Users\hugh crosfield\Downloads\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gh crosfield\Downloads\photo (9).JPG"/>
                    <pic:cNvPicPr>
                      <a:picLocks noChangeAspect="1" noChangeArrowheads="1"/>
                    </pic:cNvPicPr>
                  </pic:nvPicPr>
                  <pic:blipFill>
                    <a:blip r:embed="rId109" cstate="print"/>
                    <a:srcRect/>
                    <a:stretch>
                      <a:fillRect/>
                    </a:stretch>
                  </pic:blipFill>
                  <pic:spPr bwMode="auto">
                    <a:xfrm>
                      <a:off x="0" y="0"/>
                      <a:ext cx="5275019" cy="6033194"/>
                    </a:xfrm>
                    <a:prstGeom prst="rect">
                      <a:avLst/>
                    </a:prstGeom>
                    <a:noFill/>
                    <a:ln w="9525">
                      <a:noFill/>
                      <a:miter lim="800000"/>
                      <a:headEnd/>
                      <a:tailEnd/>
                    </a:ln>
                  </pic:spPr>
                </pic:pic>
              </a:graphicData>
            </a:graphic>
          </wp:inline>
        </w:drawing>
      </w:r>
    </w:p>
    <w:p w:rsidR="003F4A98" w:rsidRPr="004246B0" w:rsidRDefault="003F4A98" w:rsidP="003F4A98">
      <w:pPr>
        <w:rPr>
          <w:rFonts w:ascii="Garamond" w:hAnsi="Garamond"/>
          <w:sz w:val="24"/>
          <w:szCs w:val="24"/>
        </w:rPr>
      </w:pPr>
    </w:p>
    <w:p w:rsidR="00031E7C" w:rsidRDefault="00774F2F" w:rsidP="00774F2F">
      <w:pPr>
        <w:pStyle w:val="Caption"/>
        <w:rPr>
          <w:rFonts w:ascii="Perpetua" w:hAnsi="Perpetua"/>
          <w:b w:val="0"/>
          <w:color w:val="auto"/>
          <w:sz w:val="20"/>
        </w:rPr>
      </w:pPr>
      <w:bookmarkStart w:id="711" w:name="_Toc263509062"/>
      <w:bookmarkStart w:id="712" w:name="_Toc263510849"/>
      <w:bookmarkStart w:id="713" w:name="_Toc244577327"/>
      <w:bookmarkStart w:id="714" w:name="_Toc263495796"/>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65</w:t>
      </w:r>
      <w:r w:rsidR="00DF2DF8" w:rsidRPr="00031E7C">
        <w:rPr>
          <w:rFonts w:ascii="Perpetua" w:hAnsi="Perpetua"/>
          <w:b w:val="0"/>
          <w:color w:val="auto"/>
          <w:sz w:val="20"/>
        </w:rPr>
        <w:fldChar w:fldCharType="end"/>
      </w:r>
      <w:r w:rsidR="003F4A98" w:rsidRPr="00031E7C">
        <w:rPr>
          <w:rFonts w:ascii="Perpetua" w:hAnsi="Perpetua"/>
          <w:b w:val="0"/>
          <w:color w:val="auto"/>
          <w:sz w:val="20"/>
        </w:rPr>
        <w:t>:</w:t>
      </w:r>
      <w:r w:rsidR="003F4A98" w:rsidRPr="00774F2F">
        <w:rPr>
          <w:rFonts w:ascii="Perpetua" w:hAnsi="Perpetua"/>
          <w:b w:val="0"/>
          <w:color w:val="auto"/>
          <w:sz w:val="20"/>
        </w:rPr>
        <w:t xml:space="preserve"> UK </w:t>
      </w:r>
      <w:r w:rsidR="003E091C">
        <w:rPr>
          <w:rFonts w:ascii="Perpetua" w:hAnsi="Perpetua"/>
          <w:b w:val="0"/>
          <w:color w:val="auto"/>
          <w:sz w:val="20"/>
        </w:rPr>
        <w:t>corporate a</w:t>
      </w:r>
      <w:r w:rsidR="003F4A98" w:rsidRPr="00774F2F">
        <w:rPr>
          <w:rFonts w:ascii="Perpetua" w:hAnsi="Perpetua"/>
          <w:b w:val="0"/>
          <w:color w:val="auto"/>
          <w:sz w:val="20"/>
        </w:rPr>
        <w:t>dvert</w:t>
      </w:r>
      <w:r w:rsidR="003E091C">
        <w:rPr>
          <w:rFonts w:ascii="Perpetua" w:hAnsi="Perpetua"/>
          <w:b w:val="0"/>
          <w:color w:val="auto"/>
          <w:sz w:val="20"/>
        </w:rPr>
        <w:t>ising</w:t>
      </w:r>
      <w:r w:rsidR="003F4A98" w:rsidRPr="00774F2F">
        <w:rPr>
          <w:rFonts w:ascii="Perpetua" w:hAnsi="Perpetua"/>
          <w:b w:val="0"/>
          <w:color w:val="auto"/>
          <w:sz w:val="20"/>
        </w:rPr>
        <w:t xml:space="preserve"> for computer programmers for the South African operations of the multinational, Anglo </w:t>
      </w:r>
      <w:r w:rsidR="00031E7C">
        <w:rPr>
          <w:rFonts w:ascii="Perpetua" w:hAnsi="Perpetua"/>
          <w:b w:val="0"/>
          <w:color w:val="auto"/>
          <w:sz w:val="20"/>
        </w:rPr>
        <w:t>American Insurance Holding LTD, 1980.</w:t>
      </w:r>
      <w:bookmarkEnd w:id="711"/>
      <w:bookmarkEnd w:id="712"/>
    </w:p>
    <w:p w:rsidR="003F4A98" w:rsidRPr="00031E7C" w:rsidRDefault="003F4A98" w:rsidP="00031E7C">
      <w:pPr>
        <w:rPr>
          <w:rFonts w:ascii="Perpetua" w:hAnsi="Perpetua"/>
          <w:sz w:val="20"/>
        </w:rPr>
      </w:pPr>
      <w:r w:rsidRPr="00031E7C">
        <w:rPr>
          <w:rFonts w:ascii="Perpetua" w:hAnsi="Perpetua"/>
          <w:sz w:val="20"/>
        </w:rPr>
        <w:t>Note low taxation, booming economy and 'excellent sports and social facilities' are offered. No reference to skin colour is made, but rather ominously the advert concludes with 'naturally relocation assistance will be given' (BOA Perspektief, 1982: 14).</w:t>
      </w:r>
      <w:bookmarkEnd w:id="713"/>
      <w:bookmarkEnd w:id="714"/>
    </w:p>
    <w:p w:rsidR="00774F2F" w:rsidRDefault="00774F2F" w:rsidP="003F4A98">
      <w:pPr>
        <w:ind w:firstLine="720"/>
        <w:rPr>
          <w:rFonts w:ascii="Garamond" w:hAnsi="Garamond"/>
          <w:sz w:val="24"/>
          <w:szCs w:val="24"/>
        </w:rPr>
      </w:pPr>
    </w:p>
    <w:p w:rsidR="00774F2F" w:rsidRDefault="00774F2F" w:rsidP="003F4A98">
      <w:pPr>
        <w:ind w:firstLine="720"/>
        <w:rPr>
          <w:rFonts w:ascii="Garamond" w:hAnsi="Garamond"/>
          <w:sz w:val="24"/>
          <w:szCs w:val="24"/>
        </w:rPr>
      </w:pPr>
    </w:p>
    <w:p w:rsidR="00037B38" w:rsidRDefault="00037B38" w:rsidP="003F4A98">
      <w:pPr>
        <w:ind w:firstLine="720"/>
        <w:rPr>
          <w:rFonts w:ascii="Garamond" w:hAnsi="Garamond"/>
          <w:sz w:val="24"/>
          <w:szCs w:val="24"/>
        </w:rPr>
      </w:pPr>
    </w:p>
    <w:p w:rsidR="00774F2F" w:rsidRDefault="00774F2F" w:rsidP="003F4A98">
      <w:pPr>
        <w:ind w:firstLine="720"/>
        <w:rPr>
          <w:rFonts w:ascii="Garamond" w:hAnsi="Garamond"/>
          <w:sz w:val="24"/>
          <w:szCs w:val="24"/>
        </w:rPr>
      </w:pPr>
    </w:p>
    <w:p w:rsidR="00774F2F" w:rsidRDefault="00774F2F" w:rsidP="003F4A98">
      <w:pPr>
        <w:ind w:firstLine="720"/>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3085"/>
        <w:gridCol w:w="5431"/>
      </w:tblGrid>
      <w:tr w:rsidR="00774F2F">
        <w:tc>
          <w:tcPr>
            <w:tcW w:w="3085" w:type="dxa"/>
          </w:tcPr>
          <w:p w:rsidR="00031E7C" w:rsidRDefault="00A7088C" w:rsidP="00A7088C">
            <w:pPr>
              <w:pStyle w:val="Caption"/>
              <w:rPr>
                <w:rFonts w:ascii="Perpetua" w:hAnsi="Perpetua"/>
                <w:b w:val="0"/>
                <w:color w:val="auto"/>
                <w:sz w:val="20"/>
              </w:rPr>
            </w:pPr>
            <w:bookmarkStart w:id="715" w:name="_Toc263509063"/>
            <w:bookmarkStart w:id="716" w:name="_Toc263510850"/>
            <w:bookmarkStart w:id="717" w:name="_Toc244577328"/>
            <w:bookmarkStart w:id="718" w:name="_Toc263495797"/>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66</w:t>
            </w:r>
            <w:r w:rsidR="00DF2DF8" w:rsidRPr="00031E7C">
              <w:rPr>
                <w:rFonts w:ascii="Perpetua" w:hAnsi="Perpetua"/>
                <w:b w:val="0"/>
                <w:color w:val="auto"/>
                <w:sz w:val="20"/>
              </w:rPr>
              <w:fldChar w:fldCharType="end"/>
            </w:r>
            <w:r w:rsidRPr="00031E7C">
              <w:rPr>
                <w:rFonts w:ascii="Perpetua" w:hAnsi="Perpetua"/>
                <w:b w:val="0"/>
                <w:color w:val="auto"/>
                <w:sz w:val="20"/>
              </w:rPr>
              <w:t>: IBM</w:t>
            </w:r>
            <w:r w:rsidRPr="00774F2F">
              <w:rPr>
                <w:rFonts w:ascii="Perpetua" w:hAnsi="Perpetua"/>
                <w:b w:val="0"/>
                <w:color w:val="auto"/>
                <w:sz w:val="20"/>
              </w:rPr>
              <w:t xml:space="preserve"> advert </w:t>
            </w:r>
            <w:r w:rsidR="00031E7C">
              <w:rPr>
                <w:rFonts w:ascii="Perpetua" w:hAnsi="Perpetua"/>
                <w:b w:val="0"/>
                <w:color w:val="auto"/>
                <w:sz w:val="20"/>
              </w:rPr>
              <w:t>f</w:t>
            </w:r>
            <w:r>
              <w:rPr>
                <w:rFonts w:ascii="Perpetua" w:hAnsi="Perpetua"/>
                <w:b w:val="0"/>
                <w:color w:val="auto"/>
                <w:sz w:val="20"/>
              </w:rPr>
              <w:t>rom the BOA quarterly magazine,</w:t>
            </w:r>
            <w:r w:rsidRPr="00031E7C">
              <w:rPr>
                <w:rFonts w:ascii="Perpetua" w:hAnsi="Perpetua"/>
                <w:b w:val="0"/>
                <w:i/>
                <w:color w:val="auto"/>
                <w:sz w:val="20"/>
              </w:rPr>
              <w:t xml:space="preserve"> Perspektief</w:t>
            </w:r>
            <w:r w:rsidR="00031E7C">
              <w:rPr>
                <w:rFonts w:ascii="Perpetua" w:hAnsi="Perpetua"/>
                <w:b w:val="0"/>
                <w:color w:val="auto"/>
                <w:sz w:val="20"/>
              </w:rPr>
              <w:t>, 1980.</w:t>
            </w:r>
            <w:bookmarkEnd w:id="715"/>
            <w:bookmarkEnd w:id="716"/>
          </w:p>
          <w:p w:rsidR="00A7088C" w:rsidRPr="00031E7C" w:rsidRDefault="00031E7C" w:rsidP="00031E7C">
            <w:pPr>
              <w:rPr>
                <w:rFonts w:ascii="Perpetua" w:hAnsi="Perpetua"/>
                <w:sz w:val="20"/>
              </w:rPr>
            </w:pPr>
            <w:r w:rsidRPr="00031E7C">
              <w:rPr>
                <w:rFonts w:ascii="Perpetua" w:hAnsi="Perpetua"/>
                <w:sz w:val="20"/>
              </w:rPr>
              <w:t>The advert extols a special global relationship with South Africa (p.</w:t>
            </w:r>
            <w:r w:rsidR="00A7088C" w:rsidRPr="00031E7C">
              <w:rPr>
                <w:rFonts w:ascii="Perpetua" w:hAnsi="Perpetua"/>
                <w:sz w:val="20"/>
              </w:rPr>
              <w:t>17). The BOA point out tha</w:t>
            </w:r>
            <w:r w:rsidRPr="00031E7C">
              <w:rPr>
                <w:rFonts w:ascii="Perpetua" w:hAnsi="Perpetua"/>
                <w:sz w:val="20"/>
              </w:rPr>
              <w:t>t in 1980,</w:t>
            </w:r>
            <w:r w:rsidR="00A7088C" w:rsidRPr="00031E7C">
              <w:rPr>
                <w:rFonts w:ascii="Perpetua" w:hAnsi="Perpetua"/>
                <w:sz w:val="20"/>
              </w:rPr>
              <w:t>177 out of 1500 IBM workers were black.</w:t>
            </w:r>
            <w:bookmarkEnd w:id="717"/>
            <w:bookmarkEnd w:id="718"/>
          </w:p>
          <w:p w:rsidR="00774F2F" w:rsidRDefault="00774F2F" w:rsidP="003F4A98">
            <w:pPr>
              <w:rPr>
                <w:rFonts w:ascii="Garamond" w:hAnsi="Garamond"/>
                <w:sz w:val="24"/>
                <w:szCs w:val="24"/>
              </w:rPr>
            </w:pPr>
          </w:p>
        </w:tc>
        <w:tc>
          <w:tcPr>
            <w:tcW w:w="5431" w:type="dxa"/>
          </w:tcPr>
          <w:p w:rsidR="00774F2F" w:rsidRDefault="00774F2F" w:rsidP="003F4A98">
            <w:pPr>
              <w:rPr>
                <w:rFonts w:ascii="Garamond" w:hAnsi="Garamond"/>
                <w:sz w:val="24"/>
                <w:szCs w:val="24"/>
              </w:rPr>
            </w:pPr>
            <w:r w:rsidRPr="004246B0">
              <w:rPr>
                <w:rFonts w:ascii="Garamond" w:hAnsi="Garamond"/>
                <w:noProof/>
                <w:lang w:eastAsia="en-GB"/>
              </w:rPr>
              <w:drawing>
                <wp:inline distT="0" distB="0" distL="0" distR="0">
                  <wp:extent cx="2235052" cy="2979521"/>
                  <wp:effectExtent l="19050" t="0" r="0" b="0"/>
                  <wp:docPr id="132" name="Picture 34" descr="C:\Users\hugh crosfield\Downloads\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ugh crosfield\Downloads\photo (12).JPG"/>
                          <pic:cNvPicPr>
                            <a:picLocks noChangeAspect="1" noChangeArrowheads="1"/>
                          </pic:cNvPicPr>
                        </pic:nvPicPr>
                        <pic:blipFill>
                          <a:blip r:embed="rId110" cstate="print"/>
                          <a:srcRect/>
                          <a:stretch>
                            <a:fillRect/>
                          </a:stretch>
                        </pic:blipFill>
                        <pic:spPr bwMode="auto">
                          <a:xfrm>
                            <a:off x="0" y="0"/>
                            <a:ext cx="2236576" cy="2981552"/>
                          </a:xfrm>
                          <a:prstGeom prst="rect">
                            <a:avLst/>
                          </a:prstGeom>
                          <a:noFill/>
                          <a:ln w="9525">
                            <a:noFill/>
                            <a:miter lim="800000"/>
                            <a:headEnd/>
                            <a:tailEnd/>
                          </a:ln>
                        </pic:spPr>
                      </pic:pic>
                    </a:graphicData>
                  </a:graphic>
                </wp:inline>
              </w:drawing>
            </w:r>
          </w:p>
        </w:tc>
      </w:tr>
    </w:tbl>
    <w:p w:rsidR="003F4A98" w:rsidRPr="004246B0" w:rsidRDefault="003F4A98" w:rsidP="003F4A98">
      <w:pPr>
        <w:ind w:firstLine="720"/>
        <w:rPr>
          <w:rFonts w:ascii="Garamond" w:hAnsi="Garamond"/>
          <w:sz w:val="24"/>
          <w:szCs w:val="24"/>
        </w:rPr>
      </w:pPr>
    </w:p>
    <w:p w:rsidR="003F4A98" w:rsidRPr="004246B0" w:rsidRDefault="003F4A98" w:rsidP="003F4A98">
      <w:pPr>
        <w:autoSpaceDE w:val="0"/>
        <w:autoSpaceDN w:val="0"/>
        <w:adjustRightInd w:val="0"/>
        <w:spacing w:after="0" w:line="360" w:lineRule="auto"/>
        <w:jc w:val="center"/>
        <w:rPr>
          <w:rFonts w:ascii="Garamond" w:hAnsi="Garamond"/>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Apartheid and economic growth appeared to work in tandem. SACTU's 1970 international call to resist white migration outlines the importance of the influx of white labour to maintaining apartheid industrial growth:</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A7088C">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In August 1968, the Minister of Immigration, Dr. C.P. Mulder and his Deputy Koornhof told a Nationalist Party Conference that </w:t>
      </w:r>
      <w:r w:rsidRPr="004246B0">
        <w:rPr>
          <w:rFonts w:ascii="Garamond" w:hAnsi="Garamond"/>
          <w:iCs/>
        </w:rPr>
        <w:t>'without the annual immigration intake of between 28,000 and 30,000,</w:t>
      </w:r>
      <w:r w:rsidRPr="004246B0">
        <w:rPr>
          <w:rFonts w:ascii="Garamond" w:hAnsi="Garamond"/>
        </w:rPr>
        <w:t xml:space="preserve"> </w:t>
      </w:r>
      <w:r w:rsidRPr="004246B0">
        <w:rPr>
          <w:rFonts w:ascii="Garamond" w:hAnsi="Garamond"/>
          <w:iCs/>
        </w:rPr>
        <w:t>South Africa would not be able to maintain the normal 5.2% economic growth</w:t>
      </w:r>
      <w:r w:rsidR="00A7088C">
        <w:rPr>
          <w:rFonts w:ascii="Garamond" w:hAnsi="Garamond"/>
        </w:rPr>
        <w:t xml:space="preserve"> </w:t>
      </w:r>
      <w:r w:rsidR="00A7088C">
        <w:rPr>
          <w:rFonts w:ascii="Garamond" w:hAnsi="Garamond"/>
          <w:iCs/>
        </w:rPr>
        <w:t>rate set out by her planners'.</w:t>
      </w:r>
      <w:r w:rsidRPr="004246B0">
        <w:rPr>
          <w:rFonts w:ascii="Garamond" w:hAnsi="Garamond"/>
          <w:iCs/>
        </w:rPr>
        <w:t xml:space="preserve"> (Bra</w:t>
      </w:r>
      <w:r w:rsidR="00A7088C">
        <w:rPr>
          <w:rFonts w:ascii="Garamond" w:hAnsi="Garamond"/>
          <w:iCs/>
        </w:rPr>
        <w:t xml:space="preserve">ganca </w:t>
      </w:r>
      <w:r w:rsidR="00F152DB">
        <w:rPr>
          <w:rFonts w:ascii="Garamond" w:hAnsi="Garamond"/>
          <w:iCs/>
        </w:rPr>
        <w:t>and</w:t>
      </w:r>
      <w:r w:rsidR="00A7088C">
        <w:rPr>
          <w:rFonts w:ascii="Garamond" w:hAnsi="Garamond"/>
          <w:iCs/>
        </w:rPr>
        <w:t xml:space="preserve"> Wallerstein, 1982: 165)</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Despite disagreements between the NP and UP over the increasing number of British migrants, by the 1970s both parties were in full support of white migration (Stone, 1975). During the early 1970s net migration to South Africa had increased fourfold since the inception of the Department of Immigration in 1960 (Lipton, 1985).</w:t>
      </w:r>
      <w:r w:rsidRPr="004246B0">
        <w:rPr>
          <w:rStyle w:val="FootnoteReference"/>
          <w:rFonts w:ascii="Garamond" w:hAnsi="Garamond"/>
          <w:sz w:val="24"/>
          <w:szCs w:val="24"/>
        </w:rPr>
        <w:footnoteReference w:id="164"/>
      </w:r>
      <w:r w:rsidRPr="004246B0">
        <w:rPr>
          <w:rFonts w:ascii="Garamond" w:hAnsi="Garamond"/>
          <w:sz w:val="24"/>
          <w:szCs w:val="24"/>
        </w:rPr>
        <w:t xml:space="preserve"> Soaring immigration was the key contributor to the increase of the white population of South Africa by 50% between 1962 and 1973, and in the same period foreign investment in South Africa grew more than twofold (Worger </w:t>
      </w:r>
      <w:r w:rsidR="00F152DB">
        <w:rPr>
          <w:rFonts w:ascii="Garamond" w:hAnsi="Garamond"/>
          <w:sz w:val="24"/>
          <w:szCs w:val="24"/>
        </w:rPr>
        <w:t>and</w:t>
      </w:r>
      <w:r w:rsidRPr="004246B0">
        <w:rPr>
          <w:rFonts w:ascii="Garamond" w:hAnsi="Garamond"/>
          <w:sz w:val="24"/>
          <w:szCs w:val="24"/>
        </w:rPr>
        <w:t xml:space="preserve"> Byrnes, 2013).</w:t>
      </w:r>
      <w:r w:rsidRPr="004246B0">
        <w:rPr>
          <w:rStyle w:val="FootnoteReference"/>
          <w:rFonts w:ascii="Garamond" w:hAnsi="Garamond"/>
          <w:sz w:val="24"/>
          <w:szCs w:val="24"/>
        </w:rPr>
        <w:footnoteReference w:id="165"/>
      </w:r>
      <w:r w:rsidRPr="004246B0">
        <w:rPr>
          <w:rFonts w:ascii="Garamond" w:hAnsi="Garamond"/>
          <w:sz w:val="24"/>
          <w:szCs w:val="24"/>
        </w:rPr>
        <w:t xml:space="preserve"> Zöller's general introduction to </w:t>
      </w:r>
      <w:r w:rsidRPr="004246B0">
        <w:rPr>
          <w:rFonts w:ascii="Garamond" w:hAnsi="Garamond"/>
          <w:i/>
          <w:sz w:val="24"/>
          <w:szCs w:val="24"/>
        </w:rPr>
        <w:t xml:space="preserve">White Migration </w:t>
      </w:r>
      <w:r w:rsidRPr="004246B0">
        <w:rPr>
          <w:rFonts w:ascii="Garamond" w:hAnsi="Garamond"/>
          <w:sz w:val="24"/>
          <w:szCs w:val="24"/>
        </w:rPr>
        <w:t xml:space="preserve">shows that immigration policy and foreign investment </w:t>
      </w:r>
      <w:r w:rsidRPr="004246B0">
        <w:rPr>
          <w:rFonts w:ascii="Garamond" w:hAnsi="Garamond"/>
          <w:sz w:val="24"/>
          <w:szCs w:val="24"/>
        </w:rPr>
        <w:lastRenderedPageBreak/>
        <w:t>were indelibly linked; white migrant labour often followed multinational capital into South Africa, particularly in the construction industry and the education sector. Between July 1970 and April 1972, from a total of 66,804 white immigrants, over 11,000 skilled manufactur</w:t>
      </w:r>
      <w:r>
        <w:rPr>
          <w:rFonts w:ascii="Garamond" w:hAnsi="Garamond"/>
          <w:sz w:val="24"/>
          <w:szCs w:val="24"/>
        </w:rPr>
        <w:t>ing</w:t>
      </w:r>
      <w:r w:rsidRPr="004246B0">
        <w:rPr>
          <w:rFonts w:ascii="Garamond" w:hAnsi="Garamond"/>
          <w:sz w:val="24"/>
          <w:szCs w:val="24"/>
        </w:rPr>
        <w:t xml:space="preserve"> and construction workers and 11,000 scholars made their home in South Africa. Between 1970 and 73, white migration to South Africa from the UK averaged around 16,000 per year (about half of the European total), while on average 1500-2000 Dutch made new homes in South Africa.</w:t>
      </w:r>
    </w:p>
    <w:p w:rsidR="003F4A98" w:rsidRPr="004246B0" w:rsidRDefault="003F4A98" w:rsidP="003F4A98">
      <w:pPr>
        <w:spacing w:line="360" w:lineRule="auto"/>
        <w:jc w:val="center"/>
        <w:rPr>
          <w:rFonts w:ascii="Garamond" w:hAnsi="Garamond"/>
          <w:b/>
          <w:sz w:val="24"/>
          <w:szCs w:val="24"/>
        </w:rPr>
      </w:pPr>
    </w:p>
    <w:tbl>
      <w:tblPr>
        <w:tblStyle w:val="TableGrid"/>
        <w:tblW w:w="8741" w:type="dxa"/>
        <w:tblLook w:val="00A0"/>
      </w:tblPr>
      <w:tblGrid>
        <w:gridCol w:w="1748"/>
        <w:gridCol w:w="1748"/>
        <w:gridCol w:w="1748"/>
        <w:gridCol w:w="1748"/>
        <w:gridCol w:w="1749"/>
      </w:tblGrid>
      <w:tr w:rsidR="00027FC5">
        <w:trPr>
          <w:trHeight w:val="568"/>
        </w:trPr>
        <w:tc>
          <w:tcPr>
            <w:tcW w:w="8741" w:type="dxa"/>
            <w:gridSpan w:val="5"/>
            <w:vAlign w:val="center"/>
          </w:tcPr>
          <w:p w:rsidR="00027FC5" w:rsidRPr="00037B38" w:rsidRDefault="00037B38" w:rsidP="00037B38">
            <w:pPr>
              <w:spacing w:line="360" w:lineRule="auto"/>
              <w:jc w:val="center"/>
              <w:rPr>
                <w:rFonts w:ascii="Garamond" w:hAnsi="Garamond"/>
                <w:b/>
                <w:sz w:val="24"/>
                <w:szCs w:val="24"/>
              </w:rPr>
            </w:pPr>
            <w:r>
              <w:rPr>
                <w:rFonts w:ascii="Garamond" w:hAnsi="Garamond"/>
                <w:b/>
                <w:sz w:val="24"/>
                <w:szCs w:val="24"/>
              </w:rPr>
              <w:t>Net White M</w:t>
            </w:r>
            <w:r w:rsidRPr="004246B0">
              <w:rPr>
                <w:rFonts w:ascii="Garamond" w:hAnsi="Garamond"/>
                <w:b/>
                <w:sz w:val="24"/>
                <w:szCs w:val="24"/>
              </w:rPr>
              <w:t>igration to South Africa 1924-1970</w:t>
            </w:r>
          </w:p>
        </w:tc>
      </w:tr>
      <w:tr w:rsidR="00027FC5">
        <w:trPr>
          <w:trHeight w:val="615"/>
        </w:trPr>
        <w:tc>
          <w:tcPr>
            <w:tcW w:w="1748" w:type="dxa"/>
            <w:vAlign w:val="center"/>
          </w:tcPr>
          <w:p w:rsidR="00027FC5" w:rsidRPr="009241A4" w:rsidRDefault="00027FC5" w:rsidP="00027FC5">
            <w:pPr>
              <w:spacing w:after="0" w:line="240" w:lineRule="auto"/>
              <w:jc w:val="center"/>
              <w:rPr>
                <w:rFonts w:ascii="Times New Roman" w:hAnsi="Times New Roman"/>
                <w:b/>
                <w:szCs w:val="24"/>
              </w:rPr>
            </w:pPr>
            <w:r w:rsidRPr="009241A4">
              <w:rPr>
                <w:rFonts w:ascii="Times New Roman" w:hAnsi="Times New Roman"/>
                <w:b/>
                <w:szCs w:val="24"/>
              </w:rPr>
              <w:t>Years</w:t>
            </w:r>
          </w:p>
        </w:tc>
        <w:tc>
          <w:tcPr>
            <w:tcW w:w="1748" w:type="dxa"/>
            <w:vAlign w:val="center"/>
          </w:tcPr>
          <w:p w:rsidR="00027FC5" w:rsidRPr="009241A4" w:rsidRDefault="00027FC5" w:rsidP="00027FC5">
            <w:pPr>
              <w:spacing w:after="0" w:line="240" w:lineRule="auto"/>
              <w:jc w:val="center"/>
              <w:rPr>
                <w:rFonts w:ascii="Times New Roman" w:hAnsi="Times New Roman"/>
                <w:b/>
                <w:szCs w:val="24"/>
              </w:rPr>
            </w:pPr>
            <w:r w:rsidRPr="009241A4">
              <w:rPr>
                <w:rFonts w:ascii="Times New Roman" w:hAnsi="Times New Roman"/>
                <w:b/>
                <w:szCs w:val="24"/>
              </w:rPr>
              <w:t>Ireland</w:t>
            </w:r>
          </w:p>
        </w:tc>
        <w:tc>
          <w:tcPr>
            <w:tcW w:w="1748" w:type="dxa"/>
            <w:vAlign w:val="center"/>
          </w:tcPr>
          <w:p w:rsidR="00027FC5" w:rsidRPr="009241A4" w:rsidRDefault="00027FC5" w:rsidP="00027FC5">
            <w:pPr>
              <w:spacing w:after="0" w:line="240" w:lineRule="auto"/>
              <w:jc w:val="center"/>
              <w:rPr>
                <w:rFonts w:ascii="Times New Roman" w:hAnsi="Times New Roman"/>
                <w:b/>
                <w:szCs w:val="24"/>
              </w:rPr>
            </w:pPr>
            <w:r w:rsidRPr="009241A4">
              <w:rPr>
                <w:rFonts w:ascii="Times New Roman" w:hAnsi="Times New Roman"/>
                <w:b/>
                <w:szCs w:val="24"/>
              </w:rPr>
              <w:t>UK</w:t>
            </w:r>
          </w:p>
        </w:tc>
        <w:tc>
          <w:tcPr>
            <w:tcW w:w="1748" w:type="dxa"/>
            <w:vAlign w:val="center"/>
          </w:tcPr>
          <w:p w:rsidR="00027FC5" w:rsidRPr="009241A4" w:rsidRDefault="00027FC5" w:rsidP="00027FC5">
            <w:pPr>
              <w:spacing w:after="0" w:line="240" w:lineRule="auto"/>
              <w:jc w:val="center"/>
              <w:rPr>
                <w:rFonts w:ascii="Times New Roman" w:hAnsi="Times New Roman"/>
                <w:b/>
                <w:szCs w:val="24"/>
              </w:rPr>
            </w:pPr>
            <w:r w:rsidRPr="009241A4">
              <w:rPr>
                <w:rFonts w:ascii="Times New Roman" w:hAnsi="Times New Roman"/>
                <w:b/>
                <w:color w:val="000000"/>
                <w:szCs w:val="16"/>
              </w:rPr>
              <w:t>Other</w:t>
            </w:r>
          </w:p>
        </w:tc>
        <w:tc>
          <w:tcPr>
            <w:tcW w:w="1749" w:type="dxa"/>
            <w:vAlign w:val="center"/>
          </w:tcPr>
          <w:p w:rsidR="00027FC5" w:rsidRPr="009241A4" w:rsidRDefault="00027FC5" w:rsidP="00027FC5">
            <w:pPr>
              <w:spacing w:after="0" w:line="240" w:lineRule="auto"/>
              <w:jc w:val="center"/>
              <w:rPr>
                <w:rFonts w:ascii="Times New Roman" w:hAnsi="Times New Roman"/>
                <w:b/>
                <w:szCs w:val="24"/>
              </w:rPr>
            </w:pPr>
            <w:r w:rsidRPr="009241A4">
              <w:rPr>
                <w:rFonts w:ascii="Times New Roman" w:hAnsi="Times New Roman"/>
                <w:b/>
                <w:szCs w:val="24"/>
              </w:rPr>
              <w:t>Net Total</w:t>
            </w:r>
          </w:p>
        </w:tc>
      </w:tr>
      <w:tr w:rsidR="00027FC5">
        <w:trPr>
          <w:trHeight w:val="663"/>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1924-1929</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583</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12,295</w:t>
            </w:r>
          </w:p>
        </w:tc>
        <w:tc>
          <w:tcPr>
            <w:tcW w:w="1748" w:type="dxa"/>
            <w:vAlign w:val="center"/>
          </w:tcPr>
          <w:p w:rsidR="00027FC5" w:rsidRPr="009241A4" w:rsidRDefault="00027FC5" w:rsidP="00027FC5">
            <w:pPr>
              <w:autoSpaceDE w:val="0"/>
              <w:autoSpaceDN w:val="0"/>
              <w:adjustRightInd w:val="0"/>
              <w:spacing w:after="0" w:line="240" w:lineRule="auto"/>
              <w:jc w:val="center"/>
              <w:rPr>
                <w:rFonts w:ascii="Garamond" w:hAnsi="Garamond"/>
                <w:color w:val="000000"/>
                <w:sz w:val="24"/>
                <w:szCs w:val="16"/>
              </w:rPr>
            </w:pPr>
            <w:r>
              <w:rPr>
                <w:rFonts w:ascii="Garamond" w:hAnsi="Garamond"/>
                <w:color w:val="000000"/>
                <w:sz w:val="24"/>
                <w:szCs w:val="16"/>
              </w:rPr>
              <w:t>82</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12,960</w:t>
            </w:r>
          </w:p>
        </w:tc>
      </w:tr>
      <w:tr w:rsidR="00027FC5">
        <w:trPr>
          <w:trHeight w:val="584"/>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1930-1934</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396</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6,707</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517</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7,620</w:t>
            </w:r>
          </w:p>
        </w:tc>
      </w:tr>
      <w:tr w:rsidR="00027FC5">
        <w:trPr>
          <w:trHeight w:val="599"/>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1935-1939</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825</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13,120</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9,092</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23,037</w:t>
            </w:r>
          </w:p>
        </w:tc>
      </w:tr>
      <w:tr w:rsidR="00027FC5">
        <w:trPr>
          <w:trHeight w:val="584"/>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1940-1944</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196</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3,278</w:t>
            </w:r>
          </w:p>
        </w:tc>
        <w:tc>
          <w:tcPr>
            <w:tcW w:w="1748" w:type="dxa"/>
            <w:vAlign w:val="center"/>
          </w:tcPr>
          <w:p w:rsidR="00027FC5" w:rsidRPr="009241A4" w:rsidRDefault="00027FC5" w:rsidP="00027FC5">
            <w:pPr>
              <w:autoSpaceDE w:val="0"/>
              <w:autoSpaceDN w:val="0"/>
              <w:adjustRightInd w:val="0"/>
              <w:spacing w:after="0" w:line="240" w:lineRule="auto"/>
              <w:jc w:val="center"/>
              <w:rPr>
                <w:rFonts w:ascii="Garamond" w:hAnsi="Garamond"/>
                <w:color w:val="000000"/>
                <w:sz w:val="24"/>
                <w:szCs w:val="16"/>
              </w:rPr>
            </w:pPr>
            <w:r w:rsidRPr="009241A4">
              <w:rPr>
                <w:rFonts w:ascii="Garamond" w:hAnsi="Garamond"/>
                <w:color w:val="000000"/>
                <w:sz w:val="24"/>
                <w:szCs w:val="16"/>
              </w:rPr>
              <w:t>- 5,849</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-2,375</w:t>
            </w:r>
          </w:p>
        </w:tc>
      </w:tr>
      <w:tr w:rsidR="00027FC5">
        <w:trPr>
          <w:trHeight w:val="599"/>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1945-1949</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2,157</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57,898</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- 5,742</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54,313</w:t>
            </w:r>
          </w:p>
        </w:tc>
      </w:tr>
      <w:tr w:rsidR="00027FC5">
        <w:trPr>
          <w:trHeight w:val="647"/>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1950-1954</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207</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20,507</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- 2,879</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17,835</w:t>
            </w:r>
          </w:p>
        </w:tc>
      </w:tr>
      <w:tr w:rsidR="00027FC5">
        <w:trPr>
          <w:trHeight w:val="584"/>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1955-1959</w:t>
            </w:r>
          </w:p>
        </w:tc>
        <w:tc>
          <w:tcPr>
            <w:tcW w:w="1748" w:type="dxa"/>
            <w:vAlign w:val="center"/>
          </w:tcPr>
          <w:p w:rsidR="00027FC5" w:rsidRDefault="00027FC5" w:rsidP="00027FC5">
            <w:pPr>
              <w:spacing w:after="0" w:line="240" w:lineRule="auto"/>
              <w:jc w:val="center"/>
              <w:rPr>
                <w:rFonts w:ascii="Garamond" w:hAnsi="Garamond"/>
                <w:sz w:val="24"/>
                <w:szCs w:val="24"/>
              </w:rPr>
            </w:pPr>
            <w:r>
              <w:rPr>
                <w:rFonts w:ascii="Garamond" w:hAnsi="Garamond"/>
                <w:sz w:val="24"/>
                <w:szCs w:val="24"/>
              </w:rPr>
              <w:t>----</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13,753</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4,692</w:t>
            </w:r>
          </w:p>
        </w:tc>
        <w:tc>
          <w:tcPr>
            <w:tcW w:w="1749" w:type="dxa"/>
            <w:vAlign w:val="center"/>
          </w:tcPr>
          <w:p w:rsidR="00027FC5" w:rsidRPr="009241A4" w:rsidRDefault="00027FC5" w:rsidP="00027FC5">
            <w:pPr>
              <w:autoSpaceDE w:val="0"/>
              <w:autoSpaceDN w:val="0"/>
              <w:adjustRightInd w:val="0"/>
              <w:spacing w:after="0" w:line="240" w:lineRule="auto"/>
              <w:jc w:val="center"/>
              <w:rPr>
                <w:rFonts w:ascii="Garamond" w:hAnsi="Garamond"/>
                <w:color w:val="000000"/>
                <w:sz w:val="24"/>
                <w:szCs w:val="16"/>
              </w:rPr>
            </w:pPr>
            <w:r w:rsidRPr="009241A4">
              <w:rPr>
                <w:rFonts w:ascii="Garamond" w:hAnsi="Garamond"/>
                <w:color w:val="000000"/>
                <w:sz w:val="24"/>
                <w:szCs w:val="16"/>
              </w:rPr>
              <w:t>18,445</w:t>
            </w:r>
          </w:p>
        </w:tc>
      </w:tr>
      <w:tr w:rsidR="00027FC5">
        <w:trPr>
          <w:trHeight w:val="599"/>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color w:val="000000"/>
                <w:sz w:val="24"/>
                <w:szCs w:val="16"/>
              </w:rPr>
              <w:t>1960-1964</w:t>
            </w:r>
          </w:p>
        </w:tc>
        <w:tc>
          <w:tcPr>
            <w:tcW w:w="1748" w:type="dxa"/>
            <w:vAlign w:val="center"/>
          </w:tcPr>
          <w:p w:rsidR="00027FC5" w:rsidRDefault="00027FC5" w:rsidP="00027FC5">
            <w:pPr>
              <w:spacing w:after="0" w:line="240" w:lineRule="auto"/>
              <w:jc w:val="center"/>
              <w:rPr>
                <w:rFonts w:ascii="Garamond" w:hAnsi="Garamond"/>
                <w:sz w:val="24"/>
                <w:szCs w:val="24"/>
              </w:rPr>
            </w:pPr>
            <w:r>
              <w:rPr>
                <w:rFonts w:ascii="Garamond" w:hAnsi="Garamond"/>
                <w:sz w:val="24"/>
                <w:szCs w:val="24"/>
              </w:rPr>
              <w:t>----</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16,258</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57,877</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74,135</w:t>
            </w:r>
          </w:p>
        </w:tc>
      </w:tr>
      <w:tr w:rsidR="00027FC5">
        <w:trPr>
          <w:trHeight w:val="584"/>
        </w:trPr>
        <w:tc>
          <w:tcPr>
            <w:tcW w:w="1748" w:type="dxa"/>
            <w:vAlign w:val="center"/>
          </w:tcPr>
          <w:p w:rsidR="00027FC5" w:rsidRPr="0014706F" w:rsidRDefault="00027FC5" w:rsidP="00027FC5">
            <w:pPr>
              <w:spacing w:after="0" w:line="240" w:lineRule="auto"/>
              <w:jc w:val="center"/>
              <w:rPr>
                <w:rFonts w:ascii="Garamond" w:hAnsi="Garamond"/>
                <w:b/>
                <w:sz w:val="24"/>
                <w:szCs w:val="24"/>
              </w:rPr>
            </w:pPr>
            <w:r w:rsidRPr="0014706F">
              <w:rPr>
                <w:rFonts w:ascii="Garamond" w:hAnsi="Garamond"/>
                <w:b/>
                <w:sz w:val="24"/>
                <w:szCs w:val="24"/>
              </w:rPr>
              <w:t>1964-1970</w:t>
            </w:r>
          </w:p>
        </w:tc>
        <w:tc>
          <w:tcPr>
            <w:tcW w:w="1748" w:type="dxa"/>
            <w:vAlign w:val="center"/>
          </w:tcPr>
          <w:p w:rsidR="00027FC5" w:rsidRDefault="00027FC5" w:rsidP="00027FC5">
            <w:pPr>
              <w:spacing w:after="0" w:line="240" w:lineRule="auto"/>
              <w:jc w:val="center"/>
              <w:rPr>
                <w:rFonts w:ascii="Garamond" w:hAnsi="Garamond"/>
                <w:sz w:val="24"/>
                <w:szCs w:val="24"/>
              </w:rPr>
            </w:pPr>
            <w:r>
              <w:rPr>
                <w:rFonts w:ascii="Garamond" w:hAnsi="Garamond"/>
                <w:sz w:val="24"/>
                <w:szCs w:val="24"/>
              </w:rPr>
              <w:t>----</w:t>
            </w:r>
          </w:p>
        </w:tc>
        <w:tc>
          <w:tcPr>
            <w:tcW w:w="1748"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76,012</w:t>
            </w:r>
          </w:p>
        </w:tc>
        <w:tc>
          <w:tcPr>
            <w:tcW w:w="1748" w:type="dxa"/>
            <w:vAlign w:val="center"/>
          </w:tcPr>
          <w:p w:rsidR="00027FC5" w:rsidRPr="009241A4" w:rsidRDefault="00027FC5" w:rsidP="00027FC5">
            <w:pPr>
              <w:autoSpaceDE w:val="0"/>
              <w:autoSpaceDN w:val="0"/>
              <w:adjustRightInd w:val="0"/>
              <w:spacing w:after="0" w:line="240" w:lineRule="auto"/>
              <w:jc w:val="center"/>
              <w:rPr>
                <w:rFonts w:ascii="Garamond" w:hAnsi="Garamond"/>
                <w:color w:val="000000"/>
                <w:sz w:val="24"/>
                <w:szCs w:val="16"/>
              </w:rPr>
            </w:pPr>
            <w:r w:rsidRPr="009241A4">
              <w:rPr>
                <w:rFonts w:ascii="Garamond" w:hAnsi="Garamond"/>
                <w:color w:val="000000"/>
                <w:sz w:val="24"/>
                <w:szCs w:val="16"/>
              </w:rPr>
              <w:t>101,646</w:t>
            </w:r>
          </w:p>
        </w:tc>
        <w:tc>
          <w:tcPr>
            <w:tcW w:w="1749" w:type="dxa"/>
            <w:vAlign w:val="center"/>
          </w:tcPr>
          <w:p w:rsidR="00027FC5" w:rsidRDefault="00027FC5" w:rsidP="00027FC5">
            <w:pPr>
              <w:spacing w:after="0" w:line="240" w:lineRule="auto"/>
              <w:jc w:val="center"/>
              <w:rPr>
                <w:rFonts w:ascii="Garamond" w:hAnsi="Garamond"/>
                <w:sz w:val="24"/>
                <w:szCs w:val="24"/>
              </w:rPr>
            </w:pPr>
            <w:r w:rsidRPr="009241A4">
              <w:rPr>
                <w:rFonts w:ascii="Garamond" w:hAnsi="Garamond"/>
                <w:color w:val="000000"/>
                <w:sz w:val="24"/>
                <w:szCs w:val="16"/>
              </w:rPr>
              <w:t>177,658</w:t>
            </w:r>
          </w:p>
        </w:tc>
      </w:tr>
    </w:tbl>
    <w:p w:rsidR="00027FC5" w:rsidRDefault="00027FC5" w:rsidP="00027FC5">
      <w:pPr>
        <w:pStyle w:val="Caption"/>
        <w:rPr>
          <w:rFonts w:ascii="Garamond" w:hAnsi="Garamond"/>
          <w:bCs w:val="0"/>
          <w:color w:val="auto"/>
          <w:sz w:val="24"/>
          <w:szCs w:val="24"/>
        </w:rPr>
      </w:pPr>
    </w:p>
    <w:p w:rsidR="00027FC5" w:rsidRDefault="00027FC5" w:rsidP="00027FC5">
      <w:pPr>
        <w:pStyle w:val="Caption"/>
        <w:jc w:val="center"/>
        <w:rPr>
          <w:rFonts w:ascii="Perpetua" w:hAnsi="Perpetua"/>
          <w:b w:val="0"/>
          <w:color w:val="auto"/>
          <w:sz w:val="20"/>
        </w:rPr>
      </w:pPr>
      <w:bookmarkStart w:id="719" w:name="_Toc244578431"/>
      <w:r w:rsidRPr="00027FC5">
        <w:rPr>
          <w:rFonts w:ascii="Perpetua" w:hAnsi="Perpetua"/>
          <w:color w:val="auto"/>
          <w:sz w:val="20"/>
        </w:rPr>
        <w:t xml:space="preserve">Table </w:t>
      </w:r>
      <w:r w:rsidR="00DF2DF8" w:rsidRPr="00027FC5">
        <w:rPr>
          <w:rFonts w:ascii="Perpetua" w:hAnsi="Perpetua"/>
          <w:color w:val="auto"/>
          <w:sz w:val="20"/>
        </w:rPr>
        <w:fldChar w:fldCharType="begin"/>
      </w:r>
      <w:r w:rsidRPr="00027FC5">
        <w:rPr>
          <w:rFonts w:ascii="Perpetua" w:hAnsi="Perpetua"/>
          <w:color w:val="auto"/>
          <w:sz w:val="20"/>
        </w:rPr>
        <w:instrText xml:space="preserve"> SEQ Table \* ARABIC </w:instrText>
      </w:r>
      <w:r w:rsidR="00DF2DF8" w:rsidRPr="00027FC5">
        <w:rPr>
          <w:rFonts w:ascii="Perpetua" w:hAnsi="Perpetua"/>
          <w:color w:val="auto"/>
          <w:sz w:val="20"/>
        </w:rPr>
        <w:fldChar w:fldCharType="separate"/>
      </w:r>
      <w:r w:rsidR="002B3E92">
        <w:rPr>
          <w:rFonts w:ascii="Perpetua" w:hAnsi="Perpetua"/>
          <w:noProof/>
          <w:color w:val="auto"/>
          <w:sz w:val="20"/>
        </w:rPr>
        <w:t>10</w:t>
      </w:r>
      <w:r w:rsidR="00DF2DF8" w:rsidRPr="00027FC5">
        <w:rPr>
          <w:rFonts w:ascii="Perpetua" w:hAnsi="Perpetua"/>
          <w:color w:val="auto"/>
          <w:sz w:val="20"/>
        </w:rPr>
        <w:fldChar w:fldCharType="end"/>
      </w:r>
      <w:r w:rsidRPr="00027FC5">
        <w:rPr>
          <w:rFonts w:ascii="Perpetua" w:hAnsi="Perpetua"/>
          <w:color w:val="auto"/>
          <w:sz w:val="20"/>
        </w:rPr>
        <w:t>:</w:t>
      </w:r>
      <w:r w:rsidRPr="00027FC5">
        <w:rPr>
          <w:rFonts w:ascii="Perpetua" w:hAnsi="Perpetua"/>
          <w:b w:val="0"/>
          <w:color w:val="auto"/>
          <w:sz w:val="20"/>
        </w:rPr>
        <w:t xml:space="preserve"> </w:t>
      </w:r>
      <w:r w:rsidR="003F4A98" w:rsidRPr="00027FC5">
        <w:rPr>
          <w:rFonts w:ascii="Perpetua" w:hAnsi="Perpetua"/>
          <w:b w:val="0"/>
          <w:color w:val="auto"/>
          <w:sz w:val="20"/>
        </w:rPr>
        <w:t>Source: Internatio</w:t>
      </w:r>
      <w:r>
        <w:rPr>
          <w:rFonts w:ascii="Perpetua" w:hAnsi="Perpetua"/>
          <w:b w:val="0"/>
          <w:color w:val="auto"/>
          <w:sz w:val="20"/>
        </w:rPr>
        <w:t>nal Defence and Aid Fund</w:t>
      </w:r>
      <w:r w:rsidR="003F4A98" w:rsidRPr="00027FC5">
        <w:rPr>
          <w:rFonts w:ascii="Perpetua" w:hAnsi="Perpetua"/>
          <w:b w:val="0"/>
          <w:color w:val="auto"/>
          <w:sz w:val="20"/>
        </w:rPr>
        <w:t xml:space="preserve"> (1975), </w:t>
      </w:r>
      <w:r w:rsidR="003F4A98" w:rsidRPr="00027FC5">
        <w:rPr>
          <w:rFonts w:ascii="Perpetua" w:hAnsi="Perpetua"/>
          <w:b w:val="0"/>
          <w:iCs/>
          <w:color w:val="auto"/>
          <w:sz w:val="20"/>
        </w:rPr>
        <w:t>Southern Africa: Immigration from Britain</w:t>
      </w:r>
      <w:r w:rsidR="003F4A98" w:rsidRPr="00027FC5">
        <w:rPr>
          <w:rFonts w:ascii="Perpetua" w:hAnsi="Perpetua"/>
          <w:b w:val="0"/>
          <w:color w:val="auto"/>
          <w:sz w:val="20"/>
        </w:rPr>
        <w:t>, UN Economics and Social Council</w:t>
      </w:r>
      <w:bookmarkEnd w:id="719"/>
    </w:p>
    <w:p w:rsidR="00027FC5" w:rsidRDefault="00027FC5" w:rsidP="00027FC5"/>
    <w:p w:rsidR="00027FC5" w:rsidRDefault="00027FC5" w:rsidP="00027FC5"/>
    <w:p w:rsidR="00027FC5" w:rsidRDefault="00027FC5" w:rsidP="00027FC5"/>
    <w:p w:rsidR="00027FC5" w:rsidRDefault="00027FC5" w:rsidP="00027FC5"/>
    <w:p w:rsidR="00027FC5" w:rsidRDefault="00027FC5" w:rsidP="00027FC5"/>
    <w:p w:rsidR="003F4A98" w:rsidRPr="00027FC5" w:rsidRDefault="003F4A98" w:rsidP="00027FC5"/>
    <w:tbl>
      <w:tblPr>
        <w:tblStyle w:val="TableGrid"/>
        <w:tblW w:w="9924"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tblPr>
      <w:tblGrid>
        <w:gridCol w:w="5104"/>
        <w:gridCol w:w="4820"/>
      </w:tblGrid>
      <w:tr w:rsidR="00027FC5">
        <w:trPr>
          <w:trHeight w:val="3600"/>
        </w:trPr>
        <w:tc>
          <w:tcPr>
            <w:tcW w:w="5104" w:type="dxa"/>
          </w:tcPr>
          <w:p w:rsidR="00027FC5" w:rsidRDefault="00027FC5" w:rsidP="003F4A98">
            <w:pPr>
              <w:spacing w:line="360" w:lineRule="auto"/>
              <w:jc w:val="center"/>
              <w:rPr>
                <w:rFonts w:ascii="Garamond" w:hAnsi="Garamond"/>
                <w:b/>
                <w:color w:val="000000"/>
                <w:sz w:val="24"/>
                <w:szCs w:val="24"/>
              </w:rPr>
            </w:pPr>
            <w:r w:rsidRPr="00027FC5">
              <w:rPr>
                <w:rFonts w:ascii="Garamond" w:hAnsi="Garamond"/>
                <w:b/>
                <w:noProof/>
                <w:color w:val="000000"/>
                <w:sz w:val="24"/>
                <w:szCs w:val="24"/>
                <w:lang w:eastAsia="en-GB"/>
              </w:rPr>
              <w:lastRenderedPageBreak/>
              <w:drawing>
                <wp:inline distT="0" distB="0" distL="0" distR="0">
                  <wp:extent cx="3035011" cy="2275840"/>
                  <wp:effectExtent l="25400" t="0" r="0" b="0"/>
                  <wp:docPr id="134" name="Picture 19" descr="C:\Users\hugh crosfield\Downloads\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ugh crosfield\Downloads\photo (4).JPG"/>
                          <pic:cNvPicPr>
                            <a:picLocks noChangeAspect="1" noChangeArrowheads="1"/>
                          </pic:cNvPicPr>
                        </pic:nvPicPr>
                        <pic:blipFill>
                          <a:blip r:embed="rId111" cstate="print"/>
                          <a:srcRect/>
                          <a:stretch>
                            <a:fillRect/>
                          </a:stretch>
                        </pic:blipFill>
                        <pic:spPr bwMode="auto">
                          <a:xfrm>
                            <a:off x="0" y="0"/>
                            <a:ext cx="3047125" cy="2284924"/>
                          </a:xfrm>
                          <a:prstGeom prst="rect">
                            <a:avLst/>
                          </a:prstGeom>
                          <a:noFill/>
                          <a:ln w="9525">
                            <a:noFill/>
                            <a:miter lim="800000"/>
                            <a:headEnd/>
                            <a:tailEnd/>
                          </a:ln>
                        </pic:spPr>
                      </pic:pic>
                    </a:graphicData>
                  </a:graphic>
                </wp:inline>
              </w:drawing>
            </w:r>
          </w:p>
          <w:p w:rsidR="00031E7C" w:rsidRDefault="00027FC5" w:rsidP="00031E7C">
            <w:pPr>
              <w:pStyle w:val="Caption"/>
              <w:ind w:left="885"/>
              <w:rPr>
                <w:rFonts w:ascii="Perpetua" w:hAnsi="Perpetua"/>
                <w:b w:val="0"/>
                <w:color w:val="auto"/>
                <w:sz w:val="20"/>
              </w:rPr>
            </w:pPr>
            <w:bookmarkStart w:id="720" w:name="_Toc263509064"/>
            <w:bookmarkStart w:id="721" w:name="_Toc263510851"/>
            <w:bookmarkStart w:id="722" w:name="_Toc244577329"/>
            <w:bookmarkStart w:id="723" w:name="_Toc263495798"/>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67</w:t>
            </w:r>
            <w:r w:rsidR="00DF2DF8" w:rsidRPr="00031E7C">
              <w:rPr>
                <w:rFonts w:ascii="Perpetua" w:hAnsi="Perpetua"/>
                <w:b w:val="0"/>
                <w:color w:val="auto"/>
                <w:sz w:val="20"/>
              </w:rPr>
              <w:fldChar w:fldCharType="end"/>
            </w:r>
            <w:r w:rsidRPr="00031E7C">
              <w:rPr>
                <w:rFonts w:ascii="Perpetua" w:hAnsi="Perpetua"/>
                <w:b w:val="0"/>
                <w:color w:val="auto"/>
                <w:sz w:val="20"/>
              </w:rPr>
              <w:t>:</w:t>
            </w:r>
            <w:r w:rsidR="00031E7C">
              <w:rPr>
                <w:rFonts w:ascii="Perpetua" w:hAnsi="Perpetua"/>
                <w:b w:val="0"/>
                <w:color w:val="auto"/>
                <w:sz w:val="20"/>
              </w:rPr>
              <w:t xml:space="preserve"> Image of data from Dutch Ecumenical Exchange in White Migration to South Africa stating p</w:t>
            </w:r>
            <w:r w:rsidRPr="00027FC5">
              <w:rPr>
                <w:rFonts w:ascii="Perpetua" w:hAnsi="Perpetua"/>
                <w:b w:val="0"/>
                <w:color w:val="auto"/>
                <w:sz w:val="20"/>
              </w:rPr>
              <w:t>r</w:t>
            </w:r>
            <w:r w:rsidR="00031E7C">
              <w:rPr>
                <w:rFonts w:ascii="Perpetua" w:hAnsi="Perpetua"/>
                <w:b w:val="0"/>
                <w:color w:val="auto"/>
                <w:sz w:val="20"/>
              </w:rPr>
              <w:t>ofessions of Migrants 1970-72.</w:t>
            </w:r>
            <w:bookmarkEnd w:id="720"/>
            <w:bookmarkEnd w:id="721"/>
          </w:p>
          <w:p w:rsidR="00027FC5" w:rsidRPr="00031E7C" w:rsidRDefault="00031E7C" w:rsidP="00031E7C">
            <w:pPr>
              <w:ind w:left="885"/>
              <w:rPr>
                <w:rFonts w:ascii="Perpetua" w:hAnsi="Perpetua"/>
                <w:sz w:val="20"/>
              </w:rPr>
            </w:pPr>
            <w:r w:rsidRPr="00031E7C">
              <w:rPr>
                <w:rFonts w:ascii="Perpetua" w:hAnsi="Perpetua"/>
                <w:sz w:val="20"/>
              </w:rPr>
              <w:t>Image sourced from CETIM (</w:t>
            </w:r>
            <w:r w:rsidR="00027FC5" w:rsidRPr="00031E7C">
              <w:rPr>
                <w:rFonts w:ascii="Perpetua" w:hAnsi="Perpetua"/>
                <w:sz w:val="20"/>
              </w:rPr>
              <w:t>1975: 125)</w:t>
            </w:r>
            <w:bookmarkEnd w:id="722"/>
            <w:bookmarkEnd w:id="723"/>
          </w:p>
          <w:p w:rsidR="00027FC5" w:rsidRPr="00027FC5" w:rsidRDefault="00027FC5" w:rsidP="003F4A98">
            <w:pPr>
              <w:spacing w:line="360" w:lineRule="auto"/>
              <w:jc w:val="center"/>
              <w:rPr>
                <w:rFonts w:ascii="Garamond" w:hAnsi="Garamond"/>
                <w:b/>
                <w:color w:val="000000"/>
                <w:sz w:val="24"/>
                <w:szCs w:val="24"/>
              </w:rPr>
            </w:pPr>
          </w:p>
        </w:tc>
        <w:tc>
          <w:tcPr>
            <w:tcW w:w="4820" w:type="dxa"/>
          </w:tcPr>
          <w:p w:rsidR="00027FC5" w:rsidRPr="00B75A18" w:rsidRDefault="00027FC5" w:rsidP="00027FC5">
            <w:pPr>
              <w:keepNext/>
              <w:spacing w:line="360" w:lineRule="auto"/>
              <w:jc w:val="center"/>
              <w:rPr>
                <w:rFonts w:ascii="Perpetua" w:hAnsi="Perpetua"/>
                <w:sz w:val="20"/>
                <w:szCs w:val="24"/>
              </w:rPr>
            </w:pPr>
            <w:r w:rsidRPr="00B75A18">
              <w:rPr>
                <w:rFonts w:ascii="Perpetua" w:hAnsi="Perpetua"/>
                <w:noProof/>
                <w:sz w:val="20"/>
                <w:szCs w:val="24"/>
                <w:lang w:eastAsia="en-GB"/>
              </w:rPr>
              <w:drawing>
                <wp:inline distT="0" distB="0" distL="0" distR="0">
                  <wp:extent cx="2969766" cy="2286000"/>
                  <wp:effectExtent l="25400" t="0" r="2034" b="0"/>
                  <wp:docPr id="135" name="Picture 1" descr="C:\Users\hugh crosfield\Download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ownloads\photo (3).JPG"/>
                          <pic:cNvPicPr>
                            <a:picLocks noChangeAspect="1" noChangeArrowheads="1"/>
                          </pic:cNvPicPr>
                        </pic:nvPicPr>
                        <pic:blipFill>
                          <a:blip r:embed="rId112" cstate="print"/>
                          <a:srcRect/>
                          <a:stretch>
                            <a:fillRect/>
                          </a:stretch>
                        </pic:blipFill>
                        <pic:spPr bwMode="auto">
                          <a:xfrm>
                            <a:off x="0" y="0"/>
                            <a:ext cx="2986358" cy="2298772"/>
                          </a:xfrm>
                          <a:prstGeom prst="rect">
                            <a:avLst/>
                          </a:prstGeom>
                          <a:noFill/>
                          <a:ln w="9525">
                            <a:noFill/>
                            <a:miter lim="800000"/>
                            <a:headEnd/>
                            <a:tailEnd/>
                          </a:ln>
                        </pic:spPr>
                      </pic:pic>
                    </a:graphicData>
                  </a:graphic>
                </wp:inline>
              </w:drawing>
            </w:r>
          </w:p>
          <w:p w:rsidR="00031E7C" w:rsidRDefault="00027FC5" w:rsidP="00027FC5">
            <w:pPr>
              <w:pStyle w:val="Caption"/>
              <w:rPr>
                <w:rFonts w:ascii="Perpetua" w:hAnsi="Perpetua"/>
                <w:b w:val="0"/>
                <w:color w:val="auto"/>
                <w:sz w:val="20"/>
              </w:rPr>
            </w:pPr>
            <w:bookmarkStart w:id="724" w:name="_Toc263509065"/>
            <w:bookmarkStart w:id="725" w:name="_Toc263510852"/>
            <w:bookmarkStart w:id="726" w:name="_Toc244577330"/>
            <w:bookmarkStart w:id="727" w:name="_Toc263495799"/>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68</w:t>
            </w:r>
            <w:r w:rsidR="00DF2DF8" w:rsidRPr="00031E7C">
              <w:rPr>
                <w:rFonts w:ascii="Perpetua" w:hAnsi="Perpetua"/>
                <w:b w:val="0"/>
                <w:color w:val="auto"/>
                <w:sz w:val="20"/>
              </w:rPr>
              <w:fldChar w:fldCharType="end"/>
            </w:r>
            <w:r w:rsidRPr="00031E7C">
              <w:rPr>
                <w:rFonts w:ascii="Perpetua" w:hAnsi="Perpetua"/>
                <w:b w:val="0"/>
                <w:color w:val="auto"/>
                <w:sz w:val="20"/>
              </w:rPr>
              <w:t>:</w:t>
            </w:r>
            <w:r w:rsidR="00031E7C">
              <w:rPr>
                <w:rFonts w:ascii="Perpetua" w:hAnsi="Perpetua"/>
                <w:b w:val="0"/>
                <w:color w:val="auto"/>
                <w:sz w:val="20"/>
              </w:rPr>
              <w:t xml:space="preserve"> Image of data of D</w:t>
            </w:r>
            <w:r w:rsidRPr="00B75A18">
              <w:rPr>
                <w:rFonts w:ascii="Perpetua" w:hAnsi="Perpetua"/>
                <w:b w:val="0"/>
                <w:color w:val="auto"/>
                <w:sz w:val="20"/>
              </w:rPr>
              <w:t>utch Emigration to South Africa 1948-73.</w:t>
            </w:r>
            <w:bookmarkEnd w:id="724"/>
            <w:bookmarkEnd w:id="725"/>
            <w:r w:rsidRPr="00B75A18">
              <w:rPr>
                <w:rFonts w:ascii="Perpetua" w:hAnsi="Perpetua"/>
                <w:b w:val="0"/>
                <w:color w:val="auto"/>
                <w:sz w:val="20"/>
              </w:rPr>
              <w:t xml:space="preserve"> </w:t>
            </w:r>
          </w:p>
          <w:p w:rsidR="00027FC5" w:rsidRPr="00031E7C" w:rsidRDefault="00027FC5" w:rsidP="00031E7C">
            <w:pPr>
              <w:rPr>
                <w:rFonts w:ascii="Perpetua" w:hAnsi="Perpetua"/>
                <w:sz w:val="20"/>
              </w:rPr>
            </w:pPr>
            <w:r w:rsidRPr="00031E7C">
              <w:rPr>
                <w:rFonts w:ascii="Perpetua" w:hAnsi="Perpetua"/>
                <w:sz w:val="20"/>
              </w:rPr>
              <w:t>Research by Dutch Ecumencial Exchange in White Migration to Southern Africa (CETIM, 1975: 165)</w:t>
            </w:r>
            <w:bookmarkEnd w:id="726"/>
            <w:bookmarkEnd w:id="727"/>
          </w:p>
          <w:p w:rsidR="00027FC5" w:rsidRPr="00027FC5" w:rsidRDefault="00027FC5" w:rsidP="00027FC5">
            <w:pPr>
              <w:keepNext/>
              <w:spacing w:line="360" w:lineRule="auto"/>
              <w:jc w:val="center"/>
              <w:rPr>
                <w:rFonts w:ascii="Garamond" w:hAnsi="Garamond"/>
                <w:b/>
                <w:color w:val="000000"/>
                <w:sz w:val="24"/>
                <w:szCs w:val="24"/>
              </w:rPr>
            </w:pPr>
          </w:p>
        </w:tc>
      </w:tr>
    </w:tbl>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By the 1970s the contest over apartheid knowledge and symbols had become, in the words of James Sanders, "a war of representation" (2000: 3) that pitted the various agencies of the South African government against the global anti-apartheid movement. Thörn suggests that these representations were "nodes in a network of contested political concepts including 'national sovereignty', 'human rights', and...other concepts associated with the Cold war conflict" (2006: 102). In the following section I contend that white migration policy</w:t>
      </w:r>
      <w:r w:rsidRPr="004246B0">
        <w:rPr>
          <w:rStyle w:val="FootnoteReference"/>
          <w:rFonts w:ascii="Garamond" w:hAnsi="Garamond"/>
          <w:sz w:val="24"/>
          <w:szCs w:val="24"/>
        </w:rPr>
        <w:footnoteReference w:id="166"/>
      </w:r>
      <w:r>
        <w:rPr>
          <w:rFonts w:ascii="Garamond" w:hAnsi="Garamond"/>
          <w:sz w:val="24"/>
          <w:szCs w:val="24"/>
        </w:rPr>
        <w:t xml:space="preserve"> was enmeshed</w:t>
      </w:r>
      <w:r w:rsidRPr="004246B0">
        <w:rPr>
          <w:rFonts w:ascii="Garamond" w:hAnsi="Garamond"/>
          <w:sz w:val="24"/>
          <w:szCs w:val="24"/>
        </w:rPr>
        <w:t xml:space="preserve"> with racist laws on capitalist production and 'constructive engagement'</w:t>
      </w:r>
      <w:r>
        <w:rPr>
          <w:rFonts w:ascii="Garamond" w:hAnsi="Garamond"/>
          <w:sz w:val="24"/>
          <w:szCs w:val="24"/>
        </w:rPr>
        <w:t>, and I posit that contesting white migration became an important site for the anti-apartheid</w:t>
      </w:r>
      <w:r w:rsidRPr="004246B0">
        <w:rPr>
          <w:rFonts w:ascii="Garamond" w:hAnsi="Garamond"/>
          <w:sz w:val="24"/>
          <w:szCs w:val="24"/>
        </w:rPr>
        <w:t xml:space="preserve"> war of representation.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7E10FB" w:rsidRDefault="007E10FB" w:rsidP="003F4A98">
      <w:pPr>
        <w:autoSpaceDE w:val="0"/>
        <w:autoSpaceDN w:val="0"/>
        <w:adjustRightInd w:val="0"/>
        <w:spacing w:after="0" w:line="360" w:lineRule="auto"/>
        <w:jc w:val="both"/>
        <w:rPr>
          <w:rFonts w:ascii="Garamond" w:hAnsi="Garamond"/>
          <w:b/>
          <w:i/>
          <w:szCs w:val="24"/>
        </w:rPr>
      </w:pPr>
    </w:p>
    <w:p w:rsidR="003F4A98" w:rsidRPr="00037B38" w:rsidRDefault="003F4A98" w:rsidP="003F4A98">
      <w:pPr>
        <w:autoSpaceDE w:val="0"/>
        <w:autoSpaceDN w:val="0"/>
        <w:adjustRightInd w:val="0"/>
        <w:spacing w:after="0" w:line="360" w:lineRule="auto"/>
        <w:jc w:val="both"/>
        <w:rPr>
          <w:rFonts w:ascii="Garamond" w:hAnsi="Garamond"/>
          <w:b/>
          <w:i/>
          <w:szCs w:val="24"/>
        </w:rPr>
      </w:pPr>
      <w:r w:rsidRPr="00037B38">
        <w:rPr>
          <w:rFonts w:ascii="Garamond" w:hAnsi="Garamond"/>
          <w:b/>
          <w:i/>
          <w:szCs w:val="24"/>
        </w:rPr>
        <w:t>Economic reproduction, migration and the war of representation</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historical geographer Alan Lester succinctly describes the "central geographical and psychological project of apartheid" as an attempt to "incorporate the materiality of Africa while excluding its human essence" (1996: 14). What he does not emphasize is how migration provided fuel for this geographical project of material colonization and (black) social extirpation, and he does not emphasize how apartheid developed a global support </w:t>
      </w:r>
      <w:r w:rsidRPr="004246B0">
        <w:rPr>
          <w:rFonts w:ascii="Garamond" w:hAnsi="Garamond"/>
          <w:sz w:val="24"/>
          <w:szCs w:val="24"/>
        </w:rPr>
        <w:lastRenderedPageBreak/>
        <w:t>network. From 1960, the NP pursued a 'civilized labour' policy that would disqualify black workers from skilled labour. It was imperative that white immigrants filled this gap; "only those with technical, professional or managerial skills and occupations are allowed to immigrate" (Zöller, 1975: 24).</w:t>
      </w:r>
      <w:r w:rsidRPr="004246B0">
        <w:rPr>
          <w:rStyle w:val="FootnoteReference"/>
          <w:rFonts w:ascii="Garamond" w:hAnsi="Garamond"/>
          <w:sz w:val="24"/>
          <w:szCs w:val="24"/>
        </w:rPr>
        <w:footnoteReference w:id="167"/>
      </w:r>
      <w:r w:rsidRPr="004246B0">
        <w:rPr>
          <w:rFonts w:ascii="Garamond" w:hAnsi="Garamond"/>
          <w:sz w:val="24"/>
          <w:szCs w:val="24"/>
        </w:rPr>
        <w:t xml:space="preserve"> A constant supply of skilled white migrants meant that the explicitly racist 1970 'Bantu Laws Amendment Act'</w:t>
      </w:r>
      <w:r w:rsidRPr="004246B0">
        <w:rPr>
          <w:rStyle w:val="FootnoteReference"/>
          <w:rFonts w:ascii="Garamond" w:hAnsi="Garamond"/>
          <w:sz w:val="24"/>
          <w:szCs w:val="24"/>
        </w:rPr>
        <w:footnoteReference w:id="168"/>
      </w:r>
      <w:r w:rsidRPr="004246B0">
        <w:rPr>
          <w:rFonts w:ascii="Garamond" w:hAnsi="Garamond"/>
          <w:sz w:val="24"/>
          <w:szCs w:val="24"/>
        </w:rPr>
        <w:t xml:space="preserve"> could be preserved in the face of increasing capitalist demands for cheap labour and an increasing black population (Lipton, 1985), and the racial division of labour upheld. In addition to the economic gains outlined earlier, white migration also offered diplomatic incentives; it was entwined with the prevailing liberal capitalist doctrine of 'constructive engagement'</w:t>
      </w:r>
      <w:r>
        <w:rPr>
          <w:rFonts w:ascii="Garamond" w:hAnsi="Garamond"/>
          <w:sz w:val="24"/>
          <w:szCs w:val="24"/>
        </w:rPr>
        <w:t>,</w:t>
      </w:r>
      <w:r w:rsidRPr="004246B0">
        <w:rPr>
          <w:rStyle w:val="FootnoteReference"/>
          <w:rFonts w:ascii="Garamond" w:hAnsi="Garamond"/>
          <w:sz w:val="24"/>
          <w:szCs w:val="24"/>
        </w:rPr>
        <w:footnoteReference w:id="169"/>
      </w:r>
      <w:r w:rsidRPr="004246B0">
        <w:rPr>
          <w:rFonts w:ascii="Garamond" w:hAnsi="Garamond"/>
          <w:sz w:val="24"/>
          <w:szCs w:val="24"/>
        </w:rPr>
        <w:t xml:space="preserve"> </w:t>
      </w:r>
      <w:r>
        <w:rPr>
          <w:rFonts w:ascii="Garamond" w:hAnsi="Garamond"/>
          <w:sz w:val="24"/>
          <w:szCs w:val="24"/>
        </w:rPr>
        <w:t>practiced</w:t>
      </w:r>
      <w:r w:rsidRPr="004246B0">
        <w:rPr>
          <w:rFonts w:ascii="Garamond" w:hAnsi="Garamond"/>
          <w:sz w:val="24"/>
          <w:szCs w:val="24"/>
        </w:rPr>
        <w:t xml:space="preserve"> by the USA and the UK and powerful corporations (Leggasick </w:t>
      </w:r>
      <w:r w:rsidR="00F152DB">
        <w:rPr>
          <w:rFonts w:ascii="Garamond" w:hAnsi="Garamond"/>
          <w:sz w:val="24"/>
          <w:szCs w:val="24"/>
        </w:rPr>
        <w:t>and</w:t>
      </w:r>
      <w:r w:rsidRPr="004246B0">
        <w:rPr>
          <w:rFonts w:ascii="Garamond" w:hAnsi="Garamond"/>
          <w:sz w:val="24"/>
          <w:szCs w:val="24"/>
        </w:rPr>
        <w:t xml:space="preserve"> Innes, 1977), and it provided a powerful disincentive for European governments to support UN resolutions against apartheid due to the substantial presence of former nationals living under apartheid (Minty, 1975).</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r w:rsidRPr="004246B0">
        <w:rPr>
          <w:rFonts w:ascii="Garamond" w:eastAsia="Times New Roman" w:hAnsi="Garamond"/>
          <w:sz w:val="24"/>
          <w:szCs w:val="24"/>
          <w:lang w:eastAsia="en-GB"/>
        </w:rPr>
        <w:t xml:space="preserve">'Constructive engagement' was a valuable weapon for the pro-apartheid lobby against sanctions, boycotts and negative media publicity. As a doctrine of macro interventionism through investment associated in the late 1960s with the Nixon-Kissinger foreign policy strategy on Southern Africa (Leggasick </w:t>
      </w:r>
      <w:r w:rsidR="00F152DB">
        <w:rPr>
          <w:rFonts w:ascii="Garamond" w:eastAsia="Times New Roman" w:hAnsi="Garamond"/>
          <w:sz w:val="24"/>
          <w:szCs w:val="24"/>
          <w:lang w:eastAsia="en-GB"/>
        </w:rPr>
        <w:t>and</w:t>
      </w:r>
      <w:r w:rsidRPr="004246B0">
        <w:rPr>
          <w:rFonts w:ascii="Garamond" w:eastAsia="Times New Roman" w:hAnsi="Garamond"/>
          <w:sz w:val="24"/>
          <w:szCs w:val="24"/>
          <w:lang w:eastAsia="en-GB"/>
        </w:rPr>
        <w:t xml:space="preserve"> Innes, 1977),</w:t>
      </w:r>
      <w:r w:rsidRPr="004246B0">
        <w:rPr>
          <w:rStyle w:val="FootnoteReference"/>
          <w:rFonts w:ascii="Garamond" w:eastAsia="Times New Roman" w:hAnsi="Garamond"/>
          <w:sz w:val="24"/>
          <w:szCs w:val="24"/>
          <w:lang w:eastAsia="en-GB"/>
        </w:rPr>
        <w:footnoteReference w:id="170"/>
      </w:r>
      <w:r w:rsidRPr="004246B0">
        <w:rPr>
          <w:rFonts w:ascii="Garamond" w:eastAsia="Times New Roman" w:hAnsi="Garamond"/>
          <w:sz w:val="24"/>
          <w:szCs w:val="24"/>
          <w:lang w:eastAsia="en-GB"/>
        </w:rPr>
        <w:t xml:space="preserve"> 'constructive engagement' was ideologically opposed to the isolationism and grassroots activism of boycotts, sanctions and pickets. In contrast to the anti-emigration movement, proponents of the doctrine interpreted white migration as a potential means to influence apartheid reform. And through the Cold War framing of ethico-capitalist liberal policy, apartheid politicians and diplomats abroad were enabled to denounce the Durban waterfront wildcat strikes of 1973, and later the internal and international consumer boycotts, as Cold War stereotypes that ran contrary to the economics of liberal capitalism.</w:t>
      </w:r>
      <w:r w:rsidRPr="004246B0">
        <w:rPr>
          <w:rStyle w:val="FootnoteReference"/>
          <w:rFonts w:ascii="Garamond" w:eastAsia="Times New Roman" w:hAnsi="Garamond"/>
          <w:sz w:val="24"/>
          <w:szCs w:val="24"/>
          <w:lang w:eastAsia="en-GB"/>
        </w:rPr>
        <w:footnoteReference w:id="171"/>
      </w:r>
      <w:r w:rsidRPr="004246B0">
        <w:rPr>
          <w:rFonts w:ascii="Garamond" w:eastAsia="Times New Roman" w:hAnsi="Garamond"/>
          <w:sz w:val="24"/>
          <w:szCs w:val="24"/>
          <w:lang w:eastAsia="en-GB"/>
        </w:rPr>
        <w:t xml:space="preserve"> Communist motives were attributed to individual examples of 'anti-liberal' consumer boycotts, strikes </w:t>
      </w:r>
      <w:r w:rsidRPr="004246B0">
        <w:rPr>
          <w:rFonts w:ascii="Garamond" w:eastAsia="Times New Roman" w:hAnsi="Garamond"/>
          <w:sz w:val="24"/>
          <w:szCs w:val="24"/>
          <w:lang w:eastAsia="en-GB"/>
        </w:rPr>
        <w:lastRenderedPageBreak/>
        <w:t>and pickets.  From 1960 onwards, the apartheid regime played their Cold War hand when they variously denounced the ANC, PAC, SACTU and later SASO and the Black Consciousness Movement as forms of Communist insurrection.</w:t>
      </w: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eastAsia="Times New Roman" w:hAnsi="Garamond"/>
          <w:sz w:val="24"/>
          <w:szCs w:val="24"/>
          <w:lang w:eastAsia="en-GB"/>
        </w:rPr>
        <w:t xml:space="preserve">The influence on foreign embassies and diplomats of the propagandist efficacy of 'constructive engagement' and white migration should not be downplayed. In </w:t>
      </w:r>
      <w:r w:rsidRPr="004246B0">
        <w:rPr>
          <w:rFonts w:ascii="Garamond" w:eastAsia="Times New Roman" w:hAnsi="Garamond"/>
          <w:i/>
          <w:sz w:val="24"/>
          <w:szCs w:val="24"/>
          <w:lang w:eastAsia="en-GB"/>
        </w:rPr>
        <w:t xml:space="preserve">The Seeds of Disaster, </w:t>
      </w:r>
      <w:r w:rsidRPr="004246B0">
        <w:rPr>
          <w:rFonts w:ascii="Garamond" w:eastAsia="Times New Roman" w:hAnsi="Garamond"/>
          <w:sz w:val="24"/>
          <w:szCs w:val="24"/>
          <w:lang w:eastAsia="en-GB"/>
        </w:rPr>
        <w:t>John Laurence (1968) documented a series of statements made by South African embassies and consulates in Britain, the USA, Australia and New Zealand. Given a platform to speak across the UK by the British Liberal Party, the Royal Commonwealth and the Royal African Societies, the South African ambassador to London in 1964 described apartheid as a Christian policy, and he claimed "without doubt" the black people of South Africa demanded it. Other fabrications included suggesting 'Bantu' had been allocated 46</w:t>
      </w:r>
      <w:r>
        <w:rPr>
          <w:rFonts w:ascii="Garamond" w:eastAsia="Times New Roman" w:hAnsi="Garamond"/>
          <w:sz w:val="24"/>
          <w:szCs w:val="24"/>
          <w:lang w:eastAsia="en-GB"/>
        </w:rPr>
        <w:t xml:space="preserve"> percent </w:t>
      </w:r>
      <w:r w:rsidRPr="004246B0">
        <w:rPr>
          <w:rFonts w:ascii="Garamond" w:eastAsia="Times New Roman" w:hAnsi="Garamond"/>
          <w:sz w:val="24"/>
          <w:szCs w:val="24"/>
          <w:lang w:eastAsia="en-GB"/>
        </w:rPr>
        <w:t>of the land of the Republic, that the South African Liberal Party (members of whom had been placed in detention without trial and subjugated to violent abuse by the police)</w:t>
      </w:r>
      <w:r w:rsidRPr="004246B0">
        <w:rPr>
          <w:rStyle w:val="FootnoteReference"/>
          <w:rFonts w:ascii="Garamond" w:eastAsia="Times New Roman" w:hAnsi="Garamond"/>
          <w:sz w:val="24"/>
          <w:szCs w:val="24"/>
          <w:lang w:eastAsia="en-GB"/>
        </w:rPr>
        <w:footnoteReference w:id="172"/>
      </w:r>
      <w:r w:rsidRPr="004246B0">
        <w:rPr>
          <w:rFonts w:ascii="Garamond" w:eastAsia="Times New Roman" w:hAnsi="Garamond"/>
          <w:sz w:val="24"/>
          <w:szCs w:val="24"/>
          <w:lang w:eastAsia="en-GB"/>
        </w:rPr>
        <w:t xml:space="preserve"> was allowed to operate under democratic conditions of "complete political freedom" (Laurence, 1968: 136-37). Laurence's research also confirms that South African diplomats were quoted sympathetically in various national media. He references a quote by the South Africa Consul-General to Wellington from </w:t>
      </w:r>
      <w:r w:rsidRPr="004246B0">
        <w:rPr>
          <w:rFonts w:ascii="Garamond" w:eastAsia="Times New Roman" w:hAnsi="Garamond"/>
          <w:i/>
          <w:sz w:val="24"/>
          <w:szCs w:val="24"/>
          <w:lang w:eastAsia="en-GB"/>
        </w:rPr>
        <w:t xml:space="preserve">The Evening Post </w:t>
      </w:r>
      <w:r w:rsidRPr="004246B0">
        <w:rPr>
          <w:rFonts w:ascii="Garamond" w:eastAsia="Times New Roman" w:hAnsi="Garamond"/>
          <w:sz w:val="24"/>
          <w:szCs w:val="24"/>
          <w:lang w:eastAsia="en-GB"/>
        </w:rPr>
        <w:t>of New Zealand:</w:t>
      </w: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p>
    <w:p w:rsidR="003F4A98" w:rsidRPr="004246B0" w:rsidRDefault="003F4A98" w:rsidP="003F4A98">
      <w:pPr>
        <w:autoSpaceDE w:val="0"/>
        <w:autoSpaceDN w:val="0"/>
        <w:adjustRightInd w:val="0"/>
        <w:spacing w:after="0" w:line="360" w:lineRule="auto"/>
        <w:ind w:left="284" w:right="284"/>
        <w:jc w:val="both"/>
        <w:rPr>
          <w:rFonts w:ascii="Garamond" w:eastAsia="Times New Roman" w:hAnsi="Garamond"/>
          <w:lang w:eastAsia="en-GB"/>
        </w:rPr>
      </w:pPr>
      <w:r w:rsidRPr="004246B0">
        <w:rPr>
          <w:rFonts w:ascii="Garamond" w:eastAsia="Times New Roman" w:hAnsi="Garamond"/>
          <w:lang w:eastAsia="en-GB"/>
        </w:rPr>
        <w:t>Bantu education has been well provided for in South Africa...and has cost the European tax payer in South Africa £110,000,000 since 1954. Four out of five Bantu between the ages o</w:t>
      </w:r>
      <w:r>
        <w:rPr>
          <w:rFonts w:ascii="Garamond" w:eastAsia="Times New Roman" w:hAnsi="Garamond"/>
          <w:lang w:eastAsia="en-GB"/>
        </w:rPr>
        <w:t>f 7 and 21 are literate.</w:t>
      </w:r>
      <w:r w:rsidRPr="004246B0">
        <w:rPr>
          <w:rFonts w:ascii="Garamond" w:eastAsia="Times New Roman" w:hAnsi="Garamond"/>
          <w:lang w:eastAsia="en-GB"/>
        </w:rPr>
        <w:t xml:space="preserve"> (Laurence</w:t>
      </w:r>
      <w:r>
        <w:rPr>
          <w:rFonts w:ascii="Garamond" w:eastAsia="Times New Roman" w:hAnsi="Garamond"/>
          <w:lang w:eastAsia="en-GB"/>
        </w:rPr>
        <w:t>, 1968: 140)</w:t>
      </w: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r w:rsidRPr="004246B0">
        <w:rPr>
          <w:rFonts w:ascii="Garamond" w:eastAsia="Times New Roman" w:hAnsi="Garamond"/>
          <w:sz w:val="24"/>
          <w:szCs w:val="24"/>
          <w:lang w:eastAsia="en-GB"/>
        </w:rPr>
        <w:t>Laurence documents how the battle of words was also fought through the global dissemination of various pro-apartheid books (for schools, businesses and diplomacy),</w:t>
      </w:r>
      <w:r w:rsidRPr="004246B0">
        <w:rPr>
          <w:rStyle w:val="FootnoteReference"/>
          <w:rFonts w:ascii="Garamond" w:eastAsia="Times New Roman" w:hAnsi="Garamond"/>
          <w:sz w:val="24"/>
          <w:szCs w:val="24"/>
          <w:lang w:eastAsia="en-GB"/>
        </w:rPr>
        <w:footnoteReference w:id="173"/>
      </w:r>
      <w:r w:rsidRPr="004246B0">
        <w:rPr>
          <w:rFonts w:ascii="Garamond" w:eastAsia="Times New Roman" w:hAnsi="Garamond"/>
          <w:sz w:val="24"/>
          <w:szCs w:val="24"/>
          <w:lang w:eastAsia="en-GB"/>
        </w:rPr>
        <w:t xml:space="preserve"> and letter-writing societies such as the </w:t>
      </w:r>
      <w:r w:rsidRPr="004246B0">
        <w:rPr>
          <w:rFonts w:ascii="Garamond" w:eastAsia="Times New Roman" w:hAnsi="Garamond"/>
          <w:i/>
          <w:sz w:val="24"/>
          <w:szCs w:val="24"/>
          <w:lang w:eastAsia="en-GB"/>
        </w:rPr>
        <w:t>Association for South African National Advancement</w:t>
      </w:r>
      <w:r w:rsidRPr="004246B0">
        <w:rPr>
          <w:rFonts w:ascii="Garamond" w:eastAsia="Times New Roman" w:hAnsi="Garamond"/>
          <w:sz w:val="24"/>
          <w:szCs w:val="24"/>
          <w:lang w:eastAsia="en-GB"/>
        </w:rPr>
        <w:t xml:space="preserve">. These societies were well-organized and their remit was to flood editors of national press in the USA and the UK with pro-apartheid letters following the publication of negative articles on apartheid.  </w:t>
      </w: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p>
    <w:p w:rsidR="003F4A98" w:rsidRPr="004246B0" w:rsidRDefault="003F4A98" w:rsidP="003F4A98">
      <w:pPr>
        <w:autoSpaceDE w:val="0"/>
        <w:autoSpaceDN w:val="0"/>
        <w:adjustRightInd w:val="0"/>
        <w:spacing w:after="0" w:line="360" w:lineRule="auto"/>
        <w:jc w:val="both"/>
        <w:rPr>
          <w:rFonts w:ascii="Garamond" w:eastAsia="Times New Roman" w:hAnsi="Garamond"/>
          <w:sz w:val="24"/>
          <w:szCs w:val="24"/>
          <w:lang w:eastAsia="en-GB"/>
        </w:rPr>
      </w:pPr>
      <w:r w:rsidRPr="004246B0">
        <w:rPr>
          <w:rFonts w:ascii="Garamond" w:hAnsi="Garamond"/>
          <w:sz w:val="24"/>
          <w:szCs w:val="24"/>
        </w:rPr>
        <w:t xml:space="preserve">As a binding mechanism for negotiating a global racial contract, white migration was a diplomatic game of high stakes, a game that anti-apartheid activists entered with some </w:t>
      </w:r>
      <w:r w:rsidRPr="004246B0">
        <w:rPr>
          <w:rFonts w:ascii="Garamond" w:hAnsi="Garamond"/>
          <w:sz w:val="24"/>
          <w:szCs w:val="24"/>
        </w:rPr>
        <w:lastRenderedPageBreak/>
        <w:t>risk during the early 1970s. The global media was not on their side (Thörn, 2006), and the pro-apartheid lobby had embedded itself in a variety of influential organizations and corporations.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7E10FB" w:rsidRDefault="007E10FB" w:rsidP="003F4A98">
      <w:pPr>
        <w:autoSpaceDE w:val="0"/>
        <w:autoSpaceDN w:val="0"/>
        <w:adjustRightInd w:val="0"/>
        <w:spacing w:after="0" w:line="360" w:lineRule="auto"/>
        <w:jc w:val="both"/>
        <w:rPr>
          <w:rFonts w:ascii="Garamond" w:hAnsi="Garamond"/>
          <w:b/>
          <w:i/>
          <w:szCs w:val="24"/>
        </w:rPr>
      </w:pPr>
    </w:p>
    <w:p w:rsidR="003F4A98" w:rsidRPr="007E10FB" w:rsidRDefault="003F4A98" w:rsidP="003F4A98">
      <w:pPr>
        <w:autoSpaceDE w:val="0"/>
        <w:autoSpaceDN w:val="0"/>
        <w:adjustRightInd w:val="0"/>
        <w:spacing w:after="0" w:line="360" w:lineRule="auto"/>
        <w:jc w:val="both"/>
        <w:rPr>
          <w:rFonts w:ascii="Garamond" w:hAnsi="Garamond"/>
          <w:b/>
          <w:i/>
          <w:szCs w:val="24"/>
        </w:rPr>
      </w:pPr>
      <w:r w:rsidRPr="00037B38">
        <w:rPr>
          <w:rFonts w:ascii="Garamond" w:hAnsi="Garamond"/>
          <w:b/>
          <w:i/>
          <w:szCs w:val="24"/>
        </w:rPr>
        <w:t xml:space="preserve">The Sociality of Skin </w:t>
      </w:r>
    </w:p>
    <w:p w:rsidR="007E10FB" w:rsidRDefault="007E10FB"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 now turn to the role of migration in what Lester</w:t>
      </w:r>
      <w:r>
        <w:rPr>
          <w:rFonts w:ascii="Garamond" w:hAnsi="Garamond"/>
          <w:sz w:val="24"/>
          <w:szCs w:val="24"/>
        </w:rPr>
        <w:t xml:space="preserve"> (1996) considers</w:t>
      </w:r>
      <w:r w:rsidRPr="004246B0">
        <w:rPr>
          <w:rFonts w:ascii="Garamond" w:hAnsi="Garamond"/>
          <w:sz w:val="24"/>
          <w:szCs w:val="24"/>
        </w:rPr>
        <w:t xml:space="preserve"> the psychological process of apartheid. To comprehend the psychological gravity of white migration, it is important to grasp how the social and economic reproduction of apartheid was entirely dependent on the maintenance, renewal and defence of a type of sociality formed in a direct relationship with Europe. The social project of apartheid depended on the cultivation of white psychological fears of group contamination and extinction that fed into a "sometimes unruly dialectic of racial proximity and distance" (Posel, 2011: 320), which I contest, fed into a distinctly racialized transnational embodied politics</w:t>
      </w:r>
      <w:r>
        <w:rPr>
          <w:rFonts w:ascii="Garamond" w:hAnsi="Garamond"/>
          <w:sz w:val="24"/>
          <w:szCs w:val="24"/>
        </w:rPr>
        <w:t xml:space="preserve"> </w:t>
      </w:r>
      <w:r w:rsidRPr="004246B0">
        <w:rPr>
          <w:rFonts w:ascii="Garamond" w:hAnsi="Garamond"/>
          <w:sz w:val="24"/>
          <w:szCs w:val="24"/>
        </w:rPr>
        <w:t xml:space="preserve">through migration policy. In South Africa, the apartheid racial project was located in everyday culture and social interaction. Deborah Posel writes: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the apartheid project invoked race as the bodily marker of cultural and ‘civilisational’ difference, the evidence for which was the ordinary experience of difference in everyday life rather than any scientific</w:t>
      </w:r>
      <w:r>
        <w:rPr>
          <w:rFonts w:ascii="Garamond" w:hAnsi="Garamond"/>
        </w:rPr>
        <w:t xml:space="preserve"> test of ancestry or physiology. (Posel, 2011: 333)</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There is a point in Goldberg's </w:t>
      </w:r>
      <w:r w:rsidRPr="004246B0">
        <w:rPr>
          <w:rFonts w:ascii="Garamond" w:hAnsi="Garamond"/>
          <w:i/>
          <w:sz w:val="24"/>
          <w:szCs w:val="24"/>
        </w:rPr>
        <w:t xml:space="preserve">The Threat of Race </w:t>
      </w:r>
      <w:r w:rsidRPr="004246B0">
        <w:rPr>
          <w:rFonts w:ascii="Garamond" w:hAnsi="Garamond"/>
          <w:sz w:val="24"/>
          <w:szCs w:val="24"/>
        </w:rPr>
        <w:t xml:space="preserve">where the author turns to analysing the racial political theology of apartheid. He develops the conception 'the sociality of skin' as a means of understanding how thoroughly the South African state reproduced itself from racial supremacy and oppression from the inception of the Union in 1910. The term has a threefold purpose: it "serves as the signifying referent for a political theology of race"; it "situates its bearers in racially predicated societies"; and it is more-than-epidermal, it is the "turnkey to social relation, the principle reference point for a sociality the state of which is reductively racial" (2006: 289). </w:t>
      </w:r>
      <w:r w:rsidRPr="004246B0">
        <w:rPr>
          <w:rFonts w:ascii="Garamond" w:hAnsi="Garamond"/>
          <w:i/>
          <w:sz w:val="24"/>
          <w:szCs w:val="24"/>
        </w:rPr>
        <w:t xml:space="preserve">The Threat of Race </w:t>
      </w:r>
      <w:r w:rsidRPr="004246B0">
        <w:rPr>
          <w:rFonts w:ascii="Garamond" w:hAnsi="Garamond"/>
          <w:sz w:val="24"/>
          <w:szCs w:val="24"/>
        </w:rPr>
        <w:t xml:space="preserve">was published some thirty years after the BOA began their anti-emigration campaign. However, during the 1950s critics of apartheid were making similar observations to Goldberg. In 2011, du Plessis recommended I read JV Taylor's </w:t>
      </w:r>
      <w:r w:rsidRPr="004246B0">
        <w:rPr>
          <w:rFonts w:ascii="Garamond" w:hAnsi="Garamond"/>
          <w:i/>
          <w:sz w:val="24"/>
          <w:szCs w:val="24"/>
        </w:rPr>
        <w:t xml:space="preserve">Christianity and Politics in Africa. </w:t>
      </w:r>
      <w:r w:rsidRPr="004246B0">
        <w:rPr>
          <w:rFonts w:ascii="Garamond" w:hAnsi="Garamond"/>
          <w:sz w:val="24"/>
          <w:szCs w:val="24"/>
        </w:rPr>
        <w:t xml:space="preserve">The book made a profound impression on the BOA leader during his time volunteering for the ANC in </w:t>
      </w:r>
      <w:r w:rsidRPr="004246B0">
        <w:rPr>
          <w:rFonts w:ascii="Garamond" w:hAnsi="Garamond"/>
          <w:sz w:val="24"/>
          <w:szCs w:val="24"/>
        </w:rPr>
        <w:lastRenderedPageBreak/>
        <w:t>London in the early 1960s. Taylor describes a political theology predicated on European racism:</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spacing w:line="360" w:lineRule="auto"/>
        <w:ind w:left="284" w:right="284"/>
        <w:jc w:val="both"/>
        <w:rPr>
          <w:rFonts w:ascii="Garamond" w:hAnsi="Garamond"/>
        </w:rPr>
      </w:pPr>
      <w:r w:rsidRPr="004246B0">
        <w:rPr>
          <w:rFonts w:ascii="Garamond" w:hAnsi="Garamond"/>
        </w:rPr>
        <w:t>But in fact what we are dealing with in Africa is not the mistaken theology of a minority of sincere Christians, but the scornful prejudice, the cold refusal to treat other human beings as persons, the denial of dignity and worth, the utterly inexcusable injustice and the flagrant self interest which so many white people far beyond the borders of South Africa exhibit in their thinking and in their treatment of all non whites. And this in turn may lead to a burning racia</w:t>
      </w:r>
      <w:r>
        <w:rPr>
          <w:rFonts w:ascii="Garamond" w:hAnsi="Garamond"/>
        </w:rPr>
        <w:t>l hatred in Africans themselves. (1957: 89)</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Taylor's last sentence indicates that the sociality of skin is internalized. But it is particularly striking that the sociality of skin was a spatialized body politics centred on white reification and black abjection and incarceration. There were many internal contradictions to this project within South Africa; Posel (2011) shows how the employment of black domestic labour (particularly childcare) in white communities worked to contradict the embodied visceralities of black abjection. But migration policy was the sharp edge of apartheid statecraft (creating the conditions for rule); here the racial messiness of everyday apartheid could be eliminated through state biopolitics, by exercising power through the application of the ancestry tests and 'scientific' methods that Posel argues were absent from the everyday workings of the apartheid project. Migration policy enabled fantasies of the omnipotent state (ibid., 2011), and was the least complicated form of apartheid social engineering. It was the spatial expression of white anxieties over extinction, pollution and bodily contamination, and it placed the survival of the state on the white body for its social and economic reproduction:</w:t>
      </w:r>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This sociality of the skin represented for whites generally the threat of dissolution in a sea of proliferating blackness, of competition over jobs for poor whites of every ethnic background, of disease promising to seep out from every corner of surging urban slum life (this, after all, was the time too of the “sanitation syndrome”), of crime, moral devaluation, and cultural pollution. For Afrikaners, in particular, so caught up with concerns about group extinction, it meant above all survival and self securitization, as much as a group as individually. The sense of self superiority whites took to be identified with this sociality of the skin in relation to black groups was a superiority so threatened by contamination and fear that one can only conclude that the sense was more wish and worry than wisdom, more projection than prospect. The heightened form of separation, racially predicated, </w:t>
      </w:r>
      <w:r w:rsidRPr="004246B0">
        <w:rPr>
          <w:rFonts w:ascii="Garamond" w:hAnsi="Garamond"/>
        </w:rPr>
        <w:lastRenderedPageBreak/>
        <w:t>that came to be known as apartheid was nurtured out of these senses of threat,</w:t>
      </w:r>
      <w:r>
        <w:rPr>
          <w:rFonts w:ascii="Garamond" w:hAnsi="Garamond"/>
        </w:rPr>
        <w:t xml:space="preserve"> survival, and security. (Goldberg, 2006: 290)</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White migration mitigated against the apartheid fear of racial contamination through miscegenation. The abhorrence of miscegenation was a latent, and often unspoken, principle of the sociality of skin that had profound psychological and political effects. In </w:t>
      </w:r>
      <w:r w:rsidRPr="004246B0">
        <w:rPr>
          <w:rFonts w:ascii="Garamond" w:hAnsi="Garamond"/>
          <w:i/>
          <w:sz w:val="24"/>
          <w:szCs w:val="24"/>
        </w:rPr>
        <w:t>Twentieth Century South Africa</w:t>
      </w:r>
      <w:r w:rsidRPr="004246B0">
        <w:rPr>
          <w:rFonts w:ascii="Garamond" w:hAnsi="Garamond"/>
          <w:sz w:val="24"/>
          <w:szCs w:val="24"/>
        </w:rPr>
        <w:t>, William Beinart writes: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Hostility to 'miscegenation' distilled unspoken racial reflexes. It played on deeply set white notions of purity, especially that of white women, and Social Darwinist fears that mixing would result in racial decline...and it addressed political anxieti</w:t>
      </w:r>
      <w:r>
        <w:rPr>
          <w:rFonts w:ascii="Garamond" w:hAnsi="Garamond"/>
        </w:rPr>
        <w:t>es about racial electoral power. (Beinart, 2001: 147)</w:t>
      </w:r>
    </w:p>
    <w:p w:rsidR="003F4A98" w:rsidRPr="004246B0" w:rsidRDefault="003F4A98" w:rsidP="003F4A98">
      <w:pPr>
        <w:autoSpaceDE w:val="0"/>
        <w:autoSpaceDN w:val="0"/>
        <w:adjustRightInd w:val="0"/>
        <w:spacing w:after="0" w:line="360" w:lineRule="auto"/>
        <w:jc w:val="both"/>
        <w:rPr>
          <w:rFonts w:ascii="Garamond" w:hAnsi="Garamond"/>
        </w:rPr>
      </w:pPr>
    </w:p>
    <w:p w:rsidR="003F4A98" w:rsidRPr="004246B0" w:rsidRDefault="003F4A98" w:rsidP="00037B3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In a 1970 speech that made explosive material for subsequent AAM campaigns, the South African Prime Minister, John Vorster, in a misplaced Churchillian moment, conveyed that white migrants were buttressing whiteness against racial decline:</w:t>
      </w:r>
    </w:p>
    <w:p w:rsidR="003F4A98" w:rsidRPr="004246B0" w:rsidRDefault="003F4A98" w:rsidP="00037B38">
      <w:pPr>
        <w:spacing w:after="0" w:line="360" w:lineRule="auto"/>
        <w:jc w:val="both"/>
        <w:rPr>
          <w:rFonts w:ascii="Garamond" w:hAnsi="Garamond"/>
          <w:color w:val="000000"/>
        </w:rPr>
      </w:pPr>
    </w:p>
    <w:p w:rsidR="00037B38" w:rsidRDefault="003F4A98" w:rsidP="00037B38">
      <w:pPr>
        <w:spacing w:after="0" w:line="360" w:lineRule="auto"/>
        <w:ind w:left="284" w:right="284"/>
        <w:jc w:val="both"/>
        <w:rPr>
          <w:rFonts w:ascii="Garamond" w:hAnsi="Garamond"/>
          <w:color w:val="000000"/>
        </w:rPr>
      </w:pPr>
      <w:r w:rsidRPr="004246B0">
        <w:rPr>
          <w:rFonts w:ascii="Garamond" w:hAnsi="Garamond"/>
          <w:color w:val="000000"/>
        </w:rPr>
        <w:t>These (immigrants) are people coming to South Africa in the hour of its need to stand by the Whites here</w:t>
      </w:r>
      <w:r>
        <w:rPr>
          <w:rFonts w:ascii="Garamond" w:hAnsi="Garamond"/>
          <w:color w:val="000000"/>
        </w:rPr>
        <w:t>.</w:t>
      </w:r>
      <w:r w:rsidRPr="004246B0">
        <w:rPr>
          <w:rFonts w:ascii="Garamond" w:hAnsi="Garamond"/>
          <w:color w:val="000000"/>
        </w:rPr>
        <w:t xml:space="preserve"> (Prime Minister Vorster 1970 in Minty, 1975: 241)</w:t>
      </w:r>
    </w:p>
    <w:p w:rsidR="003F4A98" w:rsidRPr="004246B0" w:rsidRDefault="003F4A98" w:rsidP="00037B38">
      <w:pPr>
        <w:spacing w:after="0" w:line="360" w:lineRule="auto"/>
        <w:ind w:left="284" w:right="284"/>
        <w:jc w:val="both"/>
        <w:rPr>
          <w:rFonts w:ascii="Garamond" w:hAnsi="Garamond"/>
        </w:rPr>
      </w:pPr>
    </w:p>
    <w:p w:rsidR="003F4A98" w:rsidRPr="004246B0" w:rsidRDefault="003F4A98" w:rsidP="00037B3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During the citrus boycott the BOA adroitly inverted the white senses of threat, survival and security in order to display how the apartheid sociality of skin squeezed blood from black bodies. The fear of racial contamination was also an embodied trope deployed to 'distil unspoken racial reflexes', and to shock and unmake appetites in the BOA's blood-citrus topos. The challenge for the BOA in 1974-75 was to shift the emotional work of these tropes from citrus to white migration.</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7E10FB" w:rsidRDefault="007E10FB" w:rsidP="00037B38">
      <w:pPr>
        <w:pStyle w:val="Heading2"/>
      </w:pPr>
      <w:bookmarkStart w:id="728" w:name="_Toc244535772"/>
      <w:bookmarkStart w:id="729" w:name="_Toc244578404"/>
      <w:bookmarkStart w:id="730" w:name="_Toc244578788"/>
      <w:bookmarkStart w:id="731" w:name="_Toc263452039"/>
    </w:p>
    <w:p w:rsidR="003F4A98" w:rsidRPr="004246B0" w:rsidRDefault="003F4A98" w:rsidP="00037B38">
      <w:pPr>
        <w:pStyle w:val="Heading2"/>
      </w:pPr>
      <w:bookmarkStart w:id="732" w:name="_Toc263510957"/>
      <w:r w:rsidRPr="004246B0">
        <w:t>The BOA's anti-emigration campaign 1974-75: Dismantling the racial assemblages of white migration</w:t>
      </w:r>
      <w:bookmarkEnd w:id="728"/>
      <w:bookmarkEnd w:id="729"/>
      <w:bookmarkEnd w:id="730"/>
      <w:bookmarkEnd w:id="731"/>
      <w:bookmarkEnd w:id="732"/>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As the practical implementation of the sociality of skin, white migration turned humans and non-humans into agents of racism. Falguni Sheth, a political philosopher, has forwarded a useful conceptual device for untangling racism from identity (a psychological property belonging to a person); in </w:t>
      </w:r>
      <w:r w:rsidRPr="004246B0">
        <w:rPr>
          <w:rFonts w:ascii="Garamond" w:hAnsi="Garamond"/>
          <w:i/>
          <w:sz w:val="24"/>
          <w:szCs w:val="24"/>
        </w:rPr>
        <w:t>Toward a Political Philosophy of Race</w:t>
      </w:r>
      <w:r w:rsidRPr="004246B0">
        <w:rPr>
          <w:rFonts w:ascii="Garamond" w:hAnsi="Garamond"/>
          <w:sz w:val="24"/>
          <w:szCs w:val="24"/>
        </w:rPr>
        <w:t xml:space="preserve"> she proposes that race functions in a similar way to technology. Race is the device through which "an input </w:t>
      </w:r>
      <w:r w:rsidRPr="004246B0">
        <w:rPr>
          <w:rFonts w:ascii="Garamond" w:hAnsi="Garamond"/>
          <w:sz w:val="24"/>
          <w:szCs w:val="24"/>
        </w:rPr>
        <w:lastRenderedPageBreak/>
        <w:t>of raw material...is tu</w:t>
      </w:r>
      <w:r>
        <w:rPr>
          <w:rFonts w:ascii="Garamond" w:hAnsi="Garamond"/>
          <w:sz w:val="24"/>
          <w:szCs w:val="24"/>
        </w:rPr>
        <w:t>rned into a 'new' product" (2004: 88</w:t>
      </w:r>
      <w:r w:rsidRPr="004246B0">
        <w:rPr>
          <w:rFonts w:ascii="Garamond" w:hAnsi="Garamond"/>
          <w:sz w:val="24"/>
          <w:szCs w:val="24"/>
        </w:rPr>
        <w:t>). From a political perspective, race as an instrument functions to produce "social outcomes that are nee</w:t>
      </w:r>
      <w:r>
        <w:rPr>
          <w:rFonts w:ascii="Garamond" w:hAnsi="Garamond"/>
          <w:sz w:val="24"/>
          <w:szCs w:val="24"/>
        </w:rPr>
        <w:t>ded to adhere society" (ibid: 88</w:t>
      </w:r>
      <w:r w:rsidRPr="004246B0">
        <w:rPr>
          <w:rFonts w:ascii="Garamond" w:hAnsi="Garamond"/>
          <w:sz w:val="24"/>
          <w:szCs w:val="24"/>
        </w:rPr>
        <w:t>). Geographer Dan Swanton draws from Sheth in his work on white suburbia in Northern England. He explains what race as a 'technology of differentiation' does: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Race is better understood as a technology of differentiation which locates and sorts human differences that are encountered as threatening or 'unruly' (Sheth, 2004). And I argue that approaching race as a technology does at least two things. First, it makes it possible to grasp the inventive and capricious nature of race more fully (Saldanha, 2006). Second, it emphasises the significance of materiality in processes of social differentiation - differentiation is at least as much about relations between bodies, things, and spaces as it is about discourse</w:t>
      </w:r>
      <w:r>
        <w:rPr>
          <w:rFonts w:ascii="Garamond" w:hAnsi="Garamond"/>
        </w:rPr>
        <w:t>. (Swanton, 2010: 460)</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So race as a technology of differentiation is a form of racism in the doing, rather than the narratives and images that characterize racism in the knowing. When race is conceived as technology we can think about how things and commodities become racist, about how racism in the doing comprises of human and non-human assemblages that are given imminence in ever-changing processes of differentiation.</w:t>
      </w:r>
      <w:r w:rsidRPr="004246B0">
        <w:rPr>
          <w:rStyle w:val="FootnoteReference"/>
          <w:rFonts w:ascii="Garamond" w:hAnsi="Garamond"/>
          <w:sz w:val="24"/>
          <w:szCs w:val="24"/>
        </w:rPr>
        <w:footnoteReference w:id="174"/>
      </w:r>
      <w:r w:rsidRPr="004246B0">
        <w:rPr>
          <w:rFonts w:ascii="Garamond" w:hAnsi="Garamond"/>
          <w:sz w:val="24"/>
          <w:szCs w:val="24"/>
        </w:rPr>
        <w:t xml:space="preserve"> Moreover, this conception of racism fits neatly with the commodity activism of boycotts; the BOA necessarily conceived racism as a form of technology in order to unmake appetites for citrus.</w:t>
      </w:r>
      <w:r w:rsidRPr="004246B0">
        <w:rPr>
          <w:rStyle w:val="FootnoteReference"/>
          <w:rFonts w:ascii="Garamond" w:hAnsi="Garamond"/>
          <w:sz w:val="24"/>
          <w:szCs w:val="24"/>
        </w:rPr>
        <w:footnoteReference w:id="175"/>
      </w:r>
      <w:r w:rsidRPr="004246B0">
        <w:rPr>
          <w:rFonts w:ascii="Garamond" w:hAnsi="Garamond"/>
          <w:sz w:val="24"/>
          <w:szCs w:val="24"/>
        </w:rPr>
        <w:t xml:space="preserve"> Outspan produce was variously described by the organization as "harvests of shame", "fruits of apartheid", "blood oranges" and "vectors of racism" (</w:t>
      </w:r>
      <w:r w:rsidRPr="004246B0">
        <w:rPr>
          <w:rFonts w:ascii="Garamond" w:hAnsi="Garamond"/>
          <w:i/>
          <w:sz w:val="24"/>
          <w:szCs w:val="24"/>
        </w:rPr>
        <w:t>Outspan: Bouwstenen Voor Apartheid</w:t>
      </w:r>
      <w:r w:rsidRPr="004246B0">
        <w:rPr>
          <w:rFonts w:ascii="Garamond" w:hAnsi="Garamond"/>
          <w:sz w:val="24"/>
          <w:szCs w:val="24"/>
        </w:rPr>
        <w:t xml:space="preserve">, 1973). White migration to South Africa was conceived in similar terms, i.e. white migrants were interpreted as assemblages of racist practices and knowledges from tourist imaginaries through to government policy. The BOA were able to unpick </w:t>
      </w:r>
      <w:r w:rsidRPr="004246B0">
        <w:rPr>
          <w:rFonts w:ascii="Garamond" w:hAnsi="Garamond"/>
          <w:sz w:val="24"/>
          <w:szCs w:val="24"/>
        </w:rPr>
        <w:lastRenderedPageBreak/>
        <w:t>elements of the loose, everyday forms of European racism that merged with the South African sociality of skin over the figure of the white migrant.</w:t>
      </w:r>
      <w:r w:rsidRPr="004246B0">
        <w:rPr>
          <w:rStyle w:val="FootnoteReference"/>
          <w:rFonts w:ascii="Garamond" w:hAnsi="Garamond"/>
          <w:sz w:val="24"/>
          <w:szCs w:val="24"/>
        </w:rPr>
        <w:footnoteReference w:id="176"/>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elements that constituted apartheid whiteness extended far beyond South Africa's boundaries (through rhetoric, corporations, advertising, airlines, embassies, familial ties, </w:t>
      </w:r>
      <w:r w:rsidR="00037B38">
        <w:rPr>
          <w:rFonts w:ascii="Garamond" w:hAnsi="Garamond"/>
          <w:sz w:val="24"/>
          <w:szCs w:val="24"/>
        </w:rPr>
        <w:t>etc). Following Sald</w:t>
      </w:r>
      <w:r w:rsidRPr="004246B0">
        <w:rPr>
          <w:rFonts w:ascii="Garamond" w:hAnsi="Garamond"/>
          <w:sz w:val="24"/>
          <w:szCs w:val="24"/>
        </w:rPr>
        <w:t>an</w:t>
      </w:r>
      <w:r w:rsidR="00037B38">
        <w:rPr>
          <w:rFonts w:ascii="Garamond" w:hAnsi="Garamond"/>
          <w:sz w:val="24"/>
          <w:szCs w:val="24"/>
        </w:rPr>
        <w:t>h</w:t>
      </w:r>
      <w:r w:rsidRPr="004246B0">
        <w:rPr>
          <w:rFonts w:ascii="Garamond" w:hAnsi="Garamond"/>
          <w:sz w:val="24"/>
          <w:szCs w:val="24"/>
        </w:rPr>
        <w:t>a (2006) and Swanton (2010</w:t>
      </w:r>
      <w:r>
        <w:rPr>
          <w:rFonts w:ascii="Garamond" w:hAnsi="Garamond"/>
          <w:sz w:val="24"/>
          <w:szCs w:val="24"/>
        </w:rPr>
        <w:t>b</w:t>
      </w:r>
      <w:r w:rsidRPr="004246B0">
        <w:rPr>
          <w:rFonts w:ascii="Garamond" w:hAnsi="Garamond"/>
          <w:sz w:val="24"/>
          <w:szCs w:val="24"/>
        </w:rPr>
        <w:t>), I take these hybrid white migrant identities to have been composed of performative and material elements that can loosely be understood as assemblages. I now show how the BOA's anti-emigration campaign sought to dismantle their composition. The BOA targeted the formation of underpinning discursive practices for migration across four entwined categories of imminence; the 'citizen-science'</w:t>
      </w:r>
      <w:r w:rsidRPr="004246B0">
        <w:rPr>
          <w:rStyle w:val="FootnoteReference"/>
          <w:rFonts w:ascii="Garamond" w:hAnsi="Garamond"/>
          <w:sz w:val="24"/>
          <w:szCs w:val="24"/>
        </w:rPr>
        <w:footnoteReference w:id="177"/>
      </w:r>
      <w:r w:rsidRPr="004246B0">
        <w:rPr>
          <w:rFonts w:ascii="Garamond" w:hAnsi="Garamond"/>
          <w:sz w:val="24"/>
          <w:szCs w:val="24"/>
        </w:rPr>
        <w:t xml:space="preserve"> of race, 'common sense knowledges', law, and media representations. I briefly outline the first two of these categories before a substantial analysis of the BOA's performative media campaign that drew together all these elements.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7E10FB" w:rsidRDefault="007E10FB" w:rsidP="003F4A98">
      <w:pPr>
        <w:autoSpaceDE w:val="0"/>
        <w:autoSpaceDN w:val="0"/>
        <w:adjustRightInd w:val="0"/>
        <w:spacing w:after="0" w:line="360" w:lineRule="auto"/>
        <w:jc w:val="both"/>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i/>
          <w:sz w:val="24"/>
          <w:szCs w:val="24"/>
        </w:rPr>
      </w:pPr>
      <w:r w:rsidRPr="004246B0">
        <w:rPr>
          <w:rFonts w:ascii="Garamond" w:hAnsi="Garamond"/>
          <w:i/>
          <w:sz w:val="24"/>
          <w:szCs w:val="24"/>
        </w:rPr>
        <w:t>The 'citizen-science' of race</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Among the key places where apartheid/European racial assemblages materialized were the immigration departments of South African embassies based in European cities, including London, The Hague and Bern. From 1946, the South African state allowed only white Europeans who could verify their skin colour through visual evidence and corroborated family histories to immigrate as citizens (black labourers from Lesotho, Mozambique and Swaziland were provided seasonal contracts and denied citizenship). </w:t>
      </w:r>
      <w:r w:rsidR="00353742">
        <w:rPr>
          <w:rFonts w:ascii="Garamond" w:hAnsi="Garamond"/>
          <w:sz w:val="24"/>
          <w:szCs w:val="24"/>
        </w:rPr>
        <w:t>In The Hague during the 1970s, emigration officers</w:t>
      </w:r>
      <w:r w:rsidRPr="004246B0">
        <w:rPr>
          <w:rFonts w:ascii="Garamond" w:hAnsi="Garamond"/>
          <w:sz w:val="24"/>
          <w:szCs w:val="24"/>
        </w:rPr>
        <w:t xml:space="preserve"> used the 'science' of 19th century racial physiognomy to assess the whiteness of potential migrants: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In order to keep the risk as small as possible that there was perhaps a Chinese or an Indonesian among your ancestors, you appear before a well trained immigration officer </w:t>
      </w:r>
      <w:r w:rsidRPr="004246B0">
        <w:rPr>
          <w:rFonts w:ascii="Garamond" w:hAnsi="Garamond"/>
        </w:rPr>
        <w:lastRenderedPageBreak/>
        <w:t>who will measure your skull, your nose (narrow or broad), your hair (long wiry, curly), the colour of your eyes and</w:t>
      </w:r>
      <w:r>
        <w:rPr>
          <w:rFonts w:ascii="Garamond" w:hAnsi="Garamond"/>
        </w:rPr>
        <w:t xml:space="preserve"> look critically at your figure.</w:t>
      </w:r>
      <w:r w:rsidRPr="004246B0">
        <w:rPr>
          <w:rFonts w:ascii="Garamond" w:hAnsi="Garamond"/>
        </w:rPr>
        <w:t xml:space="preserve"> (Translated from Dutch, van Kaam </w:t>
      </w:r>
      <w:r w:rsidR="00F152DB">
        <w:rPr>
          <w:rFonts w:ascii="Garamond" w:hAnsi="Garamond"/>
        </w:rPr>
        <w:t>and</w:t>
      </w:r>
      <w:r w:rsidRPr="004246B0">
        <w:rPr>
          <w:rFonts w:ascii="Garamond" w:hAnsi="Garamond"/>
        </w:rPr>
        <w:t xml:space="preserve"> du Plessis, 1975)</w:t>
      </w:r>
      <w:r w:rsidRPr="004246B0">
        <w:rPr>
          <w:rStyle w:val="FootnoteReference"/>
          <w:rFonts w:ascii="Garamond" w:hAnsi="Garamond"/>
        </w:rPr>
        <w:footnoteReference w:id="178"/>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037B3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This process of differentiation extended from epidermal markers and phenotype to social relations. Section 4 (3) of the Aliens Act No1 (1937) evidences how the sociality of skin was written into the South African constitution:</w:t>
      </w:r>
    </w:p>
    <w:p w:rsidR="003F4A98" w:rsidRPr="004246B0" w:rsidRDefault="003F4A98" w:rsidP="00037B38">
      <w:pPr>
        <w:autoSpaceDE w:val="0"/>
        <w:autoSpaceDN w:val="0"/>
        <w:adjustRightInd w:val="0"/>
        <w:spacing w:after="0" w:line="360" w:lineRule="auto"/>
        <w:ind w:left="284" w:right="284"/>
        <w:jc w:val="both"/>
        <w:rPr>
          <w:rFonts w:ascii="Garamond" w:hAnsi="Garamond"/>
          <w:sz w:val="24"/>
          <w:szCs w:val="24"/>
        </w:rPr>
      </w:pPr>
    </w:p>
    <w:p w:rsidR="003F4A98" w:rsidRPr="004246B0" w:rsidRDefault="003F4A98" w:rsidP="00037B38">
      <w:pPr>
        <w:autoSpaceDE w:val="0"/>
        <w:autoSpaceDN w:val="0"/>
        <w:adjustRightInd w:val="0"/>
        <w:spacing w:after="0" w:line="360" w:lineRule="auto"/>
        <w:ind w:left="284" w:right="284"/>
        <w:jc w:val="both"/>
        <w:rPr>
          <w:rFonts w:ascii="Garamond" w:hAnsi="Garamond"/>
        </w:rPr>
      </w:pPr>
      <w:r w:rsidRPr="004246B0">
        <w:rPr>
          <w:rFonts w:ascii="Garamond" w:hAnsi="Garamond"/>
        </w:rPr>
        <w:t>The board shall not authorise the issue of a permit unless the applicant is of good character, will easily assimilate, and will not h</w:t>
      </w:r>
      <w:r>
        <w:rPr>
          <w:rFonts w:ascii="Garamond" w:hAnsi="Garamond"/>
        </w:rPr>
        <w:t>arm the welfare of the republic</w:t>
      </w:r>
      <w:r w:rsidRPr="004246B0">
        <w:rPr>
          <w:rFonts w:ascii="Garamond" w:hAnsi="Garamond"/>
        </w:rPr>
        <w:t>.</w:t>
      </w:r>
    </w:p>
    <w:p w:rsidR="003F4A98" w:rsidRPr="004246B0" w:rsidRDefault="003F4A98" w:rsidP="00037B38">
      <w:pPr>
        <w:autoSpaceDE w:val="0"/>
        <w:autoSpaceDN w:val="0"/>
        <w:adjustRightInd w:val="0"/>
        <w:spacing w:after="0" w:line="360" w:lineRule="auto"/>
        <w:ind w:left="284" w:right="284"/>
        <w:jc w:val="both"/>
        <w:rPr>
          <w:rFonts w:ascii="Garamond" w:hAnsi="Garamond"/>
          <w:sz w:val="24"/>
          <w:szCs w:val="24"/>
        </w:rPr>
      </w:pPr>
    </w:p>
    <w:p w:rsidR="003F4A98" w:rsidRPr="004246B0" w:rsidRDefault="003F4A98" w:rsidP="00037B38">
      <w:pPr>
        <w:autoSpaceDE w:val="0"/>
        <w:autoSpaceDN w:val="0"/>
        <w:adjustRightInd w:val="0"/>
        <w:spacing w:after="0" w:line="360" w:lineRule="auto"/>
        <w:jc w:val="both"/>
        <w:rPr>
          <w:rFonts w:ascii="Garamond" w:hAnsi="Garamond"/>
        </w:rPr>
      </w:pPr>
      <w:r w:rsidRPr="004246B0">
        <w:rPr>
          <w:rFonts w:ascii="Garamond" w:hAnsi="Garamond"/>
          <w:sz w:val="24"/>
          <w:szCs w:val="24"/>
        </w:rPr>
        <w:t xml:space="preserve">Posel (2011) uses the Populations Registration Act of 1950 to illustrate how whiteness was determined through appearance </w:t>
      </w:r>
      <w:r w:rsidRPr="004246B0">
        <w:rPr>
          <w:rFonts w:ascii="Garamond" w:hAnsi="Garamond"/>
          <w:i/>
          <w:sz w:val="24"/>
          <w:szCs w:val="24"/>
        </w:rPr>
        <w:t>and</w:t>
      </w:r>
      <w:r w:rsidRPr="004246B0">
        <w:rPr>
          <w:rFonts w:ascii="Garamond" w:hAnsi="Garamond"/>
          <w:sz w:val="24"/>
          <w:szCs w:val="24"/>
        </w:rPr>
        <w:t xml:space="preserve"> actions</w:t>
      </w:r>
      <w:r w:rsidRPr="004246B0">
        <w:rPr>
          <w:rFonts w:ascii="Garamond" w:hAnsi="Garamond"/>
        </w:rPr>
        <w:t>:</w:t>
      </w:r>
    </w:p>
    <w:p w:rsidR="003F4A98" w:rsidRPr="004246B0" w:rsidRDefault="003F4A98" w:rsidP="00037B38">
      <w:pPr>
        <w:autoSpaceDE w:val="0"/>
        <w:autoSpaceDN w:val="0"/>
        <w:adjustRightInd w:val="0"/>
        <w:spacing w:after="0" w:line="360" w:lineRule="auto"/>
        <w:jc w:val="both"/>
        <w:rPr>
          <w:rFonts w:ascii="Garamond" w:hAnsi="Garamond"/>
        </w:rPr>
      </w:pPr>
    </w:p>
    <w:p w:rsidR="003F4A98" w:rsidRPr="004246B0" w:rsidRDefault="003F4A98" w:rsidP="00037B38">
      <w:pPr>
        <w:autoSpaceDE w:val="0"/>
        <w:autoSpaceDN w:val="0"/>
        <w:adjustRightInd w:val="0"/>
        <w:spacing w:after="0" w:line="360" w:lineRule="auto"/>
        <w:ind w:left="284" w:right="284"/>
        <w:jc w:val="both"/>
        <w:rPr>
          <w:rFonts w:ascii="Garamond" w:hAnsi="Garamond"/>
        </w:rPr>
      </w:pPr>
      <w:r w:rsidRPr="004246B0">
        <w:rPr>
          <w:rFonts w:ascii="Garamond" w:hAnsi="Garamond"/>
        </w:rPr>
        <w:t>A white person is one who in appearance is, or who is generally accepted as, a white person, but does not include a person who, although in appearance obviously a white person, is generall</w:t>
      </w:r>
      <w:r>
        <w:rPr>
          <w:rFonts w:ascii="Garamond" w:hAnsi="Garamond"/>
        </w:rPr>
        <w:t>y accepted as a coloured person.</w:t>
      </w:r>
      <w:r w:rsidRPr="004246B0">
        <w:rPr>
          <w:rFonts w:ascii="Garamond" w:hAnsi="Garamond"/>
        </w:rPr>
        <w:t xml:space="preserve"> (2011: 333)</w:t>
      </w:r>
      <w:r w:rsidRPr="004246B0">
        <w:rPr>
          <w:rStyle w:val="FootnoteReference"/>
          <w:rFonts w:ascii="Garamond" w:hAnsi="Garamond"/>
        </w:rPr>
        <w:footnoteReference w:id="179"/>
      </w:r>
    </w:p>
    <w:p w:rsidR="003F4A98" w:rsidRPr="004246B0" w:rsidRDefault="003F4A98" w:rsidP="00037B38">
      <w:pPr>
        <w:autoSpaceDE w:val="0"/>
        <w:autoSpaceDN w:val="0"/>
        <w:adjustRightInd w:val="0"/>
        <w:spacing w:after="0" w:line="360" w:lineRule="auto"/>
        <w:jc w:val="both"/>
        <w:rPr>
          <w:rFonts w:ascii="Garamond" w:hAnsi="Garamond"/>
          <w:sz w:val="24"/>
          <w:szCs w:val="24"/>
        </w:rPr>
      </w:pPr>
    </w:p>
    <w:p w:rsidR="003F4A98" w:rsidRPr="004246B0" w:rsidRDefault="003F4A98" w:rsidP="00037B3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Migrants not only had to look white; they also had to behave like whites. Colour could be arbitrarily assigned to white individuals if the wider community suspected their actions. During the 1960s and </w:t>
      </w:r>
      <w:r>
        <w:rPr>
          <w:rFonts w:ascii="Garamond" w:hAnsi="Garamond"/>
          <w:sz w:val="24"/>
          <w:szCs w:val="24"/>
        </w:rPr>
        <w:t>19</w:t>
      </w:r>
      <w:r w:rsidRPr="004246B0">
        <w:rPr>
          <w:rFonts w:ascii="Garamond" w:hAnsi="Garamond"/>
          <w:sz w:val="24"/>
          <w:szCs w:val="24"/>
        </w:rPr>
        <w:t xml:space="preserve">70s, potential migrants were interviewed in their host countries by immigration officers on their personal politics and attitude towards race. The BOA highlighted that the transformation of the migrant from a Dutch to a South African continued once the migrant and family had moved to South Africa. Integral to this transformation was the adoption of apartheid white identities. Newly housed migrants were paired with assimilation aiding families and were tested on their willingness to comply with particular aspects of white identity (Zöller, 1975). Migrants were expected to assimilate and reproduce the justificatory frameworks for racial oppression. If caught, those migrants that refused to fit the mould were expelled by the state (Minty, 1975). </w:t>
      </w:r>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7E10FB" w:rsidRDefault="007E10FB" w:rsidP="003F4A98">
      <w:pPr>
        <w:autoSpaceDE w:val="0"/>
        <w:autoSpaceDN w:val="0"/>
        <w:adjustRightInd w:val="0"/>
        <w:spacing w:after="0" w:line="360" w:lineRule="auto"/>
        <w:jc w:val="both"/>
        <w:rPr>
          <w:rFonts w:ascii="Garamond" w:hAnsi="Garamond"/>
          <w:b/>
          <w:i/>
          <w:szCs w:val="24"/>
        </w:rPr>
      </w:pPr>
    </w:p>
    <w:p w:rsidR="007E10FB" w:rsidRDefault="007E10FB" w:rsidP="003F4A98">
      <w:pPr>
        <w:autoSpaceDE w:val="0"/>
        <w:autoSpaceDN w:val="0"/>
        <w:adjustRightInd w:val="0"/>
        <w:spacing w:after="0" w:line="360" w:lineRule="auto"/>
        <w:jc w:val="both"/>
        <w:rPr>
          <w:rFonts w:ascii="Garamond" w:hAnsi="Garamond"/>
          <w:b/>
          <w:i/>
          <w:szCs w:val="24"/>
        </w:rPr>
      </w:pPr>
    </w:p>
    <w:p w:rsidR="007E10FB" w:rsidRDefault="007E10FB" w:rsidP="003F4A98">
      <w:pPr>
        <w:autoSpaceDE w:val="0"/>
        <w:autoSpaceDN w:val="0"/>
        <w:adjustRightInd w:val="0"/>
        <w:spacing w:after="0" w:line="360" w:lineRule="auto"/>
        <w:jc w:val="both"/>
        <w:rPr>
          <w:rFonts w:ascii="Garamond" w:hAnsi="Garamond"/>
          <w:b/>
          <w:i/>
          <w:szCs w:val="24"/>
        </w:rPr>
      </w:pPr>
    </w:p>
    <w:p w:rsidR="003F4A98" w:rsidRPr="00037B38" w:rsidRDefault="003F4A98" w:rsidP="003F4A98">
      <w:pPr>
        <w:autoSpaceDE w:val="0"/>
        <w:autoSpaceDN w:val="0"/>
        <w:adjustRightInd w:val="0"/>
        <w:spacing w:after="0" w:line="360" w:lineRule="auto"/>
        <w:jc w:val="both"/>
        <w:rPr>
          <w:rFonts w:ascii="Garamond" w:hAnsi="Garamond"/>
          <w:b/>
          <w:i/>
          <w:szCs w:val="24"/>
        </w:rPr>
      </w:pPr>
      <w:r w:rsidRPr="00037B38">
        <w:rPr>
          <w:rFonts w:ascii="Garamond" w:hAnsi="Garamond"/>
          <w:b/>
          <w:i/>
          <w:szCs w:val="24"/>
        </w:rPr>
        <w:lastRenderedPageBreak/>
        <w:t>Common-sense knowledges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Common-sense geographies, David Harvey writes, are composed of mental maps learnt from human interactions with specific environments; "once formed, [they] tend to be stubbornly recalcitrant to change and ill-adapted to the heightened fluidity demanded by contemporary processes of globalization" (2005: 236).</w:t>
      </w:r>
      <w:r w:rsidRPr="004246B0">
        <w:rPr>
          <w:rFonts w:ascii="Garamond" w:hAnsi="Garamond"/>
        </w:rPr>
        <w:t xml:space="preserve"> </w:t>
      </w:r>
      <w:r w:rsidRPr="004246B0">
        <w:rPr>
          <w:rFonts w:ascii="Garamond" w:hAnsi="Garamond"/>
          <w:sz w:val="24"/>
          <w:szCs w:val="24"/>
        </w:rPr>
        <w:t>To disrupt the formation of 'common-sense knowledges' on apartheid, the BOA entered into dialogue with families of white migrants to South Africa, and disputed the word-of-mouth justifications for sociality of skin passed on to Dutch citizens through relations who had taken up residence in South Africa:</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b/>
        </w:rPr>
      </w:pPr>
      <w:r w:rsidRPr="004246B0">
        <w:rPr>
          <w:rFonts w:ascii="Garamond" w:hAnsi="Garamond"/>
        </w:rPr>
        <w:t>More than the Outspan campaign, emigration was really the best way of exposing the racist collaboration between South Africa and Holland. Because the family ties, the religious ties, the cultural ties, the 'blood ties'; they all played a part. Because sometimes Dutch people who had relatives in South Africa responded to us and said: 'my daughter, my son, my father, lives in South Africa,</w:t>
      </w:r>
      <w:r>
        <w:rPr>
          <w:rFonts w:ascii="Garamond" w:hAnsi="Garamond"/>
        </w:rPr>
        <w:t xml:space="preserve"> and what you say it's not true.</w:t>
      </w:r>
      <w:r w:rsidRPr="004246B0">
        <w:rPr>
          <w:rFonts w:ascii="Garamond" w:hAnsi="Garamond"/>
        </w:rPr>
        <w:t xml:space="preserve"> (Interview du Plessis, 2013)</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Anti-emigration was personal; it traced out some of the intimate workings of racism in Dutch society; and it intervened in the emotive terrain of racist familiarities.  The BOA repeated Abdul Minty's claim that, accounting for some exceptions, "white migrants, and their families conform to the apartheid system and become ardent racists themselves...behaving both within the country and internationally as new agents of racism" (Minty, 1975: 234). Places of cultural exchange in Holland, such as tourist agencies, expatriate organizations and transnational pro-apartheid social organizations were targeted. While the BOA disputed underpinning discursive practices of white migration, they also targeted their moments of realization in racialized performances, or 'immanence' (behaviours that manifested in particular places). Specifically, the BOA intervened in the places where "fuzzy racial summaries" (Swanton, 2009) were produced and distributed, in places of cultural exchange between South Africa and Holland. These included travel agencies, churches, expatriate community groups, embassies, workplaces and student exchange societies.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Both pro</w:t>
      </w:r>
      <w:r w:rsidR="00037B38">
        <w:rPr>
          <w:rFonts w:ascii="Garamond" w:hAnsi="Garamond"/>
          <w:sz w:val="24"/>
          <w:szCs w:val="24"/>
        </w:rPr>
        <w:t>-</w:t>
      </w:r>
      <w:r w:rsidRPr="004246B0">
        <w:rPr>
          <w:rFonts w:ascii="Garamond" w:hAnsi="Garamond"/>
          <w:sz w:val="24"/>
          <w:szCs w:val="24"/>
        </w:rPr>
        <w:t xml:space="preserve"> and anti-apartheid lobbies displayed an acute awareness of the influence migrants held on their wider families located in European countries. Families were potential tourists that could be 'shown' white South Africa for themselves, and they were </w:t>
      </w:r>
      <w:r w:rsidRPr="004246B0">
        <w:rPr>
          <w:rFonts w:ascii="Garamond" w:hAnsi="Garamond"/>
          <w:sz w:val="24"/>
          <w:szCs w:val="24"/>
        </w:rPr>
        <w:lastRenderedPageBreak/>
        <w:t xml:space="preserve">potential mouthpieces and political actors that formed influential expatriate groups like the 1820 Settlers Foundation in Holland. South African agencies encouraged the expansion of these groups by sending diplomats and advocates to give speeches at meetings, and by working with European airlines to offer special tourist rates for large groups to visit South Africa (Zöller, 1975).      </w:t>
      </w:r>
    </w:p>
    <w:p w:rsidR="00037B38" w:rsidRDefault="00037B38" w:rsidP="003F4A98">
      <w:pPr>
        <w:autoSpaceDE w:val="0"/>
        <w:autoSpaceDN w:val="0"/>
        <w:adjustRightInd w:val="0"/>
        <w:spacing w:after="0" w:line="360" w:lineRule="auto"/>
        <w:jc w:val="both"/>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i/>
          <w:sz w:val="24"/>
          <w:szCs w:val="24"/>
        </w:rPr>
      </w:pPr>
    </w:p>
    <w:p w:rsidR="003F4A98" w:rsidRPr="00037B38" w:rsidRDefault="003F4A98" w:rsidP="003F4A98">
      <w:pPr>
        <w:autoSpaceDE w:val="0"/>
        <w:autoSpaceDN w:val="0"/>
        <w:adjustRightInd w:val="0"/>
        <w:spacing w:after="0" w:line="360" w:lineRule="auto"/>
        <w:jc w:val="both"/>
        <w:rPr>
          <w:rFonts w:ascii="Garamond" w:hAnsi="Garamond"/>
          <w:b/>
          <w:i/>
          <w:szCs w:val="24"/>
        </w:rPr>
      </w:pPr>
      <w:r w:rsidRPr="00037B38">
        <w:rPr>
          <w:rFonts w:ascii="Garamond" w:hAnsi="Garamond"/>
          <w:b/>
          <w:i/>
          <w:szCs w:val="24"/>
        </w:rPr>
        <w:t>Performing anti-emigration across the Dutch media</w:t>
      </w:r>
    </w:p>
    <w:p w:rsidR="003F4A98" w:rsidRPr="004246B0" w:rsidRDefault="003F4A98" w:rsidP="003F4A98">
      <w:pPr>
        <w:autoSpaceDE w:val="0"/>
        <w:autoSpaceDN w:val="0"/>
        <w:adjustRightInd w:val="0"/>
        <w:spacing w:after="0" w:line="360" w:lineRule="auto"/>
        <w:jc w:val="both"/>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On the 15th anniversary of Sharpeville on the 21st of March 1975, the BOA launched their national anti-emigration campaign through a staged intervention outside the South African embassy in The Hague. National campaigns were launched simultaneously by AAMs in Ireland, Belgium, Germany and the UK. Launching the campaign on the anniversary of Sharpeville had a wider ideological significance of aligning the international campaign with the ANC's 1955 Freedom Charter,</w:t>
      </w:r>
      <w:r w:rsidRPr="004246B0">
        <w:rPr>
          <w:rStyle w:val="FootnoteReference"/>
          <w:rFonts w:ascii="Garamond" w:hAnsi="Garamond"/>
          <w:sz w:val="24"/>
          <w:szCs w:val="24"/>
        </w:rPr>
        <w:footnoteReference w:id="180"/>
      </w:r>
      <w:r w:rsidRPr="004246B0">
        <w:rPr>
          <w:rFonts w:ascii="Garamond" w:hAnsi="Garamond"/>
          <w:sz w:val="24"/>
          <w:szCs w:val="24"/>
        </w:rPr>
        <w:t xml:space="preserve"> and the UN General Assembly's 1966 charter on the 21st of March as a freedom day, as a day to remind of the commitment to eliminate all forms of racial discrimination:</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spacing w:line="360" w:lineRule="auto"/>
        <w:ind w:left="284" w:right="284"/>
        <w:jc w:val="both"/>
        <w:rPr>
          <w:rFonts w:ascii="Garamond" w:hAnsi="Garamond"/>
        </w:rPr>
      </w:pPr>
      <w:r>
        <w:rPr>
          <w:rFonts w:ascii="Garamond" w:hAnsi="Garamond"/>
        </w:rPr>
        <w:t>HUGH</w:t>
      </w:r>
      <w:r w:rsidRPr="004246B0">
        <w:rPr>
          <w:rFonts w:ascii="Garamond" w:hAnsi="Garamond"/>
        </w:rPr>
        <w:t>: So you chose March 21st specifically as a reminder of the horrific crimes committed by the Apartheid regime at Sharpeville exactly 15 years previously?</w:t>
      </w:r>
    </w:p>
    <w:p w:rsidR="003F4A98" w:rsidRPr="004246B0" w:rsidRDefault="003F4A98" w:rsidP="003F4A98">
      <w:pPr>
        <w:autoSpaceDE w:val="0"/>
        <w:autoSpaceDN w:val="0"/>
        <w:adjustRightInd w:val="0"/>
        <w:spacing w:after="0" w:line="360" w:lineRule="auto"/>
        <w:ind w:left="284" w:right="284"/>
        <w:jc w:val="both"/>
        <w:rPr>
          <w:rFonts w:ascii="Garamond" w:hAnsi="Garamond"/>
          <w:sz w:val="24"/>
          <w:szCs w:val="24"/>
        </w:rPr>
      </w:pPr>
      <w:r>
        <w:rPr>
          <w:rFonts w:ascii="Garamond" w:hAnsi="Garamond"/>
        </w:rPr>
        <w:t>ESAU</w:t>
      </w:r>
      <w:r w:rsidR="003C311C">
        <w:rPr>
          <w:rFonts w:ascii="Garamond" w:hAnsi="Garamond"/>
        </w:rPr>
        <w:t xml:space="preserve">: Yes – </w:t>
      </w:r>
      <w:r w:rsidRPr="004246B0">
        <w:rPr>
          <w:rFonts w:ascii="Garamond" w:hAnsi="Garamond"/>
        </w:rPr>
        <w:t xml:space="preserve">that's right. And this date we commemorated every year by torchlight procession. </w:t>
      </w:r>
      <w:r w:rsidR="003C311C">
        <w:rPr>
          <w:rFonts w:ascii="Garamond" w:hAnsi="Garamond"/>
        </w:rPr>
        <w:t xml:space="preserve">And then we made a comparison – </w:t>
      </w:r>
      <w:r w:rsidRPr="004246B0">
        <w:rPr>
          <w:rFonts w:ascii="Garamond" w:hAnsi="Garamond"/>
        </w:rPr>
        <w:t>racism in Holland and racism in South Africa. The United Nations condemned apartheid on the 21st March 1960 because of the massacre of Sharpeville.</w:t>
      </w:r>
      <w:r w:rsidRPr="004246B0">
        <w:rPr>
          <w:rStyle w:val="FootnoteReference"/>
          <w:rFonts w:ascii="Garamond" w:hAnsi="Garamond"/>
        </w:rPr>
        <w:footnoteReference w:id="181"/>
      </w:r>
      <w:r w:rsidRPr="004246B0">
        <w:rPr>
          <w:rFonts w:ascii="Garamond" w:hAnsi="Garamond"/>
        </w:rPr>
        <w:t xml:space="preserve"> The UN made the link with global and universal racism - they highlighted apartheid but they took it as an international, a universal problem.  And the interesting thing is that most European opponents</w:t>
      </w:r>
      <w:r>
        <w:rPr>
          <w:rFonts w:ascii="Garamond" w:hAnsi="Garamond"/>
        </w:rPr>
        <w:t xml:space="preserve"> of</w:t>
      </w:r>
      <w:r w:rsidRPr="004246B0">
        <w:rPr>
          <w:rFonts w:ascii="Garamond" w:hAnsi="Garamond"/>
        </w:rPr>
        <w:t xml:space="preserve"> South Africa's apartheid - they forgot that the UN said that racism was a global problem.</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3C311C" w:rsidRDefault="003F4A98" w:rsidP="003C311C">
      <w:pPr>
        <w:spacing w:line="360" w:lineRule="auto"/>
        <w:jc w:val="both"/>
        <w:rPr>
          <w:rFonts w:ascii="Garamond" w:hAnsi="Garamond"/>
          <w:sz w:val="24"/>
          <w:szCs w:val="24"/>
        </w:rPr>
      </w:pPr>
      <w:r w:rsidRPr="004246B0">
        <w:rPr>
          <w:rFonts w:ascii="Garamond" w:hAnsi="Garamond"/>
          <w:sz w:val="24"/>
          <w:szCs w:val="24"/>
        </w:rPr>
        <w:lastRenderedPageBreak/>
        <w:t>By pegging white migration to the Freedom Charter, the BOA clearly advocated that the campaign was part of the wider ideology</w:t>
      </w:r>
      <w:r>
        <w:rPr>
          <w:rFonts w:ascii="Garamond" w:hAnsi="Garamond"/>
          <w:sz w:val="24"/>
          <w:szCs w:val="24"/>
        </w:rPr>
        <w:t xml:space="preserve"> of </w:t>
      </w:r>
      <w:r w:rsidRPr="004246B0">
        <w:rPr>
          <w:rFonts w:ascii="Garamond" w:hAnsi="Garamond"/>
          <w:sz w:val="24"/>
          <w:szCs w:val="24"/>
        </w:rPr>
        <w:t>racism here</w:t>
      </w:r>
      <w:r>
        <w:rPr>
          <w:rFonts w:ascii="Garamond" w:hAnsi="Garamond"/>
          <w:sz w:val="24"/>
          <w:szCs w:val="24"/>
        </w:rPr>
        <w:t>, apartheid there</w:t>
      </w:r>
      <w:r w:rsidRPr="004246B0">
        <w:rPr>
          <w:rFonts w:ascii="Garamond" w:hAnsi="Garamond"/>
          <w:sz w:val="24"/>
          <w:szCs w:val="24"/>
        </w:rPr>
        <w:t>. But the immediate challenge for the campaign was to construct regional and national news. The BOA had proved themselves newsworthy during the Outspan boycott; an achievement that most AAMs struggled with in the 1970s. The blind eye turned to anti-apartheid by the global media during the 1970s meant that organizations had to create their own news events and disseminate them through channels of their own making (Thörn, 2007). But the BOA were creative publicists and counted nationally reputed journalists (van Kaam, Roskam), visual artists (van der Aa, van Manen) and lawyers (Jit Peters, van Manen) among their contingent. Throughout 1974, the organization prepared for a single action that would ignite white migration across radio, television and print media, and explode the topic into the national consciousness. The preparation involved writing anti-emigration speeches, booklets and arguments, and coordinating with both the international anti-emigration movement (over the publication of key materials and the launching of press conferences) and with the liberal Dutch press.  Oranges had provided both a wonderful tangibility and a material vehicle for anti-apartheid; the anti-emigration campaign did not come easily attached to a</w:t>
      </w:r>
      <w:r>
        <w:rPr>
          <w:rFonts w:ascii="Garamond" w:hAnsi="Garamond"/>
          <w:sz w:val="24"/>
          <w:szCs w:val="24"/>
        </w:rPr>
        <w:t xml:space="preserve"> </w:t>
      </w:r>
      <w:r w:rsidRPr="004246B0">
        <w:rPr>
          <w:rFonts w:ascii="Garamond" w:hAnsi="Garamond"/>
          <w:sz w:val="24"/>
          <w:szCs w:val="24"/>
        </w:rPr>
        <w:t>ubiquitous commodity, or an everyday routine (such as eating oranges). So, wh</w:t>
      </w:r>
      <w:r>
        <w:rPr>
          <w:rFonts w:ascii="Garamond" w:hAnsi="Garamond"/>
          <w:sz w:val="24"/>
          <w:szCs w:val="24"/>
        </w:rPr>
        <w:t xml:space="preserve">ile </w:t>
      </w:r>
      <w:r w:rsidRPr="004246B0">
        <w:rPr>
          <w:rFonts w:ascii="Garamond" w:hAnsi="Garamond"/>
          <w:sz w:val="24"/>
          <w:szCs w:val="24"/>
        </w:rPr>
        <w:t>appetite</w:t>
      </w:r>
      <w:r w:rsidR="00353742">
        <w:rPr>
          <w:rFonts w:ascii="Garamond" w:hAnsi="Garamond"/>
          <w:sz w:val="24"/>
          <w:szCs w:val="24"/>
        </w:rPr>
        <w:t>s</w:t>
      </w:r>
      <w:r w:rsidRPr="004246B0">
        <w:rPr>
          <w:rFonts w:ascii="Garamond" w:hAnsi="Garamond"/>
          <w:sz w:val="24"/>
          <w:szCs w:val="24"/>
        </w:rPr>
        <w:t xml:space="preserve"> for citrus was already established amongst the general public prior to the Outspan boycott, there was no comparable appetite for white migration (only 1500-2000 Dutch emigrated per annum). The BOA had to stoke the embers of anticipation for a new action. Articles were published in the liberal press that were suggestive of a unique impending action from the organization previously known for boycotting citrus. On March 7th 1975 the NOVIB newspaper, </w:t>
      </w:r>
      <w:r w:rsidRPr="004246B0">
        <w:rPr>
          <w:rFonts w:ascii="Garamond" w:hAnsi="Garamond"/>
          <w:i/>
          <w:sz w:val="24"/>
          <w:szCs w:val="24"/>
        </w:rPr>
        <w:t>Onze Wereld</w:t>
      </w:r>
      <w:r w:rsidRPr="004246B0">
        <w:rPr>
          <w:rFonts w:ascii="Garamond" w:hAnsi="Garamond"/>
          <w:sz w:val="24"/>
          <w:szCs w:val="24"/>
        </w:rPr>
        <w:t xml:space="preserve"> (</w:t>
      </w:r>
      <w:r w:rsidRPr="004246B0">
        <w:rPr>
          <w:rFonts w:ascii="Garamond" w:hAnsi="Garamond"/>
          <w:i/>
          <w:sz w:val="24"/>
          <w:szCs w:val="24"/>
        </w:rPr>
        <w:t>Our World</w:t>
      </w:r>
      <w:r w:rsidRPr="004246B0">
        <w:rPr>
          <w:rFonts w:ascii="Garamond" w:hAnsi="Garamond"/>
          <w:sz w:val="24"/>
          <w:szCs w:val="24"/>
        </w:rPr>
        <w:t>) published a double page spread on the BOA's new direction. The article began with a direct quote from du Plessis:</w:t>
      </w:r>
    </w:p>
    <w:p w:rsidR="003F4A98" w:rsidRPr="004246B0" w:rsidRDefault="003F4A98" w:rsidP="003F4A98">
      <w:pPr>
        <w:spacing w:line="360" w:lineRule="auto"/>
        <w:ind w:left="284" w:right="284"/>
        <w:jc w:val="both"/>
        <w:rPr>
          <w:rFonts w:ascii="Garamond" w:hAnsi="Garamond"/>
        </w:rPr>
      </w:pPr>
      <w:r w:rsidRPr="004246B0">
        <w:rPr>
          <w:rFonts w:ascii="Garamond" w:hAnsi="Garamond"/>
        </w:rPr>
        <w:t>Outspan Action promotes discussion about apartheid...</w:t>
      </w:r>
    </w:p>
    <w:p w:rsidR="003F4A98" w:rsidRPr="004246B0" w:rsidRDefault="003F4A98" w:rsidP="003F4A98">
      <w:pPr>
        <w:spacing w:line="360" w:lineRule="auto"/>
        <w:ind w:left="284" w:right="284"/>
        <w:jc w:val="both"/>
        <w:rPr>
          <w:rFonts w:ascii="Garamond" w:hAnsi="Garamond"/>
        </w:rPr>
      </w:pPr>
      <w:r w:rsidRPr="004246B0">
        <w:rPr>
          <w:rFonts w:ascii="Garamond" w:hAnsi="Garamond"/>
        </w:rPr>
        <w:t>Boycott Outspan Action are more than a consumer action group. We focus not only on consumers but also businesses. We will carry out a large action against emigration to South Africa this year. Also, I want to be equally clear that the BOA does not only perform actions against South African oranges, but spreads plenty of other information about the propaganda of apartheid," says Esau du Plessis, a South African resident in The Netherlands, and leader of BOA</w:t>
      </w:r>
      <w:r w:rsidR="003C311C">
        <w:rPr>
          <w:rFonts w:ascii="Garamond" w:hAnsi="Garamond"/>
        </w:rPr>
        <w:t>. (Translated from Dutch)</w:t>
      </w:r>
    </w:p>
    <w:p w:rsidR="003C311C" w:rsidRDefault="003F4A98" w:rsidP="003C311C">
      <w:pPr>
        <w:spacing w:after="0" w:line="360" w:lineRule="auto"/>
        <w:jc w:val="both"/>
        <w:rPr>
          <w:rFonts w:ascii="Garamond" w:hAnsi="Garamond"/>
          <w:sz w:val="24"/>
          <w:szCs w:val="24"/>
        </w:rPr>
      </w:pPr>
      <w:r w:rsidRPr="004246B0">
        <w:rPr>
          <w:rFonts w:ascii="Garamond" w:hAnsi="Garamond"/>
          <w:sz w:val="24"/>
          <w:szCs w:val="24"/>
        </w:rPr>
        <w:t xml:space="preserve">A few days later, on the morning preceding the BOA's night of action in The Hague, several liberal dailies (including </w:t>
      </w:r>
      <w:r w:rsidRPr="004246B0">
        <w:rPr>
          <w:rFonts w:ascii="Garamond" w:hAnsi="Garamond"/>
          <w:i/>
          <w:sz w:val="24"/>
          <w:szCs w:val="24"/>
        </w:rPr>
        <w:t>Trouw</w:t>
      </w:r>
      <w:r w:rsidRPr="004246B0">
        <w:rPr>
          <w:rFonts w:ascii="Garamond" w:hAnsi="Garamond"/>
          <w:sz w:val="24"/>
          <w:szCs w:val="24"/>
        </w:rPr>
        <w:t xml:space="preserve">, </w:t>
      </w:r>
      <w:r w:rsidRPr="004246B0">
        <w:rPr>
          <w:rFonts w:ascii="Garamond" w:hAnsi="Garamond"/>
          <w:i/>
          <w:sz w:val="24"/>
          <w:szCs w:val="24"/>
        </w:rPr>
        <w:t>NRC</w:t>
      </w:r>
      <w:r w:rsidRPr="004246B0">
        <w:rPr>
          <w:rFonts w:ascii="Garamond" w:hAnsi="Garamond"/>
          <w:sz w:val="24"/>
          <w:szCs w:val="24"/>
        </w:rPr>
        <w:t xml:space="preserve"> and </w:t>
      </w:r>
      <w:r w:rsidRPr="004246B0">
        <w:rPr>
          <w:rFonts w:ascii="Garamond" w:hAnsi="Garamond"/>
          <w:i/>
          <w:sz w:val="24"/>
          <w:szCs w:val="24"/>
        </w:rPr>
        <w:t>De Nieuwe Linie</w:t>
      </w:r>
      <w:r w:rsidRPr="004246B0">
        <w:rPr>
          <w:rFonts w:ascii="Garamond" w:hAnsi="Garamond"/>
          <w:sz w:val="24"/>
          <w:szCs w:val="24"/>
        </w:rPr>
        <w:t>)</w:t>
      </w:r>
      <w:r w:rsidRPr="004246B0">
        <w:rPr>
          <w:rFonts w:ascii="Garamond" w:hAnsi="Garamond"/>
          <w:i/>
          <w:sz w:val="24"/>
          <w:szCs w:val="24"/>
        </w:rPr>
        <w:t xml:space="preserve"> </w:t>
      </w:r>
      <w:r w:rsidRPr="004246B0">
        <w:rPr>
          <w:rFonts w:ascii="Garamond" w:hAnsi="Garamond"/>
          <w:sz w:val="24"/>
          <w:szCs w:val="24"/>
        </w:rPr>
        <w:t xml:space="preserve">included articles on the </w:t>
      </w:r>
      <w:r w:rsidRPr="004246B0">
        <w:rPr>
          <w:rFonts w:ascii="Garamond" w:hAnsi="Garamond"/>
          <w:sz w:val="24"/>
          <w:szCs w:val="24"/>
        </w:rPr>
        <w:lastRenderedPageBreak/>
        <w:t xml:space="preserve">BOA's role in a wider transnational anti-emigration movement. As a whole, these pieces articulated the BOA's argument against white migration to South Africa, and they pointed to the release of the transnational publication </w:t>
      </w:r>
      <w:r w:rsidRPr="004246B0">
        <w:rPr>
          <w:rFonts w:ascii="Garamond" w:hAnsi="Garamond"/>
          <w:i/>
          <w:sz w:val="24"/>
          <w:szCs w:val="24"/>
        </w:rPr>
        <w:t>White Migration to Southern Africa</w:t>
      </w:r>
      <w:r w:rsidRPr="004246B0">
        <w:rPr>
          <w:rFonts w:ascii="Garamond" w:hAnsi="Garamond"/>
          <w:sz w:val="24"/>
          <w:szCs w:val="24"/>
        </w:rPr>
        <w:t>.</w:t>
      </w:r>
      <w:r w:rsidRPr="004246B0">
        <w:rPr>
          <w:rFonts w:ascii="Garamond" w:hAnsi="Garamond"/>
          <w:i/>
          <w:sz w:val="24"/>
          <w:szCs w:val="24"/>
        </w:rPr>
        <w:t xml:space="preserve"> </w:t>
      </w:r>
      <w:r w:rsidRPr="004246B0">
        <w:rPr>
          <w:rFonts w:ascii="Garamond" w:hAnsi="Garamond"/>
          <w:sz w:val="24"/>
          <w:szCs w:val="24"/>
        </w:rPr>
        <w:t>Trouw's Harm Lamberts wrote a 1500 word article headlined, "Emigration means support to apartheid South Africa"</w:t>
      </w:r>
      <w:r w:rsidRPr="004246B0">
        <w:rPr>
          <w:rStyle w:val="FootnoteReference"/>
          <w:rFonts w:ascii="Garamond" w:hAnsi="Garamond"/>
          <w:sz w:val="24"/>
          <w:szCs w:val="24"/>
        </w:rPr>
        <w:footnoteReference w:id="182"/>
      </w:r>
      <w:r w:rsidRPr="004246B0">
        <w:rPr>
          <w:rFonts w:ascii="Garamond" w:hAnsi="Garamond"/>
          <w:sz w:val="24"/>
          <w:szCs w:val="24"/>
        </w:rPr>
        <w:t xml:space="preserve"> and the NRC led with "More European whites to South Africa".</w:t>
      </w:r>
      <w:r w:rsidRPr="004246B0">
        <w:rPr>
          <w:rStyle w:val="FootnoteReference"/>
          <w:rFonts w:ascii="Garamond" w:hAnsi="Garamond"/>
        </w:rPr>
        <w:footnoteReference w:id="183"/>
      </w:r>
      <w:r w:rsidRPr="004246B0">
        <w:rPr>
          <w:rFonts w:ascii="Garamond" w:hAnsi="Garamond"/>
          <w:sz w:val="24"/>
          <w:szCs w:val="24"/>
        </w:rPr>
        <w:t xml:space="preserve"> The New Line went a little further in whetting a public appetite for impending actions: </w:t>
      </w:r>
    </w:p>
    <w:p w:rsidR="003F4A98" w:rsidRPr="004246B0" w:rsidRDefault="003F4A98" w:rsidP="003C311C">
      <w:pPr>
        <w:spacing w:after="0" w:line="360" w:lineRule="auto"/>
        <w:jc w:val="both"/>
        <w:rPr>
          <w:rFonts w:ascii="Garamond" w:hAnsi="Garamond"/>
          <w:sz w:val="24"/>
          <w:szCs w:val="24"/>
        </w:rPr>
      </w:pPr>
    </w:p>
    <w:p w:rsidR="003F4A98" w:rsidRPr="004246B0" w:rsidRDefault="003F4A98" w:rsidP="003C311C">
      <w:pPr>
        <w:spacing w:line="360" w:lineRule="auto"/>
        <w:ind w:left="284" w:right="284"/>
        <w:jc w:val="both"/>
        <w:rPr>
          <w:rFonts w:ascii="Garamond" w:hAnsi="Garamond"/>
        </w:rPr>
      </w:pPr>
      <w:r w:rsidRPr="004246B0">
        <w:rPr>
          <w:rFonts w:ascii="Garamond" w:hAnsi="Garamond"/>
          <w:i/>
        </w:rPr>
        <w:t>De Nieuwe Linie</w:t>
      </w:r>
      <w:r w:rsidRPr="004246B0">
        <w:rPr>
          <w:rFonts w:ascii="Garamond" w:hAnsi="Garamond"/>
        </w:rPr>
        <w:t xml:space="preserve"> </w:t>
      </w:r>
      <w:r w:rsidRPr="004246B0">
        <w:rPr>
          <w:rFonts w:ascii="Garamond" w:hAnsi="Garamond"/>
          <w:i/>
        </w:rPr>
        <w:t>(The New Line)</w:t>
      </w:r>
      <w:r w:rsidRPr="004246B0">
        <w:rPr>
          <w:rFonts w:ascii="Garamond" w:hAnsi="Garamond"/>
        </w:rPr>
        <w:t xml:space="preserve"> 19th March, 1975</w:t>
      </w:r>
    </w:p>
    <w:p w:rsidR="003F4A98" w:rsidRPr="004246B0" w:rsidRDefault="003F4A98" w:rsidP="003C311C">
      <w:pPr>
        <w:spacing w:line="360" w:lineRule="auto"/>
        <w:ind w:left="284" w:right="284"/>
        <w:jc w:val="both"/>
        <w:rPr>
          <w:rFonts w:ascii="Garamond" w:hAnsi="Garamond"/>
          <w:u w:val="single"/>
        </w:rPr>
      </w:pPr>
      <w:r w:rsidRPr="004246B0">
        <w:rPr>
          <w:rFonts w:ascii="Garamond" w:hAnsi="Garamond"/>
        </w:rPr>
        <w:t>Large-scale actions against emigration to South Africa.</w:t>
      </w:r>
    </w:p>
    <w:p w:rsidR="003C311C" w:rsidRDefault="003F4A98" w:rsidP="003C311C">
      <w:pPr>
        <w:spacing w:line="360" w:lineRule="auto"/>
        <w:ind w:left="284" w:right="284"/>
        <w:jc w:val="both"/>
        <w:rPr>
          <w:rFonts w:ascii="Garamond" w:hAnsi="Garamond"/>
        </w:rPr>
      </w:pPr>
      <w:r w:rsidRPr="004246B0">
        <w:rPr>
          <w:rFonts w:ascii="Garamond" w:hAnsi="Garamond"/>
        </w:rPr>
        <w:t>The week of pretence by Dutch activists has now gone, now a unique action is being launched. The campaign has been coordinated across seven countries (Belgium, Germany, Great Britain, Ireland, Holland, Italy, Portugal). In our country the major action for the campaign is being handled by the BOA.</w:t>
      </w:r>
    </w:p>
    <w:p w:rsidR="003F4A98" w:rsidRPr="004246B0" w:rsidRDefault="003F4A98" w:rsidP="003C311C">
      <w:pPr>
        <w:spacing w:after="0" w:line="360" w:lineRule="auto"/>
        <w:ind w:left="284" w:right="284"/>
        <w:jc w:val="both"/>
        <w:rPr>
          <w:rFonts w:ascii="Garamond" w:hAnsi="Garamond"/>
        </w:rPr>
      </w:pPr>
    </w:p>
    <w:p w:rsidR="003C311C" w:rsidRDefault="003F4A98" w:rsidP="003C311C">
      <w:pPr>
        <w:spacing w:after="0" w:line="360" w:lineRule="auto"/>
        <w:jc w:val="both"/>
        <w:rPr>
          <w:rFonts w:ascii="Garamond" w:hAnsi="Garamond"/>
          <w:sz w:val="24"/>
          <w:szCs w:val="24"/>
        </w:rPr>
      </w:pPr>
      <w:r w:rsidRPr="004246B0">
        <w:rPr>
          <w:rFonts w:ascii="Garamond" w:hAnsi="Garamond"/>
          <w:sz w:val="24"/>
          <w:szCs w:val="24"/>
        </w:rPr>
        <w:t xml:space="preserve">The degree of cooperation between the BOA and the liberal press over the anti-emigration campaign is evidenced by the omission of any information on the proposed action taken by the BOA, and by the reproduction of the BOA's anti-emigration materials before their public release during the press conference on the March 21st. Under a veil of secrecy, the organization primed their colleagues and </w:t>
      </w:r>
      <w:r>
        <w:rPr>
          <w:rFonts w:ascii="Garamond" w:hAnsi="Garamond"/>
          <w:sz w:val="24"/>
          <w:szCs w:val="24"/>
        </w:rPr>
        <w:t>sympathiz</w:t>
      </w:r>
      <w:r w:rsidRPr="004246B0">
        <w:rPr>
          <w:rFonts w:ascii="Garamond" w:hAnsi="Garamond"/>
          <w:sz w:val="24"/>
          <w:szCs w:val="24"/>
        </w:rPr>
        <w:t>ers in the media to be ready to document a performative anti-apartheid intervention outside the South African embassy in The Hague, followed by a news conference at The Nieuwsp</w:t>
      </w:r>
      <w:r w:rsidR="00353742">
        <w:rPr>
          <w:rFonts w:ascii="Garamond" w:hAnsi="Garamond"/>
          <w:sz w:val="24"/>
          <w:szCs w:val="24"/>
        </w:rPr>
        <w:t>o</w:t>
      </w:r>
      <w:r w:rsidRPr="004246B0">
        <w:rPr>
          <w:rFonts w:ascii="Garamond" w:hAnsi="Garamond"/>
          <w:sz w:val="24"/>
          <w:szCs w:val="24"/>
        </w:rPr>
        <w:t>ort International Press Centre:</w:t>
      </w:r>
    </w:p>
    <w:p w:rsidR="003F4A98" w:rsidRPr="004246B0" w:rsidRDefault="003F4A98" w:rsidP="003C311C">
      <w:pPr>
        <w:spacing w:after="0" w:line="360" w:lineRule="auto"/>
        <w:jc w:val="both"/>
        <w:rPr>
          <w:rFonts w:ascii="Garamond" w:hAnsi="Garamond"/>
          <w:sz w:val="24"/>
          <w:szCs w:val="24"/>
        </w:rPr>
      </w:pPr>
    </w:p>
    <w:p w:rsidR="003F4A98" w:rsidRPr="004246B0" w:rsidRDefault="003F4A98" w:rsidP="003C311C">
      <w:pPr>
        <w:spacing w:line="360" w:lineRule="auto"/>
        <w:ind w:left="284" w:right="284"/>
        <w:jc w:val="both"/>
        <w:rPr>
          <w:rFonts w:ascii="Garamond" w:hAnsi="Garamond"/>
        </w:rPr>
      </w:pPr>
      <w:r>
        <w:rPr>
          <w:rFonts w:ascii="Garamond" w:hAnsi="Garamond"/>
        </w:rPr>
        <w:t>ESAU</w:t>
      </w:r>
      <w:r w:rsidRPr="004246B0">
        <w:rPr>
          <w:rFonts w:ascii="Garamond" w:hAnsi="Garamond"/>
        </w:rPr>
        <w:t xml:space="preserve">: Of course the anti-emigration campaign was less tangible than the Outspan campaign, and we tried to make it as concrete as possible. So, on the 21st of March we conducted the campaign on the South African embassy in The Hague. In the middle of the night of the 19/20th we chained the gates of the embassy so nobody could get in or out. We surprised everybody, but in the meantime, I secretly called ten trusted journalists before the action from a public telephone (not from the BOA office - I was afraid that the embassy might listen to our telephone conversation). The embassy must have called the police because we saw people looking through the windows of the embassy. The police arrived and very indignantly said to a television journalist, 'how did you know that there </w:t>
      </w:r>
      <w:r w:rsidRPr="004246B0">
        <w:rPr>
          <w:rFonts w:ascii="Garamond" w:hAnsi="Garamond"/>
        </w:rPr>
        <w:lastRenderedPageBreak/>
        <w:t xml:space="preserve">was an action happening here'. And the journalist replied, 'if you drive through The Hague you see things happening' (laughs). We all found that very funny. Three law students from the Dutch Jurist Committee for Human Rights (the NJCM) were tied to the embassy gate in grey suits, white shirts and ties. They held up a sign saying 'Don't emigrate to South Africa - it is perilous'. And there they were, they couldn't get loose until the police cut them free. </w:t>
      </w:r>
      <w:r w:rsidRPr="004246B0">
        <w:rPr>
          <w:rStyle w:val="hps"/>
          <w:rFonts w:ascii="Garamond" w:hAnsi="Garamond"/>
        </w:rPr>
        <w:t xml:space="preserve">On another board that we chained to the embassy gates, we said, 'Danger - do not migrate to South Africa. Talk to black South Africa. Call the BOA in Leiden - phone 071-42124'. </w:t>
      </w:r>
      <w:r w:rsidRPr="004246B0">
        <w:rPr>
          <w:rFonts w:ascii="Garamond" w:hAnsi="Garamond"/>
        </w:rPr>
        <w:t>Following this at 11AM at the Nieuwsp</w:t>
      </w:r>
      <w:r w:rsidR="00353742">
        <w:rPr>
          <w:rFonts w:ascii="Garamond" w:hAnsi="Garamond"/>
        </w:rPr>
        <w:t>o</w:t>
      </w:r>
      <w:r w:rsidRPr="004246B0">
        <w:rPr>
          <w:rFonts w:ascii="Garamond" w:hAnsi="Garamond"/>
        </w:rPr>
        <w:t>ort International News Centre in The Hague, we held our press conference. By that time we had everything ready. All of our materials, our documents and our arguments. We had lots of things to communicate, the embassy received a lot of attention so the journalists were stimulated. The radio, written press and television were all present.</w:t>
      </w:r>
    </w:p>
    <w:p w:rsidR="003F4A98" w:rsidRPr="004246B0" w:rsidRDefault="003F4A98" w:rsidP="003C311C">
      <w:pPr>
        <w:spacing w:line="360" w:lineRule="auto"/>
        <w:ind w:left="284" w:right="284"/>
        <w:jc w:val="both"/>
        <w:rPr>
          <w:rFonts w:ascii="Garamond" w:hAnsi="Garamond"/>
        </w:rPr>
      </w:pPr>
      <w:r>
        <w:rPr>
          <w:rFonts w:ascii="Garamond" w:hAnsi="Garamond"/>
        </w:rPr>
        <w:t>HUGH</w:t>
      </w:r>
      <w:r w:rsidRPr="004246B0">
        <w:rPr>
          <w:rFonts w:ascii="Garamond" w:hAnsi="Garamond"/>
        </w:rPr>
        <w:t>: What did you say at the press conference?</w:t>
      </w:r>
    </w:p>
    <w:p w:rsidR="003C311C" w:rsidRDefault="003F4A98" w:rsidP="003C311C">
      <w:pPr>
        <w:spacing w:line="360" w:lineRule="auto"/>
        <w:ind w:left="284" w:right="284"/>
        <w:jc w:val="both"/>
        <w:rPr>
          <w:rStyle w:val="hps"/>
        </w:rPr>
      </w:pPr>
      <w:r>
        <w:rPr>
          <w:rFonts w:ascii="Garamond" w:hAnsi="Garamond"/>
        </w:rPr>
        <w:t>ESAU</w:t>
      </w:r>
      <w:r w:rsidRPr="004246B0">
        <w:rPr>
          <w:rFonts w:ascii="Garamond" w:hAnsi="Garamond"/>
        </w:rPr>
        <w:t xml:space="preserve">: </w:t>
      </w:r>
      <w:r w:rsidRPr="004246B0">
        <w:rPr>
          <w:rStyle w:val="hps"/>
          <w:rFonts w:ascii="Garamond" w:hAnsi="Garamond"/>
        </w:rPr>
        <w:t xml:space="preserve">We requested a halt of all emigration to South Africa and a ban for all pro-apartheid propaganda </w:t>
      </w:r>
      <w:r w:rsidRPr="003C311C">
        <w:rPr>
          <w:rStyle w:val="hps"/>
          <w:rFonts w:ascii="Garamond" w:hAnsi="Garamond"/>
        </w:rPr>
        <w:t>and advertisements in newspapers and the media. And we asked the public to begin actions against emigration</w:t>
      </w:r>
      <w:r w:rsidRPr="003C311C">
        <w:rPr>
          <w:rStyle w:val="hps"/>
          <w:rFonts w:ascii="Garamond" w:hAnsi="Garamond"/>
          <w:szCs w:val="24"/>
        </w:rPr>
        <w:t>.</w:t>
      </w:r>
      <w:r w:rsidR="003C311C" w:rsidRPr="003C311C">
        <w:rPr>
          <w:rStyle w:val="hps"/>
          <w:rFonts w:ascii="Garamond" w:hAnsi="Garamond"/>
          <w:szCs w:val="24"/>
        </w:rPr>
        <w:t xml:space="preserve"> </w:t>
      </w:r>
    </w:p>
    <w:p w:rsidR="003C311C" w:rsidRPr="003C311C" w:rsidRDefault="003C311C" w:rsidP="003C311C">
      <w:pPr>
        <w:spacing w:line="360" w:lineRule="auto"/>
        <w:ind w:left="284" w:right="284"/>
        <w:jc w:val="both"/>
        <w:rPr>
          <w:rStyle w:val="hps"/>
        </w:rPr>
      </w:pPr>
      <w:r w:rsidRPr="003C311C">
        <w:rPr>
          <w:rStyle w:val="hps"/>
          <w:rFonts w:ascii="Garamond" w:hAnsi="Garamond"/>
          <w:szCs w:val="24"/>
        </w:rPr>
        <w:t>(Interview du Plessis 2012)</w:t>
      </w:r>
    </w:p>
    <w:p w:rsidR="003F4A98" w:rsidRPr="004246B0" w:rsidRDefault="003F4A98" w:rsidP="003C311C">
      <w:pPr>
        <w:spacing w:after="0" w:line="360" w:lineRule="auto"/>
        <w:ind w:left="284" w:right="284"/>
        <w:jc w:val="both"/>
        <w:rPr>
          <w:rFonts w:ascii="Garamond" w:hAnsi="Garamond"/>
        </w:rPr>
      </w:pPr>
    </w:p>
    <w:p w:rsidR="007E10FB" w:rsidRDefault="003F4A98" w:rsidP="007E10FB">
      <w:pPr>
        <w:spacing w:line="360" w:lineRule="auto"/>
        <w:jc w:val="both"/>
        <w:rPr>
          <w:rStyle w:val="hps"/>
        </w:rPr>
      </w:pPr>
      <w:r w:rsidRPr="004246B0">
        <w:rPr>
          <w:rFonts w:ascii="Garamond" w:hAnsi="Garamond"/>
          <w:sz w:val="24"/>
          <w:szCs w:val="24"/>
        </w:rPr>
        <w:t>The campaign became big news. From March 20</w:t>
      </w:r>
      <w:r w:rsidRPr="004246B0">
        <w:rPr>
          <w:rFonts w:ascii="Garamond" w:hAnsi="Garamond"/>
          <w:sz w:val="24"/>
          <w:szCs w:val="24"/>
          <w:vertAlign w:val="superscript"/>
        </w:rPr>
        <w:t>th</w:t>
      </w:r>
      <w:r w:rsidRPr="004246B0">
        <w:rPr>
          <w:rFonts w:ascii="Garamond" w:hAnsi="Garamond"/>
          <w:sz w:val="24"/>
          <w:szCs w:val="24"/>
        </w:rPr>
        <w:t>, regional and national newspapers across Holland carried a variety of headlines (utilizing the BOA's educational materials) to single and double page articles on the BOA's activities ou</w:t>
      </w:r>
      <w:r w:rsidR="007E10FB">
        <w:rPr>
          <w:rFonts w:ascii="Garamond" w:hAnsi="Garamond"/>
          <w:sz w:val="24"/>
          <w:szCs w:val="24"/>
        </w:rPr>
        <w:t xml:space="preserve">tside the South African embassy. </w:t>
      </w:r>
      <w:r w:rsidR="007E10FB" w:rsidRPr="004246B0">
        <w:rPr>
          <w:rFonts w:ascii="Garamond" w:hAnsi="Garamond"/>
          <w:sz w:val="24"/>
          <w:szCs w:val="24"/>
        </w:rPr>
        <w:t xml:space="preserve">Most of the articles on the 20th provided a photograph of a policeman pointing to the BOA's sign chained to the embassy gates. Inset text accompanying the photograph carried the BOA's message to readers: "Warning! Migration to South Africa is perilous. Talk to black South Africa first. </w:t>
      </w:r>
      <w:r w:rsidR="007E10FB" w:rsidRPr="004246B0">
        <w:rPr>
          <w:rStyle w:val="hps"/>
          <w:rFonts w:ascii="Garamond" w:hAnsi="Garamond"/>
          <w:sz w:val="24"/>
          <w:szCs w:val="24"/>
        </w:rPr>
        <w:t>Call the BOA in Leiden - phone 071-42124". The appeal worked; after reading about BOA action in The Hague, members of the public contacted the BOA: "many called us and some came to our office to talk extensively. We sent them the inf</w:t>
      </w:r>
      <w:r w:rsidR="007E10FB">
        <w:rPr>
          <w:rStyle w:val="hps"/>
          <w:rFonts w:ascii="Garamond" w:hAnsi="Garamond"/>
          <w:sz w:val="24"/>
          <w:szCs w:val="24"/>
        </w:rPr>
        <w:t>ormation" (Interview du Plessis</w:t>
      </w:r>
      <w:r w:rsidR="007E10FB" w:rsidRPr="004246B0">
        <w:rPr>
          <w:rStyle w:val="hps"/>
          <w:rFonts w:ascii="Garamond" w:hAnsi="Garamond"/>
          <w:sz w:val="24"/>
          <w:szCs w:val="24"/>
        </w:rPr>
        <w:t xml:space="preserve"> 2013).</w:t>
      </w:r>
    </w:p>
    <w:p w:rsidR="003C311C" w:rsidRDefault="003C311C" w:rsidP="003C311C">
      <w:pPr>
        <w:autoSpaceDE w:val="0"/>
        <w:autoSpaceDN w:val="0"/>
        <w:adjustRightInd w:val="0"/>
        <w:spacing w:after="0" w:line="360" w:lineRule="auto"/>
        <w:jc w:val="both"/>
        <w:rPr>
          <w:rFonts w:ascii="Garamond" w:hAnsi="Garamond"/>
          <w:sz w:val="24"/>
          <w:szCs w:val="24"/>
        </w:rPr>
      </w:pPr>
    </w:p>
    <w:p w:rsidR="003C311C" w:rsidRDefault="003C311C" w:rsidP="003C311C">
      <w:pPr>
        <w:autoSpaceDE w:val="0"/>
        <w:autoSpaceDN w:val="0"/>
        <w:adjustRightInd w:val="0"/>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376"/>
        <w:gridCol w:w="4140"/>
      </w:tblGrid>
      <w:tr w:rsidR="003C311C">
        <w:tc>
          <w:tcPr>
            <w:tcW w:w="4258" w:type="dxa"/>
          </w:tcPr>
          <w:p w:rsidR="003C311C" w:rsidRPr="003C311C" w:rsidRDefault="003C311C" w:rsidP="003C311C">
            <w:pPr>
              <w:autoSpaceDE w:val="0"/>
              <w:autoSpaceDN w:val="0"/>
              <w:adjustRightInd w:val="0"/>
              <w:spacing w:after="0" w:line="360" w:lineRule="auto"/>
              <w:jc w:val="both"/>
              <w:rPr>
                <w:rFonts w:ascii="Garamond" w:hAnsi="Garamond"/>
                <w:sz w:val="24"/>
                <w:szCs w:val="24"/>
              </w:rPr>
            </w:pPr>
            <w:r w:rsidRPr="003C311C">
              <w:rPr>
                <w:rFonts w:ascii="Garamond" w:hAnsi="Garamond"/>
                <w:noProof/>
                <w:sz w:val="24"/>
                <w:szCs w:val="24"/>
                <w:lang w:eastAsia="en-GB"/>
              </w:rPr>
              <w:lastRenderedPageBreak/>
              <w:drawing>
                <wp:inline distT="0" distB="0" distL="0" distR="0">
                  <wp:extent cx="2604883" cy="3835400"/>
                  <wp:effectExtent l="25400" t="0" r="11317" b="0"/>
                  <wp:docPr id="137" name="Picture 1" descr="C:\Users\hugh crosfield\Desktop\ANTI-EMIGRATE AKTIE PLAKBOEK Nr 1\AEA PlakBoek pg 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ANTI-EMIGRATE AKTIE PLAKBOEK Nr 1\AEA PlakBoek pg 02.tif"/>
                          <pic:cNvPicPr>
                            <a:picLocks noChangeAspect="1" noChangeArrowheads="1"/>
                          </pic:cNvPicPr>
                        </pic:nvPicPr>
                        <pic:blipFill>
                          <a:blip r:embed="rId113" cstate="print"/>
                          <a:srcRect/>
                          <a:stretch>
                            <a:fillRect/>
                          </a:stretch>
                        </pic:blipFill>
                        <pic:spPr bwMode="auto">
                          <a:xfrm>
                            <a:off x="0" y="0"/>
                            <a:ext cx="2609632" cy="3842393"/>
                          </a:xfrm>
                          <a:prstGeom prst="rect">
                            <a:avLst/>
                          </a:prstGeom>
                          <a:noFill/>
                          <a:ln w="9525">
                            <a:noFill/>
                            <a:miter lim="800000"/>
                            <a:headEnd/>
                            <a:tailEnd/>
                          </a:ln>
                        </pic:spPr>
                      </pic:pic>
                    </a:graphicData>
                  </a:graphic>
                </wp:inline>
              </w:drawing>
            </w:r>
          </w:p>
        </w:tc>
        <w:tc>
          <w:tcPr>
            <w:tcW w:w="4258" w:type="dxa"/>
          </w:tcPr>
          <w:p w:rsidR="00031E7C" w:rsidRDefault="003C311C" w:rsidP="003C311C">
            <w:pPr>
              <w:pStyle w:val="Caption"/>
              <w:jc w:val="both"/>
              <w:rPr>
                <w:rFonts w:ascii="Perpetua" w:hAnsi="Perpetua"/>
                <w:b w:val="0"/>
                <w:color w:val="auto"/>
                <w:sz w:val="20"/>
              </w:rPr>
            </w:pPr>
            <w:bookmarkStart w:id="733" w:name="_Toc263509066"/>
            <w:bookmarkStart w:id="734" w:name="_Toc263510853"/>
            <w:bookmarkStart w:id="735" w:name="_Toc244577331"/>
            <w:bookmarkStart w:id="736" w:name="_Toc263495800"/>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69</w:t>
            </w:r>
            <w:r w:rsidR="00DF2DF8" w:rsidRPr="00031E7C">
              <w:rPr>
                <w:rFonts w:ascii="Perpetua" w:hAnsi="Perpetua"/>
                <w:b w:val="0"/>
                <w:color w:val="auto"/>
                <w:sz w:val="20"/>
              </w:rPr>
              <w:fldChar w:fldCharType="end"/>
            </w:r>
            <w:r w:rsidRPr="00031E7C">
              <w:rPr>
                <w:rFonts w:ascii="Perpetua" w:hAnsi="Perpetua"/>
                <w:b w:val="0"/>
                <w:color w:val="auto"/>
                <w:sz w:val="20"/>
              </w:rPr>
              <w:t>:</w:t>
            </w:r>
            <w:r w:rsidRPr="003C311C">
              <w:rPr>
                <w:rFonts w:ascii="Perpetua" w:hAnsi="Perpetua"/>
                <w:b w:val="0"/>
                <w:color w:val="auto"/>
                <w:sz w:val="20"/>
              </w:rPr>
              <w:t xml:space="preserve"> </w:t>
            </w:r>
            <w:r w:rsidR="00031E7C">
              <w:rPr>
                <w:rFonts w:ascii="Perpetua" w:hAnsi="Perpetua"/>
                <w:b w:val="0"/>
                <w:color w:val="auto"/>
                <w:sz w:val="20"/>
              </w:rPr>
              <w:t xml:space="preserve">Photograph of article from </w:t>
            </w:r>
            <w:r w:rsidRPr="00031E7C">
              <w:rPr>
                <w:rFonts w:ascii="Perpetua" w:hAnsi="Perpetua"/>
                <w:b w:val="0"/>
                <w:i/>
                <w:color w:val="auto"/>
                <w:sz w:val="20"/>
              </w:rPr>
              <w:t xml:space="preserve">The Hervormd Nederland </w:t>
            </w:r>
            <w:r w:rsidR="00031E7C">
              <w:rPr>
                <w:rFonts w:ascii="Perpetua" w:hAnsi="Perpetua"/>
                <w:b w:val="0"/>
                <w:color w:val="auto"/>
                <w:sz w:val="20"/>
              </w:rPr>
              <w:t>(The Reformed Netherlands), 22</w:t>
            </w:r>
            <w:r w:rsidRPr="003C311C">
              <w:rPr>
                <w:rFonts w:ascii="Perpetua" w:hAnsi="Perpetua"/>
                <w:b w:val="0"/>
                <w:color w:val="auto"/>
                <w:sz w:val="20"/>
              </w:rPr>
              <w:t xml:space="preserve"> March 1975.</w:t>
            </w:r>
            <w:bookmarkEnd w:id="733"/>
            <w:bookmarkEnd w:id="734"/>
            <w:r w:rsidRPr="003C311C">
              <w:rPr>
                <w:rFonts w:ascii="Perpetua" w:hAnsi="Perpetua"/>
                <w:b w:val="0"/>
                <w:color w:val="auto"/>
                <w:sz w:val="20"/>
              </w:rPr>
              <w:t xml:space="preserve">  </w:t>
            </w:r>
          </w:p>
          <w:p w:rsidR="003C311C" w:rsidRPr="00031E7C" w:rsidRDefault="003C311C" w:rsidP="00031E7C">
            <w:pPr>
              <w:rPr>
                <w:rFonts w:ascii="Perpetua" w:hAnsi="Perpetua"/>
                <w:sz w:val="20"/>
              </w:rPr>
            </w:pPr>
            <w:r w:rsidRPr="00031E7C">
              <w:rPr>
                <w:rFonts w:ascii="Perpetua" w:hAnsi="Perpetua"/>
                <w:sz w:val="20"/>
              </w:rPr>
              <w:t>The headline of the national paper of the Dutch Reformed Church reads: "Emigration to South Africa: Is it in your best interests?" This is followed by: "Currently an action is being launched against emigration to South Africa. It is an international action, which has been brought to our country, and guided by the BOA. To mark this action is an English publication entitled: White Migration to Southern Africa. This book goes into great detail on the phenomenon of European emigration to South Africa. There are contributions from Belgium, Germany, Great Britain, Ireland, Italy, The Netherlands and Portugal. There is also a booklet issued by the BOA itself, written in Dutch, and intended for people who persuade people who are planning to emigrate to South Africa from doing so. The book is entitled: Emigration to South Africa: Is it in your best interests?" (Translated from Dutch).</w:t>
            </w:r>
            <w:bookmarkEnd w:id="735"/>
            <w:bookmarkEnd w:id="736"/>
          </w:p>
          <w:p w:rsidR="003C311C" w:rsidRDefault="003C311C" w:rsidP="003C311C">
            <w:pPr>
              <w:autoSpaceDE w:val="0"/>
              <w:autoSpaceDN w:val="0"/>
              <w:adjustRightInd w:val="0"/>
              <w:spacing w:after="0" w:line="360" w:lineRule="auto"/>
              <w:jc w:val="both"/>
              <w:rPr>
                <w:rFonts w:ascii="Garamond" w:hAnsi="Garamond"/>
                <w:sz w:val="24"/>
                <w:szCs w:val="24"/>
              </w:rPr>
            </w:pPr>
          </w:p>
        </w:tc>
      </w:tr>
    </w:tbl>
    <w:p w:rsidR="003F4A98" w:rsidRPr="004246B0" w:rsidRDefault="003F4A98" w:rsidP="00D05F40">
      <w:pPr>
        <w:autoSpaceDE w:val="0"/>
        <w:autoSpaceDN w:val="0"/>
        <w:adjustRightInd w:val="0"/>
        <w:spacing w:after="0" w:line="360" w:lineRule="auto"/>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96"/>
        <w:gridCol w:w="3630"/>
      </w:tblGrid>
      <w:tr w:rsidR="00D05F40">
        <w:tc>
          <w:tcPr>
            <w:tcW w:w="4275" w:type="dxa"/>
          </w:tcPr>
          <w:p w:rsidR="00D05F40" w:rsidRPr="00D05F40" w:rsidRDefault="00D05F40" w:rsidP="00D05F40">
            <w:pPr>
              <w:autoSpaceDE w:val="0"/>
              <w:autoSpaceDN w:val="0"/>
              <w:adjustRightInd w:val="0"/>
              <w:spacing w:after="0" w:line="360" w:lineRule="auto"/>
              <w:jc w:val="both"/>
              <w:rPr>
                <w:rFonts w:ascii="Garamond" w:hAnsi="Garamond"/>
                <w:i/>
              </w:rPr>
            </w:pPr>
            <w:r w:rsidRPr="00D05F40">
              <w:rPr>
                <w:rFonts w:ascii="Garamond" w:hAnsi="Garamond"/>
                <w:i/>
                <w:noProof/>
                <w:lang w:eastAsia="en-GB"/>
              </w:rPr>
              <w:drawing>
                <wp:inline distT="0" distB="0" distL="0" distR="0">
                  <wp:extent cx="2556331" cy="3429000"/>
                  <wp:effectExtent l="25400" t="0" r="9069" b="0"/>
                  <wp:docPr id="138" name="Picture 2" descr="C:\Users\hugh crosfield\Desktop\ANTI-EMIGRATE AKTIE PLAKBOEK Nr 1\AEA PlakBoek pg 07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gh crosfield\Desktop\ANTI-EMIGRATE AKTIE PLAKBOEK Nr 1\AEA PlakBoek pg 07 (2).tif"/>
                          <pic:cNvPicPr>
                            <a:picLocks noChangeAspect="1" noChangeArrowheads="1"/>
                          </pic:cNvPicPr>
                        </pic:nvPicPr>
                        <pic:blipFill>
                          <a:blip r:embed="rId114" cstate="print"/>
                          <a:srcRect/>
                          <a:stretch>
                            <a:fillRect/>
                          </a:stretch>
                        </pic:blipFill>
                        <pic:spPr bwMode="auto">
                          <a:xfrm>
                            <a:off x="0" y="0"/>
                            <a:ext cx="2564136" cy="3439469"/>
                          </a:xfrm>
                          <a:prstGeom prst="rect">
                            <a:avLst/>
                          </a:prstGeom>
                          <a:noFill/>
                          <a:ln w="9525">
                            <a:noFill/>
                            <a:miter lim="800000"/>
                            <a:headEnd/>
                            <a:tailEnd/>
                          </a:ln>
                        </pic:spPr>
                      </pic:pic>
                    </a:graphicData>
                  </a:graphic>
                </wp:inline>
              </w:drawing>
            </w:r>
          </w:p>
        </w:tc>
        <w:tc>
          <w:tcPr>
            <w:tcW w:w="3630" w:type="dxa"/>
          </w:tcPr>
          <w:p w:rsidR="00031E7C" w:rsidRDefault="00D05F40" w:rsidP="00D05F40">
            <w:pPr>
              <w:pStyle w:val="Caption"/>
              <w:jc w:val="both"/>
              <w:rPr>
                <w:rFonts w:ascii="Perpetua" w:hAnsi="Perpetua"/>
                <w:b w:val="0"/>
                <w:color w:val="auto"/>
                <w:sz w:val="20"/>
              </w:rPr>
            </w:pPr>
            <w:bookmarkStart w:id="737" w:name="_Toc263509067"/>
            <w:bookmarkStart w:id="738" w:name="_Toc263510854"/>
            <w:bookmarkStart w:id="739" w:name="_Toc244577332"/>
            <w:bookmarkStart w:id="740" w:name="_Toc263495801"/>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70</w:t>
            </w:r>
            <w:r w:rsidR="00DF2DF8" w:rsidRPr="00031E7C">
              <w:rPr>
                <w:rFonts w:ascii="Perpetua" w:hAnsi="Perpetua"/>
                <w:b w:val="0"/>
                <w:color w:val="auto"/>
                <w:sz w:val="20"/>
              </w:rPr>
              <w:fldChar w:fldCharType="end"/>
            </w:r>
            <w:r w:rsidRPr="00031E7C">
              <w:rPr>
                <w:rFonts w:ascii="Perpetua" w:hAnsi="Perpetua"/>
                <w:b w:val="0"/>
                <w:color w:val="auto"/>
                <w:sz w:val="20"/>
              </w:rPr>
              <w:t>:</w:t>
            </w:r>
            <w:r w:rsidR="00031E7C" w:rsidRPr="00031E7C">
              <w:rPr>
                <w:rFonts w:ascii="Perpetua" w:hAnsi="Perpetua"/>
                <w:b w:val="0"/>
                <w:color w:val="auto"/>
                <w:sz w:val="20"/>
              </w:rPr>
              <w:t xml:space="preserve"> Photograph of article from</w:t>
            </w:r>
            <w:r w:rsidRPr="00D05F40">
              <w:rPr>
                <w:rFonts w:ascii="Perpetua" w:hAnsi="Perpetua"/>
                <w:b w:val="0"/>
                <w:i/>
                <w:color w:val="auto"/>
                <w:sz w:val="20"/>
              </w:rPr>
              <w:t xml:space="preserve"> </w:t>
            </w:r>
            <w:r w:rsidRPr="00031E7C">
              <w:rPr>
                <w:rFonts w:ascii="Perpetua" w:hAnsi="Perpetua"/>
                <w:b w:val="0"/>
                <w:i/>
                <w:color w:val="auto"/>
                <w:sz w:val="20"/>
              </w:rPr>
              <w:t xml:space="preserve">De Volskrant </w:t>
            </w:r>
            <w:r w:rsidR="00031E7C">
              <w:rPr>
                <w:rFonts w:ascii="Perpetua" w:hAnsi="Perpetua"/>
                <w:b w:val="0"/>
                <w:color w:val="auto"/>
                <w:sz w:val="20"/>
              </w:rPr>
              <w:t xml:space="preserve">(The Peoples Paper), </w:t>
            </w:r>
            <w:r w:rsidRPr="00D05F40">
              <w:rPr>
                <w:rFonts w:ascii="Perpetua" w:hAnsi="Perpetua"/>
                <w:b w:val="0"/>
                <w:color w:val="auto"/>
                <w:sz w:val="20"/>
              </w:rPr>
              <w:t xml:space="preserve">20 </w:t>
            </w:r>
            <w:r w:rsidR="00031E7C">
              <w:rPr>
                <w:rFonts w:ascii="Perpetua" w:hAnsi="Perpetua"/>
                <w:b w:val="0"/>
                <w:color w:val="auto"/>
                <w:sz w:val="20"/>
              </w:rPr>
              <w:t>March 1975.</w:t>
            </w:r>
            <w:bookmarkEnd w:id="737"/>
            <w:bookmarkEnd w:id="738"/>
          </w:p>
          <w:p w:rsidR="00D05F40" w:rsidRPr="00031E7C" w:rsidRDefault="00D05F40" w:rsidP="00031E7C">
            <w:pPr>
              <w:rPr>
                <w:rFonts w:ascii="Perpetua" w:hAnsi="Perpetua"/>
                <w:sz w:val="20"/>
              </w:rPr>
            </w:pPr>
            <w:r w:rsidRPr="00031E7C">
              <w:rPr>
                <w:rFonts w:ascii="Perpetua" w:hAnsi="Perpetua"/>
                <w:sz w:val="20"/>
              </w:rPr>
              <w:t xml:space="preserve"> "Policy Cornerstone of Apartheid... Action aims at curtailing immigration to South Africa. On Wednesday it was once again clear what a misery Jan van Riebeeck entailed, when in 1652, the Dutch East Indies Company made station on the Cape of Good Hope" (Translated from Dutch).</w:t>
            </w:r>
            <w:bookmarkEnd w:id="739"/>
            <w:bookmarkEnd w:id="740"/>
            <w:r w:rsidRPr="00031E7C">
              <w:rPr>
                <w:rFonts w:ascii="Perpetua" w:hAnsi="Perpetua"/>
                <w:sz w:val="20"/>
              </w:rPr>
              <w:t xml:space="preserve"> </w:t>
            </w:r>
          </w:p>
          <w:p w:rsidR="00D05F40" w:rsidRDefault="00D05F40" w:rsidP="00D05F40">
            <w:pPr>
              <w:autoSpaceDE w:val="0"/>
              <w:autoSpaceDN w:val="0"/>
              <w:adjustRightInd w:val="0"/>
              <w:spacing w:after="0" w:line="360" w:lineRule="auto"/>
              <w:jc w:val="both"/>
              <w:rPr>
                <w:rFonts w:ascii="Garamond" w:hAnsi="Garamond"/>
                <w:i/>
              </w:rPr>
            </w:pPr>
          </w:p>
        </w:tc>
      </w:tr>
    </w:tbl>
    <w:p w:rsidR="003F4A98" w:rsidRPr="004246B0" w:rsidRDefault="003F4A98" w:rsidP="003F4A98">
      <w:pPr>
        <w:autoSpaceDE w:val="0"/>
        <w:autoSpaceDN w:val="0"/>
        <w:adjustRightInd w:val="0"/>
        <w:spacing w:after="0" w:line="360" w:lineRule="auto"/>
        <w:jc w:val="both"/>
        <w:rPr>
          <w:rFonts w:ascii="Garamond" w:hAnsi="Garamond"/>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696"/>
        <w:gridCol w:w="2350"/>
      </w:tblGrid>
      <w:tr w:rsidR="00D05F40">
        <w:tc>
          <w:tcPr>
            <w:tcW w:w="5696" w:type="dxa"/>
          </w:tcPr>
          <w:p w:rsidR="00D05F40" w:rsidRPr="00D05F40" w:rsidRDefault="00D05F40" w:rsidP="003F4A98">
            <w:pPr>
              <w:spacing w:line="360" w:lineRule="auto"/>
              <w:jc w:val="both"/>
              <w:rPr>
                <w:rStyle w:val="hps"/>
              </w:rPr>
            </w:pPr>
            <w:r w:rsidRPr="00D05F40">
              <w:rPr>
                <w:rStyle w:val="hps"/>
                <w:rFonts w:ascii="Garamond" w:hAnsi="Garamond"/>
                <w:noProof/>
                <w:sz w:val="24"/>
                <w:szCs w:val="24"/>
                <w:lang w:eastAsia="en-GB"/>
              </w:rPr>
              <w:lastRenderedPageBreak/>
              <w:drawing>
                <wp:inline distT="0" distB="0" distL="0" distR="0">
                  <wp:extent cx="3450590" cy="3089076"/>
                  <wp:effectExtent l="25400" t="0" r="3810" b="0"/>
                  <wp:docPr id="139" name="Picture 3" descr="C:\Users\Hugh\Desktop\2011-01-09 Esau Archive BOA\ANTI-EMIGRATE AKTIE PLAKBOEK Nr 1\AEA PlakBoek pg 06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Desktop\2011-01-09 Esau Archive BOA\ANTI-EMIGRATE AKTIE PLAKBOEK Nr 1\AEA PlakBoek pg 06 (2).tif"/>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3455553" cy="3093519"/>
                          </a:xfrm>
                          <a:prstGeom prst="rect">
                            <a:avLst/>
                          </a:prstGeom>
                          <a:noFill/>
                          <a:ln>
                            <a:noFill/>
                          </a:ln>
                        </pic:spPr>
                      </pic:pic>
                    </a:graphicData>
                  </a:graphic>
                </wp:inline>
              </w:drawing>
            </w:r>
          </w:p>
        </w:tc>
        <w:tc>
          <w:tcPr>
            <w:tcW w:w="2350" w:type="dxa"/>
          </w:tcPr>
          <w:p w:rsidR="007E10FB" w:rsidRDefault="00D05F40" w:rsidP="00D05F40">
            <w:pPr>
              <w:pStyle w:val="Caption"/>
              <w:rPr>
                <w:rFonts w:ascii="Perpetua" w:hAnsi="Perpetua"/>
                <w:b w:val="0"/>
                <w:color w:val="auto"/>
                <w:sz w:val="20"/>
              </w:rPr>
            </w:pPr>
            <w:bookmarkStart w:id="741" w:name="_Toc244577333"/>
            <w:bookmarkStart w:id="742" w:name="_Toc263495802"/>
            <w:bookmarkStart w:id="743" w:name="_Toc263509068"/>
            <w:bookmarkStart w:id="744" w:name="_Toc263510855"/>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71</w:t>
            </w:r>
            <w:r w:rsidR="00DF2DF8" w:rsidRPr="00031E7C">
              <w:rPr>
                <w:rFonts w:ascii="Perpetua" w:hAnsi="Perpetua"/>
                <w:b w:val="0"/>
                <w:color w:val="auto"/>
                <w:sz w:val="20"/>
              </w:rPr>
              <w:fldChar w:fldCharType="end"/>
            </w:r>
            <w:r w:rsidRPr="00031E7C">
              <w:rPr>
                <w:rFonts w:ascii="Perpetua" w:hAnsi="Perpetua"/>
                <w:b w:val="0"/>
                <w:color w:val="auto"/>
                <w:sz w:val="20"/>
              </w:rPr>
              <w:t>:</w:t>
            </w:r>
            <w:r w:rsidR="00031E7C">
              <w:rPr>
                <w:rFonts w:ascii="Perpetua" w:hAnsi="Perpetua"/>
                <w:b w:val="0"/>
                <w:color w:val="auto"/>
                <w:sz w:val="20"/>
              </w:rPr>
              <w:t xml:space="preserve"> Photograph of image and text reproduced</w:t>
            </w:r>
            <w:r w:rsidRPr="00D05F40">
              <w:rPr>
                <w:rFonts w:ascii="Perpetua" w:hAnsi="Perpetua"/>
                <w:b w:val="0"/>
                <w:color w:val="auto"/>
                <w:sz w:val="20"/>
              </w:rPr>
              <w:t xml:space="preserve"> </w:t>
            </w:r>
            <w:r w:rsidR="00031E7C">
              <w:rPr>
                <w:rFonts w:ascii="Perpetua" w:hAnsi="Perpetua"/>
                <w:b w:val="0"/>
                <w:color w:val="auto"/>
                <w:sz w:val="20"/>
              </w:rPr>
              <w:t xml:space="preserve">in </w:t>
            </w:r>
            <w:r w:rsidRPr="00031E7C">
              <w:rPr>
                <w:rFonts w:ascii="Perpetua" w:hAnsi="Perpetua"/>
                <w:b w:val="0"/>
                <w:i/>
                <w:color w:val="auto"/>
                <w:sz w:val="20"/>
              </w:rPr>
              <w:t>Utrecht News</w:t>
            </w:r>
            <w:r w:rsidRPr="00D05F40">
              <w:rPr>
                <w:rFonts w:ascii="Perpetua" w:hAnsi="Perpetua"/>
                <w:b w:val="0"/>
                <w:color w:val="auto"/>
                <w:sz w:val="20"/>
              </w:rPr>
              <w:t xml:space="preserve"> and several other regional and national Dutch dailies on </w:t>
            </w:r>
            <w:r w:rsidR="00031E7C">
              <w:rPr>
                <w:rFonts w:ascii="Perpetua" w:hAnsi="Perpetua"/>
                <w:b w:val="0"/>
                <w:color w:val="auto"/>
                <w:sz w:val="20"/>
              </w:rPr>
              <w:t xml:space="preserve">20 </w:t>
            </w:r>
            <w:r w:rsidRPr="00D05F40">
              <w:rPr>
                <w:rFonts w:ascii="Perpetua" w:hAnsi="Perpetua"/>
                <w:b w:val="0"/>
                <w:color w:val="auto"/>
                <w:sz w:val="20"/>
              </w:rPr>
              <w:t xml:space="preserve">March </w:t>
            </w:r>
            <w:bookmarkEnd w:id="741"/>
            <w:bookmarkEnd w:id="742"/>
            <w:r w:rsidR="00031E7C">
              <w:rPr>
                <w:rFonts w:ascii="Perpetua" w:hAnsi="Perpetua"/>
                <w:b w:val="0"/>
                <w:color w:val="auto"/>
                <w:sz w:val="20"/>
              </w:rPr>
              <w:t>1975.</w:t>
            </w:r>
            <w:bookmarkEnd w:id="743"/>
            <w:bookmarkEnd w:id="744"/>
          </w:p>
          <w:p w:rsidR="007E10FB" w:rsidRDefault="007E10FB" w:rsidP="007E10FB"/>
          <w:p w:rsidR="00D05F40" w:rsidRPr="007E10FB" w:rsidRDefault="00D05F40" w:rsidP="007E10FB"/>
          <w:p w:rsidR="00D05F40" w:rsidRDefault="00D05F40" w:rsidP="003F4A98">
            <w:pPr>
              <w:spacing w:line="360" w:lineRule="auto"/>
              <w:jc w:val="both"/>
              <w:rPr>
                <w:rStyle w:val="hps"/>
              </w:rPr>
            </w:pPr>
          </w:p>
        </w:tc>
      </w:tr>
    </w:tbl>
    <w:p w:rsidR="003F4A98" w:rsidRPr="00D05F40" w:rsidRDefault="003F4A98" w:rsidP="003F4A98">
      <w:pPr>
        <w:spacing w:line="360" w:lineRule="auto"/>
        <w:jc w:val="both"/>
        <w:rPr>
          <w:rStyle w:val="hps"/>
        </w:rPr>
      </w:pPr>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2738"/>
        <w:gridCol w:w="5954"/>
      </w:tblGrid>
      <w:tr w:rsidR="00D05F40">
        <w:tc>
          <w:tcPr>
            <w:tcW w:w="2738" w:type="dxa"/>
          </w:tcPr>
          <w:p w:rsidR="00031E7C" w:rsidRDefault="00D05F40" w:rsidP="00D05F40">
            <w:pPr>
              <w:pStyle w:val="Caption"/>
              <w:rPr>
                <w:rFonts w:ascii="Perpetua" w:hAnsi="Perpetua"/>
                <w:b w:val="0"/>
                <w:color w:val="auto"/>
                <w:sz w:val="20"/>
              </w:rPr>
            </w:pPr>
            <w:bookmarkStart w:id="745" w:name="_Toc263509069"/>
            <w:bookmarkStart w:id="746" w:name="_Toc263510856"/>
            <w:bookmarkStart w:id="747" w:name="_Toc244577334"/>
            <w:bookmarkStart w:id="748" w:name="_Toc263495803"/>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72</w:t>
            </w:r>
            <w:r w:rsidR="00DF2DF8" w:rsidRPr="00031E7C">
              <w:rPr>
                <w:rFonts w:ascii="Perpetua" w:hAnsi="Perpetua"/>
                <w:b w:val="0"/>
                <w:color w:val="auto"/>
                <w:sz w:val="20"/>
              </w:rPr>
              <w:fldChar w:fldCharType="end"/>
            </w:r>
            <w:r w:rsidRPr="00031E7C">
              <w:rPr>
                <w:rFonts w:ascii="Perpetua" w:hAnsi="Perpetua"/>
                <w:b w:val="0"/>
                <w:color w:val="auto"/>
                <w:sz w:val="20"/>
              </w:rPr>
              <w:t>:</w:t>
            </w:r>
            <w:r w:rsidRPr="00D05F40">
              <w:rPr>
                <w:rFonts w:ascii="Perpetua" w:hAnsi="Perpetua"/>
                <w:b w:val="0"/>
                <w:color w:val="auto"/>
                <w:sz w:val="20"/>
              </w:rPr>
              <w:t xml:space="preserve"> </w:t>
            </w:r>
            <w:r w:rsidR="00031E7C">
              <w:rPr>
                <w:rFonts w:ascii="Perpetua" w:hAnsi="Perpetua"/>
                <w:b w:val="0"/>
                <w:color w:val="auto"/>
                <w:sz w:val="20"/>
              </w:rPr>
              <w:t xml:space="preserve">Photograph of article in </w:t>
            </w:r>
            <w:r w:rsidRPr="00031E7C">
              <w:rPr>
                <w:rFonts w:ascii="Perpetua" w:hAnsi="Perpetua"/>
                <w:b w:val="0"/>
                <w:i/>
                <w:color w:val="auto"/>
                <w:sz w:val="20"/>
              </w:rPr>
              <w:t>Trouw</w:t>
            </w:r>
            <w:r w:rsidRPr="00D05F40">
              <w:rPr>
                <w:rFonts w:ascii="Perpetua" w:hAnsi="Perpetua"/>
                <w:b w:val="0"/>
                <w:color w:val="auto"/>
                <w:sz w:val="20"/>
              </w:rPr>
              <w:t xml:space="preserve">, </w:t>
            </w:r>
            <w:r w:rsidR="00031E7C">
              <w:rPr>
                <w:rFonts w:ascii="Perpetua" w:hAnsi="Perpetua"/>
                <w:b w:val="0"/>
                <w:color w:val="auto"/>
                <w:sz w:val="20"/>
              </w:rPr>
              <w:t>20 March 1975.</w:t>
            </w:r>
            <w:bookmarkEnd w:id="745"/>
            <w:bookmarkEnd w:id="746"/>
          </w:p>
          <w:p w:rsidR="00D05F40" w:rsidRPr="00031E7C" w:rsidRDefault="00D05F40" w:rsidP="00031E7C">
            <w:pPr>
              <w:rPr>
                <w:rFonts w:ascii="Perpetua" w:hAnsi="Perpetua"/>
                <w:sz w:val="20"/>
              </w:rPr>
            </w:pPr>
            <w:r w:rsidRPr="00031E7C">
              <w:rPr>
                <w:rFonts w:ascii="Perpetua" w:hAnsi="Perpetua"/>
                <w:sz w:val="20"/>
              </w:rPr>
              <w:t xml:space="preserve"> "Action against emigration to South Africa. By one of our reporters. THE HAGUE - Boycott Outspan Action calls the government to ban all apartheid propaganda on emigration to South Africa on Dutch soil". The text under the photograph of the policeman pointing the sign reads: "Members of the BOA confirmed yesterday morning this protest sign with chains to the South African embassy in The Hague. They stated: Warning. Emigration Dangerous. Talk to black South Africa first"</w:t>
            </w:r>
            <w:bookmarkEnd w:id="747"/>
            <w:bookmarkEnd w:id="748"/>
            <w:r w:rsidR="00031E7C">
              <w:rPr>
                <w:rFonts w:ascii="Perpetua" w:hAnsi="Perpetua"/>
                <w:sz w:val="20"/>
              </w:rPr>
              <w:t>(translated from Dutch).</w:t>
            </w:r>
          </w:p>
          <w:p w:rsidR="00D05F40" w:rsidRDefault="00D05F40" w:rsidP="003F4A98">
            <w:pPr>
              <w:autoSpaceDE w:val="0"/>
              <w:autoSpaceDN w:val="0"/>
              <w:adjustRightInd w:val="0"/>
              <w:spacing w:after="0" w:line="360" w:lineRule="auto"/>
              <w:jc w:val="center"/>
              <w:rPr>
                <w:rStyle w:val="hps"/>
              </w:rPr>
            </w:pPr>
          </w:p>
        </w:tc>
        <w:tc>
          <w:tcPr>
            <w:tcW w:w="5954" w:type="dxa"/>
          </w:tcPr>
          <w:p w:rsidR="00D05F40" w:rsidRDefault="00D05F40" w:rsidP="003F4A98">
            <w:pPr>
              <w:autoSpaceDE w:val="0"/>
              <w:autoSpaceDN w:val="0"/>
              <w:adjustRightInd w:val="0"/>
              <w:spacing w:after="0" w:line="360" w:lineRule="auto"/>
              <w:jc w:val="center"/>
              <w:rPr>
                <w:rStyle w:val="hps"/>
              </w:rPr>
            </w:pPr>
            <w:r w:rsidRPr="004246B0">
              <w:rPr>
                <w:rFonts w:ascii="Garamond" w:hAnsi="Garamond"/>
                <w:noProof/>
                <w:sz w:val="24"/>
                <w:szCs w:val="24"/>
                <w:lang w:eastAsia="en-GB"/>
              </w:rPr>
              <w:drawing>
                <wp:inline distT="0" distB="0" distL="0" distR="0">
                  <wp:extent cx="3613492" cy="2827867"/>
                  <wp:effectExtent l="25400" t="0" r="0" b="0"/>
                  <wp:docPr id="140" name="Picture 3" descr="C:\Users\hugh crosfield\Desktop\ANTI-EMIGRATE AKTIE PLAKBOEK Nr 1\AEA PlakBoek pg 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h crosfield\Desktop\ANTI-EMIGRATE AKTIE PLAKBOEK Nr 1\AEA PlakBoek pg 06.tif"/>
                          <pic:cNvPicPr>
                            <a:picLocks noChangeAspect="1" noChangeArrowheads="1"/>
                          </pic:cNvPicPr>
                        </pic:nvPicPr>
                        <pic:blipFill>
                          <a:blip r:embed="rId116" cstate="print"/>
                          <a:srcRect/>
                          <a:stretch>
                            <a:fillRect/>
                          </a:stretch>
                        </pic:blipFill>
                        <pic:spPr bwMode="auto">
                          <a:xfrm>
                            <a:off x="0" y="0"/>
                            <a:ext cx="3637194" cy="2846415"/>
                          </a:xfrm>
                          <a:prstGeom prst="rect">
                            <a:avLst/>
                          </a:prstGeom>
                          <a:noFill/>
                          <a:ln w="9525">
                            <a:noFill/>
                            <a:miter lim="800000"/>
                            <a:headEnd/>
                            <a:tailEnd/>
                          </a:ln>
                        </pic:spPr>
                      </pic:pic>
                    </a:graphicData>
                  </a:graphic>
                </wp:inline>
              </w:drawing>
            </w:r>
          </w:p>
        </w:tc>
      </w:tr>
    </w:tbl>
    <w:p w:rsidR="003F4A98" w:rsidRPr="00D05F40" w:rsidRDefault="003F4A98" w:rsidP="003F4A98">
      <w:pPr>
        <w:autoSpaceDE w:val="0"/>
        <w:autoSpaceDN w:val="0"/>
        <w:adjustRightInd w:val="0"/>
        <w:spacing w:after="0" w:line="360" w:lineRule="auto"/>
        <w:jc w:val="center"/>
        <w:rPr>
          <w:rStyle w:val="hp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58"/>
        <w:gridCol w:w="4258"/>
      </w:tblGrid>
      <w:tr w:rsidR="00D05F40">
        <w:tc>
          <w:tcPr>
            <w:tcW w:w="4258" w:type="dxa"/>
          </w:tcPr>
          <w:p w:rsidR="00D05F40" w:rsidRDefault="00D05F40" w:rsidP="003F4A98">
            <w:pPr>
              <w:autoSpaceDE w:val="0"/>
              <w:autoSpaceDN w:val="0"/>
              <w:adjustRightInd w:val="0"/>
              <w:spacing w:after="0" w:line="360" w:lineRule="auto"/>
              <w:jc w:val="both"/>
              <w:rPr>
                <w:rFonts w:ascii="Garamond" w:hAnsi="Garamond"/>
                <w:sz w:val="24"/>
                <w:szCs w:val="24"/>
              </w:rPr>
            </w:pPr>
            <w:r w:rsidRPr="004246B0">
              <w:rPr>
                <w:rFonts w:ascii="Garamond" w:hAnsi="Garamond"/>
                <w:i/>
                <w:noProof/>
                <w:lang w:eastAsia="en-GB"/>
              </w:rPr>
              <w:lastRenderedPageBreak/>
              <w:drawing>
                <wp:inline distT="0" distB="0" distL="0" distR="0">
                  <wp:extent cx="2297779" cy="2178657"/>
                  <wp:effectExtent l="19050" t="0" r="7271" b="0"/>
                  <wp:docPr id="141" name="Picture 4" descr="C:\Users\hugh crosfield\Desktop\ANTI-EMIGRATE AKTIE PLAKBOEK Nr 1\AEA PlakBoek pg 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h crosfield\Desktop\ANTI-EMIGRATE AKTIE PLAKBOEK Nr 1\AEA PlakBoek pg 08.tif"/>
                          <pic:cNvPicPr>
                            <a:picLocks noChangeAspect="1" noChangeArrowheads="1"/>
                          </pic:cNvPicPr>
                        </pic:nvPicPr>
                        <pic:blipFill>
                          <a:blip r:embed="rId117" cstate="print"/>
                          <a:srcRect/>
                          <a:stretch>
                            <a:fillRect/>
                          </a:stretch>
                        </pic:blipFill>
                        <pic:spPr bwMode="auto">
                          <a:xfrm>
                            <a:off x="0" y="0"/>
                            <a:ext cx="2310328" cy="2190556"/>
                          </a:xfrm>
                          <a:prstGeom prst="rect">
                            <a:avLst/>
                          </a:prstGeom>
                          <a:noFill/>
                          <a:ln w="9525">
                            <a:noFill/>
                            <a:miter lim="800000"/>
                            <a:headEnd/>
                            <a:tailEnd/>
                          </a:ln>
                        </pic:spPr>
                      </pic:pic>
                    </a:graphicData>
                  </a:graphic>
                </wp:inline>
              </w:drawing>
            </w:r>
          </w:p>
        </w:tc>
        <w:tc>
          <w:tcPr>
            <w:tcW w:w="4258" w:type="dxa"/>
          </w:tcPr>
          <w:p w:rsidR="00031E7C" w:rsidRDefault="00544A26" w:rsidP="00544A26">
            <w:pPr>
              <w:pStyle w:val="Caption"/>
              <w:rPr>
                <w:rFonts w:ascii="Perpetua" w:hAnsi="Perpetua"/>
                <w:b w:val="0"/>
                <w:color w:val="auto"/>
                <w:sz w:val="20"/>
              </w:rPr>
            </w:pPr>
            <w:bookmarkStart w:id="749" w:name="_Toc263509070"/>
            <w:bookmarkStart w:id="750" w:name="_Toc263510857"/>
            <w:bookmarkStart w:id="751" w:name="_Toc244577335"/>
            <w:bookmarkStart w:id="752" w:name="_Toc263495804"/>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73</w:t>
            </w:r>
            <w:r w:rsidR="00DF2DF8" w:rsidRPr="00031E7C">
              <w:rPr>
                <w:rFonts w:ascii="Perpetua" w:hAnsi="Perpetua"/>
                <w:b w:val="0"/>
                <w:color w:val="auto"/>
                <w:sz w:val="20"/>
              </w:rPr>
              <w:fldChar w:fldCharType="end"/>
            </w:r>
            <w:r w:rsidRPr="00031E7C">
              <w:rPr>
                <w:rFonts w:ascii="Perpetua" w:hAnsi="Perpetua"/>
                <w:b w:val="0"/>
                <w:color w:val="auto"/>
                <w:sz w:val="20"/>
              </w:rPr>
              <w:t>:</w:t>
            </w:r>
            <w:r>
              <w:rPr>
                <w:rFonts w:ascii="Perpetua" w:hAnsi="Perpetua"/>
                <w:b w:val="0"/>
                <w:color w:val="auto"/>
                <w:sz w:val="20"/>
              </w:rPr>
              <w:t xml:space="preserve"> </w:t>
            </w:r>
            <w:r w:rsidR="00031E7C">
              <w:rPr>
                <w:rFonts w:ascii="Perpetua" w:hAnsi="Perpetua"/>
                <w:b w:val="0"/>
                <w:color w:val="auto"/>
                <w:sz w:val="20"/>
              </w:rPr>
              <w:t xml:space="preserve">Photograph of article in </w:t>
            </w:r>
            <w:r w:rsidRPr="00031E7C">
              <w:rPr>
                <w:rFonts w:ascii="Perpetua" w:hAnsi="Perpetua"/>
                <w:b w:val="0"/>
                <w:i/>
                <w:color w:val="auto"/>
                <w:sz w:val="20"/>
              </w:rPr>
              <w:t>Het Vrije Volk,</w:t>
            </w:r>
            <w:r w:rsidRPr="00544A26">
              <w:rPr>
                <w:rFonts w:ascii="Perpetua" w:hAnsi="Perpetua"/>
                <w:b w:val="0"/>
                <w:color w:val="auto"/>
                <w:sz w:val="20"/>
              </w:rPr>
              <w:t xml:space="preserve"> </w:t>
            </w:r>
            <w:r w:rsidR="00031E7C">
              <w:rPr>
                <w:rFonts w:ascii="Perpetua" w:hAnsi="Perpetua"/>
                <w:b w:val="0"/>
                <w:color w:val="auto"/>
                <w:sz w:val="20"/>
              </w:rPr>
              <w:t>20 March 1975.</w:t>
            </w:r>
            <w:bookmarkEnd w:id="749"/>
            <w:bookmarkEnd w:id="750"/>
          </w:p>
          <w:p w:rsidR="00544A26" w:rsidRPr="00031E7C" w:rsidRDefault="00544A26" w:rsidP="00031E7C">
            <w:pPr>
              <w:rPr>
                <w:rFonts w:ascii="Perpetua" w:hAnsi="Perpetua"/>
                <w:sz w:val="20"/>
              </w:rPr>
            </w:pPr>
            <w:r w:rsidRPr="00031E7C">
              <w:rPr>
                <w:rFonts w:ascii="Perpetua" w:hAnsi="Perpetua"/>
                <w:sz w:val="20"/>
              </w:rPr>
              <w:t xml:space="preserve"> "Emigration to South Africa is dangerous (from our editorial board). THE HAGUE - Cessation of the current white emigration to South Africa. That is the aim of the international campaign this week - the initiative of the World Council of Churches- and includes actions in The Netherlands, England, Ireland, Switzerland, Belgium and West Germany"</w:t>
            </w:r>
            <w:bookmarkEnd w:id="751"/>
            <w:bookmarkEnd w:id="752"/>
            <w:r w:rsidR="00031E7C" w:rsidRPr="00031E7C">
              <w:rPr>
                <w:rFonts w:ascii="Perpetua" w:hAnsi="Perpetua"/>
                <w:sz w:val="20"/>
              </w:rPr>
              <w:t xml:space="preserve"> (translated from Dutch).</w:t>
            </w:r>
          </w:p>
          <w:p w:rsidR="00D05F40" w:rsidRDefault="00D05F40" w:rsidP="003F4A98">
            <w:pPr>
              <w:autoSpaceDE w:val="0"/>
              <w:autoSpaceDN w:val="0"/>
              <w:adjustRightInd w:val="0"/>
              <w:spacing w:after="0" w:line="360" w:lineRule="auto"/>
              <w:jc w:val="both"/>
              <w:rPr>
                <w:rFonts w:ascii="Garamond" w:hAnsi="Garamond"/>
                <w:sz w:val="24"/>
                <w:szCs w:val="24"/>
              </w:rPr>
            </w:pPr>
          </w:p>
        </w:tc>
      </w:tr>
    </w:tbl>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7E10FB" w:rsidRDefault="007E10FB"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Publicity for anti-emigration was not limited to the print media. In 1972, co-founder of the BOA Karel Roskam produced an episode of the current affairs programme on the VARA national television channel (Social Democratic Television). In a weekly edition of </w:t>
      </w:r>
      <w:r w:rsidRPr="004246B0">
        <w:rPr>
          <w:rFonts w:ascii="Garamond" w:hAnsi="Garamond"/>
          <w:i/>
          <w:sz w:val="24"/>
          <w:szCs w:val="24"/>
          <w:shd w:val="clear" w:color="auto" w:fill="FFFFFF"/>
        </w:rPr>
        <w:t>Achter Het Nieuws</w:t>
      </w:r>
      <w:r w:rsidRPr="004246B0">
        <w:rPr>
          <w:rFonts w:ascii="Garamond" w:hAnsi="Garamond"/>
          <w:sz w:val="24"/>
          <w:szCs w:val="24"/>
          <w:shd w:val="clear" w:color="auto" w:fill="FFFFFF"/>
        </w:rPr>
        <w:t xml:space="preserve"> (</w:t>
      </w:r>
      <w:r w:rsidRPr="004246B0">
        <w:rPr>
          <w:rFonts w:ascii="Garamond" w:hAnsi="Garamond"/>
          <w:i/>
          <w:sz w:val="24"/>
          <w:szCs w:val="24"/>
          <w:shd w:val="clear" w:color="auto" w:fill="FFFFFF"/>
        </w:rPr>
        <w:t>Behind the News</w:t>
      </w:r>
      <w:r w:rsidRPr="004246B0">
        <w:rPr>
          <w:rFonts w:ascii="Garamond" w:hAnsi="Garamond"/>
          <w:sz w:val="24"/>
          <w:szCs w:val="24"/>
          <w:shd w:val="clear" w:color="auto" w:fill="FFFFFF"/>
        </w:rPr>
        <w:t>), presented by Herman Wigbold</w:t>
      </w:r>
      <w:r w:rsidRPr="004246B0">
        <w:rPr>
          <w:rFonts w:ascii="Garamond" w:hAnsi="Garamond"/>
          <w:sz w:val="24"/>
          <w:szCs w:val="24"/>
        </w:rPr>
        <w:t>,</w:t>
      </w:r>
      <w:r w:rsidRPr="004246B0">
        <w:rPr>
          <w:rStyle w:val="FootnoteReference"/>
          <w:rFonts w:ascii="Garamond" w:hAnsi="Garamond"/>
          <w:sz w:val="24"/>
          <w:szCs w:val="24"/>
        </w:rPr>
        <w:footnoteReference w:id="184"/>
      </w:r>
      <w:r w:rsidRPr="004246B0">
        <w:rPr>
          <w:rFonts w:ascii="Garamond" w:hAnsi="Garamond"/>
          <w:sz w:val="24"/>
          <w:szCs w:val="24"/>
        </w:rPr>
        <w:t xml:space="preserve"> debate centred around an advertisement for white migration that Roskam had brought to attention and converted into an anti-apartheid poster. The poster was adopted by du Plessis and van Kaam for Working Group Kairos (a Christian anti-apartheid organization that offered solidarity to the South African anti-apartheid activist Bayers </w:t>
      </w:r>
      <w:r w:rsidRPr="004246B0">
        <w:rPr>
          <w:rFonts w:ascii="Garamond" w:hAnsi="Garamond"/>
          <w:sz w:val="24"/>
          <w:szCs w:val="24"/>
          <w:shd w:val="clear" w:color="auto" w:fill="FFFFFF"/>
        </w:rPr>
        <w:t>Naudé</w:t>
      </w:r>
      <w:r w:rsidRPr="004246B0">
        <w:rPr>
          <w:rFonts w:ascii="Garamond" w:hAnsi="Garamond"/>
          <w:sz w:val="24"/>
          <w:szCs w:val="24"/>
        </w:rPr>
        <w:t>).</w:t>
      </w:r>
      <w:r w:rsidRPr="004246B0">
        <w:rPr>
          <w:rStyle w:val="FootnoteReference"/>
          <w:rFonts w:ascii="Garamond" w:hAnsi="Garamond"/>
          <w:sz w:val="24"/>
          <w:szCs w:val="24"/>
        </w:rPr>
        <w:footnoteReference w:id="185"/>
      </w:r>
      <w:r w:rsidRPr="004246B0">
        <w:rPr>
          <w:rFonts w:ascii="Garamond" w:hAnsi="Garamond"/>
          <w:sz w:val="24"/>
          <w:szCs w:val="24"/>
        </w:rPr>
        <w:t xml:space="preserve"> The Kairos campaign set the tone for the BOA to work towards similar ends. Their links ran deep; although both AAMs were registered as separate foundations, du Plessis and van Kaam were leading figures for both:</w:t>
      </w:r>
    </w:p>
    <w:p w:rsidR="003F4A98" w:rsidRPr="004246B0" w:rsidRDefault="003F4A98" w:rsidP="003F4A98">
      <w:pPr>
        <w:autoSpaceDE w:val="0"/>
        <w:autoSpaceDN w:val="0"/>
        <w:adjustRightInd w:val="0"/>
        <w:spacing w:after="0" w:line="360" w:lineRule="auto"/>
        <w:jc w:val="both"/>
        <w:rPr>
          <w:rFonts w:ascii="Garamond" w:hAnsi="Garamond"/>
        </w:rPr>
      </w:pPr>
    </w:p>
    <w:p w:rsidR="003F4A98" w:rsidRPr="004246B0" w:rsidRDefault="003F4A98" w:rsidP="003F4A98">
      <w:pPr>
        <w:spacing w:line="360" w:lineRule="auto"/>
        <w:ind w:left="284" w:right="284"/>
        <w:jc w:val="both"/>
        <w:rPr>
          <w:rFonts w:ascii="Garamond" w:hAnsi="Garamond"/>
        </w:rPr>
      </w:pPr>
      <w:r>
        <w:rPr>
          <w:rFonts w:ascii="Garamond" w:hAnsi="Garamond"/>
        </w:rPr>
        <w:t>ESAU</w:t>
      </w:r>
      <w:r w:rsidRPr="004246B0">
        <w:rPr>
          <w:rFonts w:ascii="Garamond" w:hAnsi="Garamond"/>
        </w:rPr>
        <w:t>: You see, Ben van Kaam and I, we edited the Kairos bulletin. The working group Kairos was formed in 1970. And the BOA also. I was a member of both. And t</w:t>
      </w:r>
      <w:r>
        <w:rPr>
          <w:rFonts w:ascii="Garamond" w:hAnsi="Garamond"/>
        </w:rPr>
        <w:t xml:space="preserve">hat was for practical reasons – </w:t>
      </w:r>
      <w:r w:rsidRPr="004246B0">
        <w:rPr>
          <w:rFonts w:ascii="Garamond" w:hAnsi="Garamond"/>
        </w:rPr>
        <w:t xml:space="preserve">Kairos supported the Christian institute of Bayers </w:t>
      </w:r>
      <w:r w:rsidRPr="004246B0">
        <w:rPr>
          <w:rFonts w:ascii="Garamond" w:hAnsi="Garamond"/>
          <w:shd w:val="clear" w:color="auto" w:fill="FFFFFF"/>
        </w:rPr>
        <w:t>Naudé</w:t>
      </w:r>
      <w:r w:rsidRPr="004246B0">
        <w:rPr>
          <w:rFonts w:ascii="Garamond" w:hAnsi="Garamond"/>
        </w:rPr>
        <w:t xml:space="preserve"> in South Africa, and that was a banned organization at the time in South Africa, unlike the ANC or SACTU. And we (the BOA) supported the ANC and SACTU, and therefore we were able to conduct more varied and vertical campaigns than Kairos did in order to protect Bayers </w:t>
      </w:r>
      <w:r w:rsidRPr="004246B0">
        <w:rPr>
          <w:rFonts w:ascii="Garamond" w:hAnsi="Garamond"/>
          <w:shd w:val="clear" w:color="auto" w:fill="FFFFFF"/>
        </w:rPr>
        <w:t>Naudé</w:t>
      </w:r>
      <w:r w:rsidRPr="004246B0">
        <w:rPr>
          <w:rFonts w:ascii="Garamond" w:hAnsi="Garamond"/>
        </w:rPr>
        <w:t xml:space="preserve"> personally. The article in the Kairos bulletin 'What does it mean to emigrate to South Africa?'; Eschel Rhoodie wrote it for a pro-apartheid advertisement that appeared in </w:t>
      </w:r>
      <w:r w:rsidRPr="004246B0">
        <w:rPr>
          <w:rFonts w:ascii="Garamond" w:hAnsi="Garamond"/>
        </w:rPr>
        <w:lastRenderedPageBreak/>
        <w:t xml:space="preserve">a magazine called </w:t>
      </w:r>
      <w:r w:rsidRPr="004246B0">
        <w:rPr>
          <w:rFonts w:ascii="Garamond" w:hAnsi="Garamond"/>
          <w:i/>
        </w:rPr>
        <w:t>In-Between The Rails</w:t>
      </w:r>
      <w:r w:rsidRPr="004246B0">
        <w:rPr>
          <w:rFonts w:ascii="Garamond" w:hAnsi="Garamond"/>
        </w:rPr>
        <w:t>. And then Karel Roskam wrote ten motives why not to emigrate to South Africa adjacent to Rhoodie's propaganda.</w:t>
      </w:r>
    </w:p>
    <w:p w:rsidR="003F4A98" w:rsidRPr="004246B0" w:rsidRDefault="003F4A98" w:rsidP="003F4A98">
      <w:pPr>
        <w:spacing w:line="360" w:lineRule="auto"/>
        <w:ind w:left="284" w:right="284"/>
        <w:jc w:val="both"/>
        <w:rPr>
          <w:rFonts w:ascii="Garamond" w:hAnsi="Garamond"/>
        </w:rPr>
      </w:pPr>
      <w:r>
        <w:rPr>
          <w:rFonts w:ascii="Garamond" w:hAnsi="Garamond"/>
        </w:rPr>
        <w:t>HUGH</w:t>
      </w:r>
      <w:r w:rsidRPr="004246B0">
        <w:rPr>
          <w:rFonts w:ascii="Garamond" w:hAnsi="Garamond"/>
        </w:rPr>
        <w:t>: Kairos published it?</w:t>
      </w:r>
    </w:p>
    <w:p w:rsidR="00241A99" w:rsidRDefault="003F4A98" w:rsidP="003F4A98">
      <w:pPr>
        <w:autoSpaceDE w:val="0"/>
        <w:autoSpaceDN w:val="0"/>
        <w:adjustRightInd w:val="0"/>
        <w:spacing w:after="0" w:line="360" w:lineRule="auto"/>
        <w:ind w:left="284" w:right="284"/>
        <w:jc w:val="both"/>
        <w:rPr>
          <w:rFonts w:ascii="Garamond" w:hAnsi="Garamond"/>
        </w:rPr>
      </w:pPr>
      <w:r>
        <w:rPr>
          <w:rFonts w:ascii="Garamond" w:hAnsi="Garamond"/>
        </w:rPr>
        <w:t>ESAU</w:t>
      </w:r>
      <w:r w:rsidRPr="004246B0">
        <w:rPr>
          <w:rFonts w:ascii="Garamond" w:hAnsi="Garamond"/>
        </w:rPr>
        <w:t xml:space="preserve">: Yes, and the BOA played a part in the publication because Ben van Kaam and I were responsible for the Kairos bulletin at the time. </w:t>
      </w:r>
    </w:p>
    <w:p w:rsidR="00241A99" w:rsidRDefault="00241A99" w:rsidP="003F4A98">
      <w:pPr>
        <w:autoSpaceDE w:val="0"/>
        <w:autoSpaceDN w:val="0"/>
        <w:adjustRightInd w:val="0"/>
        <w:spacing w:after="0" w:line="360" w:lineRule="auto"/>
        <w:ind w:left="284" w:right="284"/>
        <w:jc w:val="both"/>
        <w:rPr>
          <w:rFonts w:ascii="Garamond" w:hAnsi="Garamond"/>
        </w:rPr>
      </w:pPr>
    </w:p>
    <w:p w:rsidR="007E10FB" w:rsidRDefault="00544A26" w:rsidP="003F4A98">
      <w:pPr>
        <w:autoSpaceDE w:val="0"/>
        <w:autoSpaceDN w:val="0"/>
        <w:adjustRightInd w:val="0"/>
        <w:spacing w:after="0" w:line="360" w:lineRule="auto"/>
        <w:ind w:left="284" w:right="284"/>
        <w:jc w:val="both"/>
        <w:rPr>
          <w:rFonts w:ascii="Garamond" w:hAnsi="Garamond"/>
        </w:rPr>
      </w:pPr>
      <w:r>
        <w:rPr>
          <w:rFonts w:ascii="Garamond" w:hAnsi="Garamond"/>
        </w:rPr>
        <w:t>(Interview du Plessis 2012)</w:t>
      </w:r>
    </w:p>
    <w:p w:rsidR="007E10FB" w:rsidRDefault="007E10FB" w:rsidP="003F4A98">
      <w:pPr>
        <w:autoSpaceDE w:val="0"/>
        <w:autoSpaceDN w:val="0"/>
        <w:adjustRightInd w:val="0"/>
        <w:spacing w:after="0" w:line="360" w:lineRule="auto"/>
        <w:ind w:left="284" w:right="284"/>
        <w:jc w:val="both"/>
        <w:rPr>
          <w:rFonts w:ascii="Garamond" w:hAnsi="Garamond"/>
        </w:rPr>
      </w:pPr>
    </w:p>
    <w:p w:rsidR="00241A99" w:rsidRDefault="00241A99" w:rsidP="003F4A98">
      <w:pPr>
        <w:autoSpaceDE w:val="0"/>
        <w:autoSpaceDN w:val="0"/>
        <w:adjustRightInd w:val="0"/>
        <w:spacing w:after="0" w:line="360" w:lineRule="auto"/>
        <w:ind w:left="284" w:right="284"/>
        <w:jc w:val="both"/>
        <w:rPr>
          <w:rFonts w:ascii="Garamond" w:hAnsi="Garamond"/>
        </w:rPr>
      </w:pPr>
    </w:p>
    <w:p w:rsidR="00241A99" w:rsidRDefault="00241A99" w:rsidP="003F4A98">
      <w:pPr>
        <w:autoSpaceDE w:val="0"/>
        <w:autoSpaceDN w:val="0"/>
        <w:adjustRightInd w:val="0"/>
        <w:spacing w:after="0" w:line="360" w:lineRule="auto"/>
        <w:ind w:left="284" w:right="284"/>
        <w:jc w:val="both"/>
        <w:rPr>
          <w:rFonts w:ascii="Garamond" w:hAnsi="Garamond"/>
        </w:rPr>
      </w:pPr>
    </w:p>
    <w:p w:rsidR="00241A99" w:rsidRDefault="00241A99" w:rsidP="003F4A98">
      <w:pPr>
        <w:autoSpaceDE w:val="0"/>
        <w:autoSpaceDN w:val="0"/>
        <w:adjustRightInd w:val="0"/>
        <w:spacing w:after="0" w:line="360" w:lineRule="auto"/>
        <w:ind w:left="284" w:right="284"/>
        <w:jc w:val="both"/>
        <w:rPr>
          <w:rFonts w:ascii="Garamond" w:hAnsi="Garamond"/>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950"/>
        <w:gridCol w:w="3058"/>
      </w:tblGrid>
      <w:tr w:rsidR="00241A99">
        <w:trPr>
          <w:jc w:val="center"/>
        </w:trPr>
        <w:tc>
          <w:tcPr>
            <w:tcW w:w="4280" w:type="dxa"/>
          </w:tcPr>
          <w:p w:rsidR="00241A99" w:rsidRPr="00241A99" w:rsidRDefault="00241A99" w:rsidP="003F4A98">
            <w:pPr>
              <w:autoSpaceDE w:val="0"/>
              <w:autoSpaceDN w:val="0"/>
              <w:adjustRightInd w:val="0"/>
              <w:spacing w:after="0" w:line="360" w:lineRule="auto"/>
              <w:ind w:right="284"/>
              <w:jc w:val="both"/>
              <w:rPr>
                <w:rFonts w:ascii="Garamond" w:hAnsi="Garamond"/>
              </w:rPr>
            </w:pPr>
            <w:r w:rsidRPr="00241A99">
              <w:rPr>
                <w:rFonts w:ascii="Garamond" w:hAnsi="Garamond"/>
                <w:noProof/>
                <w:lang w:eastAsia="en-GB"/>
              </w:rPr>
              <w:drawing>
                <wp:inline distT="0" distB="0" distL="0" distR="0">
                  <wp:extent cx="2800350" cy="3749421"/>
                  <wp:effectExtent l="25400" t="0" r="0" b="0"/>
                  <wp:docPr id="143" name="Picture 1" descr="C:\Users\hugh crosfield\Desktop\BOA photos\iphone days October 2009-January 2012 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BOA photos\iphone days October 2009-January 2012 376.JPG"/>
                          <pic:cNvPicPr>
                            <a:picLocks noChangeAspect="1" noChangeArrowheads="1"/>
                          </pic:cNvPicPr>
                        </pic:nvPicPr>
                        <pic:blipFill>
                          <a:blip r:embed="rId118" cstate="print"/>
                          <a:srcRect/>
                          <a:stretch>
                            <a:fillRect/>
                          </a:stretch>
                        </pic:blipFill>
                        <pic:spPr bwMode="auto">
                          <a:xfrm>
                            <a:off x="0" y="0"/>
                            <a:ext cx="2802823" cy="3752732"/>
                          </a:xfrm>
                          <a:prstGeom prst="rect">
                            <a:avLst/>
                          </a:prstGeom>
                          <a:noFill/>
                          <a:ln w="9525">
                            <a:noFill/>
                            <a:miter lim="800000"/>
                            <a:headEnd/>
                            <a:tailEnd/>
                          </a:ln>
                        </pic:spPr>
                      </pic:pic>
                    </a:graphicData>
                  </a:graphic>
                </wp:inline>
              </w:drawing>
            </w:r>
          </w:p>
        </w:tc>
        <w:tc>
          <w:tcPr>
            <w:tcW w:w="3058" w:type="dxa"/>
          </w:tcPr>
          <w:p w:rsidR="00031E7C" w:rsidRDefault="00241A99" w:rsidP="00241A99">
            <w:pPr>
              <w:pStyle w:val="Caption"/>
              <w:rPr>
                <w:rFonts w:ascii="Perpetua" w:hAnsi="Perpetua"/>
                <w:b w:val="0"/>
                <w:color w:val="auto"/>
                <w:sz w:val="20"/>
                <w:lang w:val="de-CH"/>
              </w:rPr>
            </w:pPr>
            <w:bookmarkStart w:id="753" w:name="_Toc263509071"/>
            <w:bookmarkStart w:id="754" w:name="_Toc263510858"/>
            <w:bookmarkStart w:id="755" w:name="_Toc244577336"/>
            <w:bookmarkStart w:id="756" w:name="_Toc263495805"/>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74</w:t>
            </w:r>
            <w:r w:rsidR="00DF2DF8" w:rsidRPr="00031E7C">
              <w:rPr>
                <w:rFonts w:ascii="Perpetua" w:hAnsi="Perpetua"/>
                <w:b w:val="0"/>
                <w:color w:val="auto"/>
                <w:sz w:val="20"/>
              </w:rPr>
              <w:fldChar w:fldCharType="end"/>
            </w:r>
            <w:r w:rsidRPr="00031E7C">
              <w:rPr>
                <w:rFonts w:ascii="Perpetua" w:hAnsi="Perpetua"/>
                <w:b w:val="0"/>
                <w:color w:val="auto"/>
                <w:sz w:val="20"/>
              </w:rPr>
              <w:t>:</w:t>
            </w:r>
            <w:r w:rsidRPr="00241A99">
              <w:rPr>
                <w:rFonts w:ascii="Perpetua" w:hAnsi="Perpetua"/>
                <w:b w:val="0"/>
                <w:color w:val="auto"/>
                <w:sz w:val="20"/>
              </w:rPr>
              <w:t xml:space="preserve"> </w:t>
            </w:r>
            <w:r w:rsidR="00031E7C">
              <w:rPr>
                <w:rFonts w:ascii="Perpetua" w:hAnsi="Perpetua"/>
                <w:b w:val="0"/>
                <w:color w:val="auto"/>
                <w:sz w:val="20"/>
              </w:rPr>
              <w:t xml:space="preserve">Photograph of </w:t>
            </w:r>
            <w:r w:rsidR="00031E7C">
              <w:rPr>
                <w:rFonts w:ascii="Perpetua" w:hAnsi="Perpetua"/>
                <w:b w:val="0"/>
                <w:color w:val="auto"/>
                <w:sz w:val="20"/>
                <w:lang w:val="de-CH"/>
              </w:rPr>
              <w:t>Karel Roskam's Poster (Dutch version).</w:t>
            </w:r>
            <w:bookmarkEnd w:id="753"/>
            <w:bookmarkEnd w:id="754"/>
          </w:p>
          <w:p w:rsidR="00241A99" w:rsidRPr="00031E7C" w:rsidRDefault="00241A99" w:rsidP="00031E7C">
            <w:pPr>
              <w:rPr>
                <w:rFonts w:ascii="Perpetua" w:hAnsi="Perpetua"/>
                <w:sz w:val="20"/>
              </w:rPr>
            </w:pPr>
            <w:r w:rsidRPr="00241A99">
              <w:rPr>
                <w:lang w:val="de-CH"/>
              </w:rPr>
              <w:t xml:space="preserve"> </w:t>
            </w:r>
            <w:r w:rsidRPr="00031E7C">
              <w:rPr>
                <w:rFonts w:ascii="Perpetua" w:hAnsi="Perpetua"/>
                <w:sz w:val="20"/>
              </w:rPr>
              <w:t>'10 Motieven waarom u zich NIET in Zuid Afrika zoudt vestigen' (see Figure 75 for English translation).</w:t>
            </w:r>
            <w:bookmarkEnd w:id="755"/>
            <w:bookmarkEnd w:id="756"/>
          </w:p>
        </w:tc>
      </w:tr>
    </w:tbl>
    <w:p w:rsidR="003F4A98" w:rsidRPr="004246B0" w:rsidRDefault="003F4A98" w:rsidP="003F4A98">
      <w:pPr>
        <w:autoSpaceDE w:val="0"/>
        <w:autoSpaceDN w:val="0"/>
        <w:adjustRightInd w:val="0"/>
        <w:spacing w:after="0" w:line="360" w:lineRule="auto"/>
        <w:jc w:val="center"/>
        <w:rPr>
          <w:rFonts w:ascii="Garamond" w:hAnsi="Garamond"/>
        </w:rPr>
      </w:pPr>
    </w:p>
    <w:p w:rsidR="003F4A98" w:rsidRPr="004246B0" w:rsidRDefault="003F4A98" w:rsidP="003F4A98">
      <w:pPr>
        <w:autoSpaceDE w:val="0"/>
        <w:autoSpaceDN w:val="0"/>
        <w:adjustRightInd w:val="0"/>
        <w:spacing w:after="0" w:line="360" w:lineRule="auto"/>
        <w:jc w:val="center"/>
        <w:rPr>
          <w:rFonts w:ascii="Garamond" w:hAnsi="Garamond"/>
          <w:i/>
        </w:rPr>
      </w:pPr>
    </w:p>
    <w:p w:rsidR="00031E7C" w:rsidRDefault="0099596F" w:rsidP="00353742">
      <w:pPr>
        <w:pStyle w:val="Caption"/>
        <w:rPr>
          <w:rFonts w:ascii="Perpetua" w:hAnsi="Perpetua"/>
          <w:b w:val="0"/>
          <w:color w:val="auto"/>
          <w:sz w:val="20"/>
        </w:rPr>
      </w:pPr>
      <w:bookmarkStart w:id="757" w:name="_Toc244577337"/>
      <w:bookmarkStart w:id="758" w:name="_Toc263495806"/>
      <w:r w:rsidRPr="00036AFD">
        <w:rPr>
          <w:rFonts w:ascii="Garamond" w:hAnsi="Garamond"/>
          <w:noProof/>
          <w:lang w:eastAsia="en-GB"/>
        </w:rPr>
        <w:lastRenderedPageBreak/>
        <w:drawing>
          <wp:inline distT="0" distB="0" distL="0" distR="0">
            <wp:extent cx="5270500" cy="7750496"/>
            <wp:effectExtent l="25400" t="0" r="0" b="0"/>
            <wp:docPr id="144" name="Picture 2" descr="C:\Users\hugh crosfield\Downloads\KAIROS ANTIEMIGRATION HJEC TRANSL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gh crosfield\Downloads\KAIROS ANTIEMIGRATION HJEC TRANSLATION2.jpg"/>
                    <pic:cNvPicPr>
                      <a:picLocks noChangeAspect="1" noChangeArrowheads="1"/>
                    </pic:cNvPicPr>
                  </pic:nvPicPr>
                  <pic:blipFill>
                    <a:blip r:embed="rId119" cstate="print"/>
                    <a:srcRect/>
                    <a:stretch>
                      <a:fillRect/>
                    </a:stretch>
                  </pic:blipFill>
                  <pic:spPr bwMode="auto">
                    <a:xfrm>
                      <a:off x="0" y="0"/>
                      <a:ext cx="5270500" cy="7750496"/>
                    </a:xfrm>
                    <a:prstGeom prst="rect">
                      <a:avLst/>
                    </a:prstGeom>
                    <a:noFill/>
                    <a:ln w="9525">
                      <a:noFill/>
                      <a:miter lim="800000"/>
                      <a:headEnd/>
                      <a:tailEnd/>
                    </a:ln>
                  </pic:spPr>
                </pic:pic>
              </a:graphicData>
            </a:graphic>
          </wp:inline>
        </w:drawing>
      </w:r>
    </w:p>
    <w:p w:rsidR="00031E7C" w:rsidRPr="00031E7C" w:rsidRDefault="0099596F" w:rsidP="00031E7C">
      <w:pPr>
        <w:pStyle w:val="Caption"/>
        <w:ind w:left="993"/>
        <w:rPr>
          <w:rFonts w:ascii="Perpetua" w:hAnsi="Perpetua"/>
          <w:b w:val="0"/>
          <w:color w:val="auto"/>
          <w:sz w:val="20"/>
        </w:rPr>
      </w:pPr>
      <w:bookmarkStart w:id="759" w:name="_Toc263509072"/>
      <w:bookmarkStart w:id="760" w:name="_Toc263510859"/>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75</w:t>
      </w:r>
      <w:r w:rsidR="00DF2DF8" w:rsidRPr="00031E7C">
        <w:rPr>
          <w:rFonts w:ascii="Perpetua" w:hAnsi="Perpetua"/>
          <w:b w:val="0"/>
          <w:color w:val="auto"/>
          <w:sz w:val="20"/>
        </w:rPr>
        <w:fldChar w:fldCharType="end"/>
      </w:r>
      <w:r w:rsidR="003F4A98" w:rsidRPr="00031E7C">
        <w:rPr>
          <w:rFonts w:ascii="Perpetua" w:hAnsi="Perpetua"/>
          <w:b w:val="0"/>
          <w:color w:val="auto"/>
          <w:sz w:val="20"/>
        </w:rPr>
        <w:t xml:space="preserve">: </w:t>
      </w:r>
      <w:r w:rsidR="00031E7C">
        <w:rPr>
          <w:rFonts w:ascii="Perpetua" w:hAnsi="Perpetua"/>
          <w:b w:val="0"/>
          <w:color w:val="auto"/>
          <w:sz w:val="20"/>
        </w:rPr>
        <w:t>English t</w:t>
      </w:r>
      <w:r w:rsidR="00031E7C" w:rsidRPr="00031E7C">
        <w:rPr>
          <w:rFonts w:ascii="Perpetua" w:hAnsi="Perpetua"/>
          <w:b w:val="0"/>
          <w:color w:val="auto"/>
          <w:sz w:val="20"/>
        </w:rPr>
        <w:t>ranslation of Roskam's Poster, as presented in Dutch on VARA TV.</w:t>
      </w:r>
      <w:bookmarkEnd w:id="759"/>
      <w:bookmarkEnd w:id="760"/>
      <w:r w:rsidR="00031E7C" w:rsidRPr="00031E7C">
        <w:rPr>
          <w:rFonts w:ascii="Perpetua" w:hAnsi="Perpetua"/>
          <w:b w:val="0"/>
          <w:color w:val="auto"/>
          <w:sz w:val="20"/>
        </w:rPr>
        <w:t xml:space="preserve"> </w:t>
      </w:r>
    </w:p>
    <w:p w:rsidR="003F4A98" w:rsidRPr="00031E7C" w:rsidRDefault="003F4A98" w:rsidP="00031E7C">
      <w:pPr>
        <w:ind w:left="993"/>
        <w:rPr>
          <w:rFonts w:ascii="Perpetua" w:hAnsi="Perpetua"/>
          <w:sz w:val="20"/>
        </w:rPr>
      </w:pPr>
      <w:r w:rsidRPr="00031E7C">
        <w:rPr>
          <w:rFonts w:ascii="Perpetua" w:hAnsi="Perpetua"/>
          <w:sz w:val="20"/>
        </w:rPr>
        <w:t xml:space="preserve">The 'war of representation' in Holland: </w:t>
      </w:r>
      <w:r w:rsidR="00353742" w:rsidRPr="00031E7C">
        <w:rPr>
          <w:rFonts w:ascii="Perpetua" w:hAnsi="Perpetua"/>
          <w:sz w:val="20"/>
        </w:rPr>
        <w:t>The poster in Kairos Beri</w:t>
      </w:r>
      <w:r w:rsidRPr="00031E7C">
        <w:rPr>
          <w:rFonts w:ascii="Perpetua" w:hAnsi="Perpetua"/>
          <w:sz w:val="20"/>
        </w:rPr>
        <w:t>chten appeared as part of a wider article on anti-emigration, pitches the Department of Information's Eschel Rhoodie head to head against the BOA's Karel Roskam</w:t>
      </w:r>
      <w:bookmarkEnd w:id="757"/>
      <w:bookmarkEnd w:id="758"/>
    </w:p>
    <w:p w:rsidR="003F4A98" w:rsidRPr="004246B0" w:rsidRDefault="003F4A98" w:rsidP="003F4A98">
      <w:pPr>
        <w:autoSpaceDE w:val="0"/>
        <w:autoSpaceDN w:val="0"/>
        <w:adjustRightInd w:val="0"/>
        <w:spacing w:after="0" w:line="360" w:lineRule="auto"/>
        <w:jc w:val="center"/>
        <w:rPr>
          <w:rFonts w:ascii="Garamond" w:hAnsi="Garamond"/>
          <w:i/>
          <w:sz w:val="20"/>
          <w:szCs w:val="20"/>
        </w:rPr>
      </w:pPr>
    </w:p>
    <w:p w:rsidR="003F4A98" w:rsidRPr="004246B0" w:rsidRDefault="003F4A98" w:rsidP="003F4A98">
      <w:pPr>
        <w:spacing w:line="360" w:lineRule="auto"/>
        <w:jc w:val="center"/>
        <w:rPr>
          <w:rFonts w:ascii="Garamond" w:hAnsi="Garamond"/>
          <w:sz w:val="24"/>
          <w:szCs w:val="24"/>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Drafted by Eschel Rhoodie of the South African embassy in The Hague, the original advert, </w:t>
      </w:r>
      <w:r w:rsidRPr="004246B0">
        <w:rPr>
          <w:rFonts w:ascii="Garamond" w:hAnsi="Garamond"/>
          <w:i/>
          <w:sz w:val="24"/>
          <w:szCs w:val="24"/>
        </w:rPr>
        <w:t>Ten reasons to Migrate to South Africa</w:t>
      </w:r>
      <w:r w:rsidRPr="004246B0">
        <w:rPr>
          <w:rFonts w:ascii="Garamond" w:hAnsi="Garamond"/>
          <w:sz w:val="24"/>
          <w:szCs w:val="24"/>
        </w:rPr>
        <w:t xml:space="preserve">, was circulated in several mainstream and specialist Dutch publications from 1969 (including </w:t>
      </w:r>
      <w:r w:rsidRPr="004246B0">
        <w:rPr>
          <w:rFonts w:ascii="Garamond" w:hAnsi="Garamond"/>
          <w:i/>
          <w:sz w:val="24"/>
          <w:szCs w:val="24"/>
        </w:rPr>
        <w:t>de Telegraaf</w:t>
      </w:r>
      <w:r w:rsidRPr="004246B0">
        <w:rPr>
          <w:rFonts w:ascii="Garamond" w:hAnsi="Garamond"/>
          <w:sz w:val="24"/>
          <w:szCs w:val="24"/>
        </w:rPr>
        <w:t xml:space="preserve">, </w:t>
      </w:r>
      <w:r w:rsidRPr="004246B0">
        <w:rPr>
          <w:rFonts w:ascii="Garamond" w:hAnsi="Garamond"/>
          <w:i/>
          <w:sz w:val="24"/>
          <w:szCs w:val="24"/>
        </w:rPr>
        <w:t>Algemeen Dagblad,</w:t>
      </w:r>
      <w:r w:rsidRPr="004246B0">
        <w:rPr>
          <w:rFonts w:ascii="Garamond" w:hAnsi="Garamond"/>
          <w:sz w:val="24"/>
          <w:szCs w:val="24"/>
        </w:rPr>
        <w:t xml:space="preserve"> </w:t>
      </w:r>
      <w:r w:rsidRPr="004246B0">
        <w:rPr>
          <w:rFonts w:ascii="Garamond" w:hAnsi="Garamond"/>
          <w:i/>
          <w:sz w:val="24"/>
          <w:szCs w:val="24"/>
        </w:rPr>
        <w:t>Tussen de Rails</w:t>
      </w:r>
      <w:r w:rsidRPr="004246B0">
        <w:rPr>
          <w:rFonts w:ascii="Garamond" w:hAnsi="Garamond"/>
          <w:sz w:val="24"/>
          <w:szCs w:val="24"/>
        </w:rPr>
        <w:t xml:space="preserve">, and </w:t>
      </w:r>
      <w:r w:rsidRPr="004246B0">
        <w:rPr>
          <w:rFonts w:ascii="Garamond" w:hAnsi="Garamond"/>
          <w:i/>
          <w:sz w:val="24"/>
          <w:szCs w:val="24"/>
        </w:rPr>
        <w:t>Het Parool</w:t>
      </w:r>
      <w:r w:rsidRPr="004246B0">
        <w:rPr>
          <w:rFonts w:ascii="Garamond" w:hAnsi="Garamond"/>
          <w:sz w:val="24"/>
          <w:szCs w:val="24"/>
        </w:rPr>
        <w:t>). The advert</w:t>
      </w:r>
      <w:r>
        <w:rPr>
          <w:rFonts w:ascii="Garamond" w:hAnsi="Garamond"/>
          <w:sz w:val="24"/>
          <w:szCs w:val="24"/>
        </w:rPr>
        <w:t xml:space="preserve"> is an</w:t>
      </w:r>
      <w:r w:rsidRPr="004246B0">
        <w:rPr>
          <w:rFonts w:ascii="Garamond" w:hAnsi="Garamond"/>
          <w:sz w:val="24"/>
          <w:szCs w:val="24"/>
        </w:rPr>
        <w:t xml:space="preserve"> exampl</w:t>
      </w:r>
      <w:r>
        <w:rPr>
          <w:rFonts w:ascii="Garamond" w:hAnsi="Garamond"/>
          <w:sz w:val="24"/>
          <w:szCs w:val="24"/>
        </w:rPr>
        <w:t>e of</w:t>
      </w:r>
      <w:r w:rsidRPr="004246B0">
        <w:rPr>
          <w:rFonts w:ascii="Garamond" w:hAnsi="Garamond"/>
          <w:sz w:val="24"/>
          <w:szCs w:val="24"/>
        </w:rPr>
        <w:t xml:space="preserve"> how the transnational pro-apartheid network aimed to reproduce the apartheid sociality of skin by appealing to the aspirational working class in Holland (in the UK, adverts appealed more to the middle classes);</w:t>
      </w:r>
      <w:r w:rsidRPr="004246B0">
        <w:rPr>
          <w:rStyle w:val="FootnoteReference"/>
          <w:rFonts w:ascii="Garamond" w:hAnsi="Garamond"/>
          <w:sz w:val="24"/>
          <w:szCs w:val="24"/>
        </w:rPr>
        <w:footnoteReference w:id="186"/>
      </w:r>
      <w:r w:rsidRPr="004246B0">
        <w:rPr>
          <w:rFonts w:ascii="Garamond" w:hAnsi="Garamond"/>
          <w:sz w:val="24"/>
          <w:szCs w:val="24"/>
        </w:rPr>
        <w:t xml:space="preserve"> it clearly targeted undervalued skilled blue-collar labourers in Holland (mechanics, engineers, welders, etc.), and belied a careful process of contextual displacement. The eugenic project and references to skin colour were dressed with narratives of personal betterment and proto-national pride:</w:t>
      </w:r>
      <w:r w:rsidRPr="004246B0">
        <w:rPr>
          <w:rStyle w:val="FootnoteReference"/>
          <w:rFonts w:ascii="Garamond" w:hAnsi="Garamond"/>
          <w:sz w:val="24"/>
          <w:szCs w:val="24"/>
        </w:rPr>
        <w:footnoteReference w:id="187"/>
      </w:r>
      <w:r w:rsidRPr="004246B0">
        <w:rPr>
          <w:rFonts w:ascii="Garamond" w:hAnsi="Garamond"/>
          <w:sz w:val="24"/>
          <w:szCs w:val="24"/>
        </w:rPr>
        <w:t xml:space="preserve"> "there are many casual vacancies for great, enterprising people who personally want to participate in rapid industrial development". Although race was a latent presence, in the bones of every word, the advert made no mention of skin colour (such an advert would have been easier for national governments to ban), and through its 'reasons' to migrate it constructed the 'ideal' transnational migrant. 'He' should be proud (and perhaps feel undervalued in Europe). He should be motivated by material gain, and he should desire peace and appreciate natural beauty (and perhaps feel too cramped in over-crowded multiracial Europe). He should assimilate quickly, and he shouldn't ask too many questions or do too much thinking - "for you to start something - you don't need hundreds of diplomas". This was Findlay et al.'s (2013) selective embodied transnationalism in eugenic extrem</w:t>
      </w:r>
      <w:r>
        <w:rPr>
          <w:rFonts w:ascii="Garamond" w:hAnsi="Garamond"/>
          <w:sz w:val="24"/>
          <w:szCs w:val="24"/>
        </w:rPr>
        <w:t>ity</w:t>
      </w:r>
      <w:r w:rsidRPr="004246B0">
        <w:rPr>
          <w:rFonts w:ascii="Garamond" w:hAnsi="Garamond"/>
          <w:sz w:val="24"/>
          <w:szCs w:val="24"/>
        </w:rPr>
        <w:t>.</w:t>
      </w:r>
      <w:r w:rsidRPr="004246B0">
        <w:rPr>
          <w:rStyle w:val="FootnoteReference"/>
          <w:rFonts w:ascii="Garamond" w:hAnsi="Garamond"/>
          <w:sz w:val="24"/>
          <w:szCs w:val="24"/>
        </w:rPr>
        <w:footnoteReference w:id="188"/>
      </w:r>
      <w:r w:rsidRPr="004246B0">
        <w:rPr>
          <w:rFonts w:ascii="Garamond" w:hAnsi="Garamond"/>
          <w:sz w:val="24"/>
          <w:szCs w:val="24"/>
        </w:rPr>
        <w:t xml:space="preserve"> But Rhoodie had clothed the process in pretend naivety and innocence: "South Africa is just a 'nice country' where people who want to achieve something are very welcome to make their home".    </w:t>
      </w:r>
    </w:p>
    <w:p w:rsidR="003F4A98" w:rsidRPr="004246B0" w:rsidRDefault="003F4A98" w:rsidP="0099596F">
      <w:pPr>
        <w:spacing w:after="0" w:line="360" w:lineRule="auto"/>
        <w:jc w:val="both"/>
        <w:rPr>
          <w:rFonts w:ascii="Garamond" w:hAnsi="Garamond"/>
          <w:sz w:val="24"/>
          <w:szCs w:val="24"/>
        </w:rPr>
      </w:pPr>
    </w:p>
    <w:p w:rsidR="003F4A98" w:rsidRPr="004246B0"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In 1972, Karel Roskam wrote the text for the anti-emigration poster at the African Studies Centre (interview du Plessis, 2012) as part of VARA's programme Achter Het </w:t>
      </w:r>
      <w:r w:rsidRPr="004246B0">
        <w:rPr>
          <w:rFonts w:ascii="Garamond" w:hAnsi="Garamond"/>
          <w:sz w:val="24"/>
          <w:szCs w:val="24"/>
        </w:rPr>
        <w:lastRenderedPageBreak/>
        <w:t>Nieuws.</w:t>
      </w:r>
      <w:r w:rsidRPr="004246B0">
        <w:rPr>
          <w:rStyle w:val="FootnoteReference"/>
          <w:rFonts w:ascii="Garamond" w:hAnsi="Garamond"/>
          <w:sz w:val="24"/>
          <w:szCs w:val="24"/>
        </w:rPr>
        <w:footnoteReference w:id="189"/>
      </w:r>
      <w:r w:rsidRPr="004246B0">
        <w:rPr>
          <w:rFonts w:ascii="Garamond" w:hAnsi="Garamond"/>
          <w:sz w:val="24"/>
          <w:szCs w:val="24"/>
        </w:rPr>
        <w:t xml:space="preserve"> Thinking in part like an academic,</w:t>
      </w:r>
      <w:r w:rsidRPr="004246B0">
        <w:rPr>
          <w:rStyle w:val="FootnoteReference"/>
          <w:rFonts w:ascii="Garamond" w:hAnsi="Garamond"/>
          <w:sz w:val="24"/>
          <w:szCs w:val="24"/>
        </w:rPr>
        <w:footnoteReference w:id="190"/>
      </w:r>
      <w:r w:rsidRPr="004246B0">
        <w:rPr>
          <w:rFonts w:ascii="Garamond" w:hAnsi="Garamond"/>
          <w:sz w:val="24"/>
          <w:szCs w:val="24"/>
        </w:rPr>
        <w:t xml:space="preserve"> and in part like the journalist that he was, Roskam deconstructed Rhoodie's South Africa to reveal the racist logic and legal framework of white migration, and to show how the white migrant himself was productive of relational embodied politics and oppressions. He stated that the vacancies across the professions earmarked by the advert were only available because "by law black workers are prohibited from these positions", and taking those vacancies would entail not having "a personal objection to racial discrimination and earning ten times as much as blacks". The poster reprinted Rhoodie's advert in its entirety, but it mirrored the ten reasons to migrate to South Africa with ten reasons not to migrate. The font, design and tone of the advert were kept identical to the original. The poster is archetypical of the professional approach taken by Dutch AAMs (particularly Kairos and the BOA) in the early 1970s to anti-apartheid advertising.</w:t>
      </w:r>
      <w:r w:rsidRPr="004246B0">
        <w:rPr>
          <w:rStyle w:val="FootnoteReference"/>
          <w:rFonts w:ascii="Garamond" w:hAnsi="Garamond"/>
          <w:sz w:val="24"/>
          <w:szCs w:val="24"/>
        </w:rPr>
        <w:footnoteReference w:id="191"/>
      </w:r>
      <w:r w:rsidRPr="004246B0">
        <w:rPr>
          <w:rFonts w:ascii="Garamond" w:hAnsi="Garamond"/>
          <w:sz w:val="24"/>
          <w:szCs w:val="24"/>
        </w:rPr>
        <w:t xml:space="preserve"> </w:t>
      </w:r>
    </w:p>
    <w:p w:rsidR="003F4A98" w:rsidRPr="004246B0" w:rsidRDefault="003F4A98" w:rsidP="0099596F">
      <w:pPr>
        <w:spacing w:after="0" w:line="360" w:lineRule="auto"/>
        <w:jc w:val="both"/>
        <w:rPr>
          <w:rFonts w:ascii="Garamond" w:hAnsi="Garamond"/>
          <w:sz w:val="24"/>
          <w:szCs w:val="24"/>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The poster was designed to exactly fit as a sticker that was overlaid atop Rhoodie's original advert in publications of Tussen de Rails (du Plessis, 1975). As part of a campaign on emigration presented to the Dutch churches, Kairos reprinted Roskam's work and led the public into thinking that they were reading the authentic advertisement. For the reader, the realization of mimicry and parody would have come after "industrial growth is due to the exploitation of black workers who do not get opportunities". In this </w:t>
      </w:r>
      <w:r>
        <w:rPr>
          <w:rFonts w:ascii="Garamond" w:hAnsi="Garamond"/>
          <w:sz w:val="24"/>
          <w:szCs w:val="24"/>
        </w:rPr>
        <w:t>way even an apartheid sympathiz</w:t>
      </w:r>
      <w:r w:rsidRPr="004246B0">
        <w:rPr>
          <w:rFonts w:ascii="Garamond" w:hAnsi="Garamond"/>
          <w:sz w:val="24"/>
          <w:szCs w:val="24"/>
        </w:rPr>
        <w:t xml:space="preserve">er may have begun that sentence taking the words in the context of Rhoodie's original advert. An editorial glance or retailer's check could quite easily have left the parody undetected.  Du Plessis' chapter on action models in </w:t>
      </w:r>
      <w:r w:rsidRPr="004246B0">
        <w:rPr>
          <w:rFonts w:ascii="Garamond" w:hAnsi="Garamond"/>
          <w:i/>
          <w:sz w:val="24"/>
          <w:szCs w:val="24"/>
        </w:rPr>
        <w:t xml:space="preserve">White Migration </w:t>
      </w:r>
      <w:r w:rsidRPr="004246B0">
        <w:rPr>
          <w:rFonts w:ascii="Garamond" w:hAnsi="Garamond"/>
          <w:sz w:val="24"/>
          <w:szCs w:val="24"/>
        </w:rPr>
        <w:t xml:space="preserve">offers insight into the importance that the BOA placed on these adverts to assist anti-apartheid actions: </w:t>
      </w:r>
    </w:p>
    <w:p w:rsidR="003F4A98" w:rsidRPr="004246B0" w:rsidRDefault="003F4A98" w:rsidP="0099596F">
      <w:pPr>
        <w:spacing w:after="0" w:line="360" w:lineRule="auto"/>
        <w:jc w:val="both"/>
        <w:rPr>
          <w:rFonts w:ascii="Garamond" w:hAnsi="Garamond"/>
          <w:sz w:val="24"/>
          <w:szCs w:val="24"/>
        </w:rPr>
      </w:pPr>
    </w:p>
    <w:p w:rsidR="0099596F" w:rsidRDefault="003F4A98" w:rsidP="0099596F">
      <w:pPr>
        <w:spacing w:after="0" w:line="360" w:lineRule="auto"/>
        <w:ind w:left="284" w:right="284"/>
        <w:jc w:val="both"/>
        <w:rPr>
          <w:rFonts w:ascii="Garamond" w:hAnsi="Garamond"/>
        </w:rPr>
      </w:pPr>
      <w:r w:rsidRPr="004246B0">
        <w:rPr>
          <w:rFonts w:ascii="Garamond" w:hAnsi="Garamond"/>
        </w:rPr>
        <w:t xml:space="preserve">Action groups should devise alternative advertisements in which people are discouraged to emigrate to South Africa. These advertisements need not be long, but they should be </w:t>
      </w:r>
      <w:r w:rsidRPr="004246B0">
        <w:rPr>
          <w:rFonts w:ascii="Garamond" w:hAnsi="Garamond"/>
        </w:rPr>
        <w:lastRenderedPageBreak/>
        <w:t>drawn up very carefully.... They reach readers of papers which would probably not cover the campaign against emigration...and the group opposing apartheid becomes better known to the larger public. Groups which do not have much experience in such matters should try to enlist the help of professional pe</w:t>
      </w:r>
      <w:r>
        <w:rPr>
          <w:rFonts w:ascii="Garamond" w:hAnsi="Garamond"/>
        </w:rPr>
        <w:t>ople from the advertising world. (1975: 248-9)</w:t>
      </w:r>
    </w:p>
    <w:p w:rsidR="003F4A98" w:rsidRPr="004246B0" w:rsidRDefault="003F4A98" w:rsidP="0099596F">
      <w:pPr>
        <w:spacing w:after="0" w:line="360" w:lineRule="auto"/>
        <w:ind w:left="284" w:right="284"/>
        <w:jc w:val="both"/>
        <w:rPr>
          <w:rFonts w:ascii="Garamond" w:hAnsi="Garamond"/>
        </w:rPr>
      </w:pPr>
    </w:p>
    <w:p w:rsidR="003F4A98" w:rsidRPr="004246B0" w:rsidRDefault="003F4A98" w:rsidP="0099596F">
      <w:pPr>
        <w:spacing w:after="0" w:line="360" w:lineRule="auto"/>
        <w:jc w:val="both"/>
        <w:rPr>
          <w:rFonts w:ascii="Garamond" w:hAnsi="Garamond" w:cs="CantoriaMT"/>
          <w:sz w:val="20"/>
          <w:szCs w:val="20"/>
        </w:rPr>
      </w:pPr>
      <w:r w:rsidRPr="004246B0">
        <w:rPr>
          <w:rFonts w:ascii="Garamond" w:hAnsi="Garamond"/>
          <w:sz w:val="24"/>
          <w:szCs w:val="24"/>
        </w:rPr>
        <w:t>Du Plessis shows that such adverts, when skilfully produced, were useful for extra publicity by hijacking unsympathetic press channels. Roskam's advert also constituted an appeal to the Dutch public to take responsibility for their actions in migrating. He did this, point by point, through evidencing how migration produced racist inequality. But both Kairos and the BOA thought that it was naive and too risky to entirely trust the Dutch public to take heed of their responsibilities to the racially oppressed of South Africa. Point nine of the anti-migration advertisement hints at a second method (in addition to deconstruction, unveiling and pedagogy), that the BOA went on to fully utilize. Here, Kairos suggest that Dutch immigrants could be imprisoned by the apartheid state for making inappropriate friends, for developing contacts with black people. The second tactic was to nourish and harness fear for anti-apartheid ends, and the BOA became extraordinarily proficient at it.</w:t>
      </w:r>
      <w:r w:rsidRPr="004246B0">
        <w:rPr>
          <w:rStyle w:val="FootnoteReference"/>
          <w:rFonts w:ascii="Garamond" w:hAnsi="Garamond"/>
          <w:sz w:val="24"/>
          <w:szCs w:val="24"/>
        </w:rPr>
        <w:t xml:space="preserve"> </w:t>
      </w:r>
      <w:r w:rsidRPr="004246B0">
        <w:rPr>
          <w:rStyle w:val="FootnoteReference"/>
          <w:rFonts w:ascii="Garamond" w:hAnsi="Garamond"/>
          <w:sz w:val="24"/>
          <w:szCs w:val="24"/>
        </w:rPr>
        <w:footnoteReference w:id="192"/>
      </w:r>
    </w:p>
    <w:p w:rsidR="003F4A98" w:rsidRPr="004246B0" w:rsidRDefault="003F4A98" w:rsidP="0099596F">
      <w:pPr>
        <w:spacing w:after="0" w:line="360" w:lineRule="auto"/>
        <w:jc w:val="both"/>
        <w:rPr>
          <w:rFonts w:ascii="Garamond" w:hAnsi="Garamond"/>
          <w:b/>
          <w:sz w:val="24"/>
          <w:szCs w:val="24"/>
        </w:rPr>
      </w:pPr>
    </w:p>
    <w:p w:rsidR="003F4A98" w:rsidRPr="0099596F" w:rsidRDefault="003F4A98" w:rsidP="0099596F">
      <w:pPr>
        <w:spacing w:after="0" w:line="360" w:lineRule="auto"/>
        <w:jc w:val="both"/>
        <w:rPr>
          <w:rFonts w:ascii="Garamond" w:hAnsi="Garamond"/>
          <w:b/>
          <w:i/>
          <w:szCs w:val="24"/>
        </w:rPr>
      </w:pPr>
      <w:r w:rsidRPr="0099596F">
        <w:rPr>
          <w:rFonts w:ascii="Garamond" w:hAnsi="Garamond"/>
          <w:b/>
          <w:i/>
          <w:szCs w:val="24"/>
        </w:rPr>
        <w:t>Harnessing fear</w:t>
      </w:r>
    </w:p>
    <w:p w:rsidR="003F4A98" w:rsidRPr="004246B0" w:rsidRDefault="003F4A98" w:rsidP="0099596F">
      <w:pPr>
        <w:spacing w:after="0" w:line="360" w:lineRule="auto"/>
        <w:jc w:val="both"/>
        <w:rPr>
          <w:rFonts w:ascii="Garamond" w:hAnsi="Garamond"/>
          <w:b/>
          <w:sz w:val="24"/>
          <w:szCs w:val="24"/>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The BOA harnessed several types of fear in order to corrupt the smooth and disconnected landscapes of white labour and home-making advertised by the pro-apartheid networks. There were crucial differences in the extent and types of fear that the BOA utilized across the national and transnational anti-emigration campaigns. In the BOA's chapter for the transnational anti-emigration movement in </w:t>
      </w:r>
      <w:r w:rsidRPr="004246B0">
        <w:rPr>
          <w:rFonts w:ascii="Garamond" w:hAnsi="Garamond"/>
          <w:i/>
          <w:sz w:val="24"/>
          <w:szCs w:val="24"/>
        </w:rPr>
        <w:t>White Migration</w:t>
      </w:r>
      <w:r w:rsidRPr="004246B0">
        <w:rPr>
          <w:rFonts w:ascii="Garamond" w:hAnsi="Garamond"/>
          <w:sz w:val="24"/>
          <w:szCs w:val="24"/>
        </w:rPr>
        <w:t xml:space="preserve">, the black body exists only in the fringes of their rhetoric, as a silent entity in the wider discussion on grassroots black resistance to apartheid: </w:t>
      </w:r>
    </w:p>
    <w:p w:rsidR="003F4A98" w:rsidRPr="004246B0" w:rsidRDefault="003F4A98" w:rsidP="0099596F">
      <w:pPr>
        <w:spacing w:after="0" w:line="360" w:lineRule="auto"/>
        <w:jc w:val="both"/>
        <w:rPr>
          <w:rFonts w:ascii="Garamond" w:hAnsi="Garamond"/>
          <w:sz w:val="24"/>
          <w:szCs w:val="24"/>
        </w:rPr>
      </w:pPr>
    </w:p>
    <w:p w:rsidR="003F4A98" w:rsidRPr="004246B0" w:rsidRDefault="003F4A98" w:rsidP="003F4A98">
      <w:pPr>
        <w:spacing w:line="360" w:lineRule="auto"/>
        <w:ind w:left="284" w:right="284"/>
        <w:jc w:val="both"/>
        <w:rPr>
          <w:rFonts w:ascii="Garamond" w:hAnsi="Garamond"/>
        </w:rPr>
      </w:pPr>
      <w:r w:rsidRPr="004246B0">
        <w:rPr>
          <w:rFonts w:ascii="Garamond" w:hAnsi="Garamond"/>
        </w:rPr>
        <w:t>Play skilfully on the fear trouble to come.</w:t>
      </w:r>
    </w:p>
    <w:p w:rsidR="0099596F" w:rsidRDefault="003F4A98" w:rsidP="0099596F">
      <w:pPr>
        <w:spacing w:after="0" w:line="360" w:lineRule="auto"/>
        <w:ind w:left="284" w:right="284"/>
        <w:jc w:val="both"/>
        <w:rPr>
          <w:rFonts w:ascii="Garamond" w:hAnsi="Garamond"/>
        </w:rPr>
      </w:pPr>
      <w:r w:rsidRPr="004246B0">
        <w:rPr>
          <w:rFonts w:ascii="Garamond" w:hAnsi="Garamond"/>
        </w:rPr>
        <w:t xml:space="preserve">Before emigrating, most immigrants carefully consider whether their new country of adoption is safe, stable and secure. One can therefore reasonably expect that the </w:t>
      </w:r>
      <w:r w:rsidRPr="004246B0">
        <w:rPr>
          <w:rFonts w:ascii="Garamond" w:hAnsi="Garamond"/>
        </w:rPr>
        <w:lastRenderedPageBreak/>
        <w:t>prospective immigrant would have second thoughts about going to South Africa, if well-organized strikes increasingly take place and if riots and mass demonstrations against apartheid are the order of the day. The Sharpeville massacre of</w:t>
      </w:r>
      <w:r>
        <w:rPr>
          <w:rFonts w:ascii="Garamond" w:hAnsi="Garamond"/>
        </w:rPr>
        <w:t xml:space="preserve"> March 1960 is a case in point. (1975: 250)</w:t>
      </w:r>
    </w:p>
    <w:p w:rsidR="003F4A98" w:rsidRPr="004246B0" w:rsidRDefault="003F4A98" w:rsidP="0099596F">
      <w:pPr>
        <w:spacing w:after="0" w:line="360" w:lineRule="auto"/>
        <w:ind w:left="284" w:right="284"/>
        <w:jc w:val="both"/>
        <w:rPr>
          <w:rFonts w:ascii="Garamond" w:hAnsi="Garamond"/>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Du Plessis advocates harnessing immigrant fears over economic and social security. This could be achieved, du P</w:t>
      </w:r>
      <w:r>
        <w:rPr>
          <w:rFonts w:ascii="Garamond" w:hAnsi="Garamond"/>
          <w:sz w:val="24"/>
          <w:szCs w:val="24"/>
        </w:rPr>
        <w:t>l</w:t>
      </w:r>
      <w:r w:rsidRPr="004246B0">
        <w:rPr>
          <w:rFonts w:ascii="Garamond" w:hAnsi="Garamond"/>
          <w:sz w:val="24"/>
          <w:szCs w:val="24"/>
        </w:rPr>
        <w:t>essis suggests, through giving publicity to the increasingly militant and organized black boycotts, strikes and pickets in Durban and the Cape Province. The uncertainties of Sharpeville and the successes of the revolutionary movements against the other white supremacy regimes across Southern Africa should also be emphasized:</w:t>
      </w:r>
    </w:p>
    <w:p w:rsidR="003F4A98" w:rsidRPr="004246B0" w:rsidRDefault="003F4A98" w:rsidP="0099596F">
      <w:pPr>
        <w:spacing w:after="0" w:line="360" w:lineRule="auto"/>
        <w:jc w:val="both"/>
        <w:rPr>
          <w:rFonts w:ascii="Garamond" w:hAnsi="Garamond"/>
          <w:sz w:val="24"/>
          <w:szCs w:val="24"/>
        </w:rPr>
      </w:pPr>
    </w:p>
    <w:p w:rsidR="0099596F" w:rsidRDefault="003F4A98" w:rsidP="0099596F">
      <w:pPr>
        <w:spacing w:after="0" w:line="360" w:lineRule="auto"/>
        <w:ind w:left="284" w:right="284"/>
        <w:jc w:val="both"/>
        <w:rPr>
          <w:rFonts w:ascii="Garamond" w:hAnsi="Garamond"/>
        </w:rPr>
      </w:pPr>
      <w:r w:rsidRPr="004246B0">
        <w:rPr>
          <w:rFonts w:ascii="Garamond" w:hAnsi="Garamond"/>
        </w:rPr>
        <w:t>During those [Sharpeville] years more emigrants left South Africa than immigrants came in. Considering the political developments in the rest of Southern Africa, particularly Mozambique and Zimbabwe, with a possible settlement in Angola and Namibia also in the offing, all the indications are that Europeans would be less inclined to go to South Africa. (ibid.: 250)</w:t>
      </w:r>
    </w:p>
    <w:p w:rsidR="003F4A98" w:rsidRPr="004246B0" w:rsidRDefault="003F4A98" w:rsidP="0099596F">
      <w:pPr>
        <w:spacing w:after="0" w:line="360" w:lineRule="auto"/>
        <w:ind w:left="284" w:right="284"/>
        <w:jc w:val="both"/>
        <w:rPr>
          <w:rFonts w:ascii="Garamond" w:hAnsi="Garamond"/>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Where pro-apartheid adverts for emigration to South Africa tended to play on the potential for newfound riches available to white migrants, du Plessis asserted that anti-apartheid activists should sow seeds of doubt over this potential for materialist gain: </w:t>
      </w:r>
    </w:p>
    <w:p w:rsidR="003F4A98" w:rsidRPr="004246B0" w:rsidRDefault="003F4A98" w:rsidP="0099596F">
      <w:pPr>
        <w:spacing w:after="0" w:line="360" w:lineRule="auto"/>
        <w:jc w:val="both"/>
        <w:rPr>
          <w:rFonts w:ascii="Garamond" w:hAnsi="Garamond"/>
          <w:sz w:val="24"/>
          <w:szCs w:val="24"/>
        </w:rPr>
      </w:pPr>
    </w:p>
    <w:p w:rsidR="0099596F" w:rsidRDefault="003F4A98" w:rsidP="0099596F">
      <w:pPr>
        <w:spacing w:after="0" w:line="360" w:lineRule="auto"/>
        <w:ind w:left="284" w:right="284"/>
        <w:jc w:val="both"/>
        <w:rPr>
          <w:rFonts w:ascii="Garamond" w:hAnsi="Garamond"/>
          <w:sz w:val="24"/>
          <w:szCs w:val="24"/>
        </w:rPr>
      </w:pPr>
      <w:r w:rsidRPr="004246B0">
        <w:rPr>
          <w:rFonts w:ascii="Garamond" w:hAnsi="Garamond"/>
        </w:rPr>
        <w:t>This is strengthened by the fact that most immigrants are lured to that country, solely to earn a lot of money and get rich quickly. By subtly and skilfully playing on these latent fears of white immigrants, quite a number will be scared off. Recent reports in the Financial Mail suggest that some British immigrants are concerned about whether they can take all their possessions accrued in South Africa back to the UK with them</w:t>
      </w:r>
      <w:r>
        <w:rPr>
          <w:rFonts w:ascii="Garamond" w:hAnsi="Garamond"/>
        </w:rPr>
        <w:t>.</w:t>
      </w:r>
      <w:r w:rsidRPr="004246B0">
        <w:rPr>
          <w:rFonts w:ascii="Garamond" w:hAnsi="Garamond"/>
        </w:rPr>
        <w:t xml:space="preserve"> (ibid.: 250-51)</w:t>
      </w:r>
      <w:r w:rsidRPr="004246B0">
        <w:rPr>
          <w:rFonts w:ascii="Garamond" w:hAnsi="Garamond"/>
          <w:sz w:val="24"/>
          <w:szCs w:val="24"/>
        </w:rPr>
        <w:t xml:space="preserve">  </w:t>
      </w:r>
    </w:p>
    <w:p w:rsidR="003F4A98" w:rsidRPr="004246B0" w:rsidRDefault="003F4A98" w:rsidP="0099596F">
      <w:pPr>
        <w:spacing w:after="0" w:line="360" w:lineRule="auto"/>
        <w:ind w:left="284" w:right="284"/>
        <w:jc w:val="both"/>
        <w:rPr>
          <w:rFonts w:ascii="Garamond" w:hAnsi="Garamond"/>
          <w:sz w:val="24"/>
          <w:szCs w:val="24"/>
        </w:rPr>
      </w:pPr>
    </w:p>
    <w:p w:rsidR="003F4A98" w:rsidRPr="004246B0"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In </w:t>
      </w:r>
      <w:r w:rsidRPr="004246B0">
        <w:rPr>
          <w:rFonts w:ascii="Garamond" w:hAnsi="Garamond"/>
          <w:i/>
          <w:sz w:val="24"/>
          <w:szCs w:val="24"/>
        </w:rPr>
        <w:t xml:space="preserve">White Migration </w:t>
      </w:r>
      <w:r w:rsidRPr="004246B0">
        <w:rPr>
          <w:rFonts w:ascii="Garamond" w:hAnsi="Garamond"/>
          <w:sz w:val="24"/>
          <w:szCs w:val="24"/>
        </w:rPr>
        <w:t xml:space="preserve">the key 'latent fear' of white emigrants played upon in the BOA's national campaign was omitted. The omission of the white fear of the black revolutionary body is telling. It was partly a matter of context: in </w:t>
      </w:r>
      <w:r w:rsidRPr="004246B0">
        <w:rPr>
          <w:rFonts w:ascii="Garamond" w:hAnsi="Garamond"/>
          <w:i/>
          <w:sz w:val="24"/>
          <w:szCs w:val="24"/>
        </w:rPr>
        <w:t xml:space="preserve">White Migration </w:t>
      </w:r>
      <w:r w:rsidRPr="004246B0">
        <w:rPr>
          <w:rFonts w:ascii="Garamond" w:hAnsi="Garamond"/>
          <w:sz w:val="24"/>
          <w:szCs w:val="24"/>
        </w:rPr>
        <w:t xml:space="preserve">the BOA attempted to mobilize activists; in their national campaign, the BOA's desired audience was the potential white migrant. But more than this, the omission hinted at the limits </w:t>
      </w:r>
      <w:r w:rsidRPr="004246B0">
        <w:rPr>
          <w:rFonts w:ascii="Garamond" w:hAnsi="Garamond"/>
          <w:sz w:val="24"/>
          <w:szCs w:val="24"/>
        </w:rPr>
        <w:lastRenderedPageBreak/>
        <w:t>placed by the transnational campaign on the BOA's radicalism.</w:t>
      </w:r>
      <w:r w:rsidRPr="004246B0">
        <w:rPr>
          <w:rStyle w:val="FootnoteReference"/>
          <w:rFonts w:ascii="Garamond" w:hAnsi="Garamond"/>
          <w:sz w:val="24"/>
          <w:szCs w:val="24"/>
        </w:rPr>
        <w:footnoteReference w:id="193"/>
      </w:r>
      <w:r w:rsidRPr="004246B0">
        <w:rPr>
          <w:rFonts w:ascii="Garamond" w:hAnsi="Garamond"/>
          <w:sz w:val="24"/>
          <w:szCs w:val="24"/>
        </w:rPr>
        <w:t xml:space="preserve"> But it also suggests that the BOA thought that such a campaign might be difficult for other organizations to handle sensitively, and that in the national campaign, the BOA had wanted to show direct solidarity with the necessary violence of the South African liberation movements.</w:t>
      </w:r>
    </w:p>
    <w:p w:rsidR="003F4A98" w:rsidRPr="004246B0" w:rsidRDefault="003F4A98" w:rsidP="0099596F">
      <w:pPr>
        <w:spacing w:after="0" w:line="360" w:lineRule="auto"/>
        <w:jc w:val="both"/>
        <w:rPr>
          <w:rFonts w:ascii="Garamond" w:hAnsi="Garamond"/>
          <w:sz w:val="24"/>
          <w:szCs w:val="24"/>
        </w:rPr>
      </w:pPr>
      <w:r w:rsidRPr="004246B0">
        <w:rPr>
          <w:rFonts w:ascii="Garamond" w:hAnsi="Garamond"/>
          <w:sz w:val="24"/>
          <w:szCs w:val="24"/>
        </w:rPr>
        <w:t>In the simultaneous national campaign against emigration in Holland, the spectre of Nazi complicity and inducing fear of physical violence specifically embodied by the vengeful black male took centre stage. During the press conference held at the Nieuwspo</w:t>
      </w:r>
      <w:r w:rsidR="00353742">
        <w:rPr>
          <w:rFonts w:ascii="Garamond" w:hAnsi="Garamond"/>
          <w:sz w:val="24"/>
          <w:szCs w:val="24"/>
        </w:rPr>
        <w:t>o</w:t>
      </w:r>
      <w:r w:rsidRPr="004246B0">
        <w:rPr>
          <w:rFonts w:ascii="Garamond" w:hAnsi="Garamond"/>
          <w:sz w:val="24"/>
          <w:szCs w:val="24"/>
        </w:rPr>
        <w:t xml:space="preserve">rt International Press Centre on March 20th 1975, the BOA shared their anti-emigration materials </w:t>
      </w:r>
      <w:r>
        <w:rPr>
          <w:rFonts w:ascii="Garamond" w:hAnsi="Garamond"/>
          <w:sz w:val="24"/>
          <w:szCs w:val="24"/>
        </w:rPr>
        <w:t xml:space="preserve">with </w:t>
      </w:r>
      <w:r w:rsidRPr="004246B0">
        <w:rPr>
          <w:rFonts w:ascii="Garamond" w:hAnsi="Garamond"/>
          <w:sz w:val="24"/>
          <w:szCs w:val="24"/>
        </w:rPr>
        <w:t xml:space="preserve">the wider public. As du Plessis advised above in </w:t>
      </w:r>
      <w:r w:rsidRPr="004246B0">
        <w:rPr>
          <w:rFonts w:ascii="Garamond" w:hAnsi="Garamond"/>
          <w:i/>
          <w:sz w:val="24"/>
          <w:szCs w:val="24"/>
        </w:rPr>
        <w:t xml:space="preserve">White Migration, </w:t>
      </w:r>
      <w:r w:rsidRPr="004246B0">
        <w:rPr>
          <w:rFonts w:ascii="Garamond" w:hAnsi="Garamond"/>
          <w:sz w:val="24"/>
          <w:szCs w:val="24"/>
        </w:rPr>
        <w:t>the BOA utilized the memory of Sharpeville as the context for their anti-emigration materials. Passages and images from their booklets and posters were reprinted acro</w:t>
      </w:r>
      <w:r w:rsidR="0099596F">
        <w:rPr>
          <w:rFonts w:ascii="Garamond" w:hAnsi="Garamond"/>
          <w:sz w:val="24"/>
          <w:szCs w:val="24"/>
        </w:rPr>
        <w:t>ss the Dutch press on March 21</w:t>
      </w:r>
      <w:r w:rsidR="0099596F" w:rsidRPr="0099596F">
        <w:rPr>
          <w:rFonts w:ascii="Garamond" w:hAnsi="Garamond"/>
          <w:sz w:val="24"/>
          <w:szCs w:val="24"/>
          <w:vertAlign w:val="superscript"/>
        </w:rPr>
        <w:t>st</w:t>
      </w:r>
      <w:r w:rsidR="0099596F">
        <w:rPr>
          <w:rFonts w:ascii="Garamond" w:hAnsi="Garamond"/>
          <w:sz w:val="24"/>
          <w:szCs w:val="24"/>
        </w:rPr>
        <w:t>, the 15</w:t>
      </w:r>
      <w:r w:rsidR="0099596F" w:rsidRPr="0099596F">
        <w:rPr>
          <w:rFonts w:ascii="Garamond" w:hAnsi="Garamond"/>
          <w:sz w:val="24"/>
          <w:szCs w:val="24"/>
          <w:vertAlign w:val="superscript"/>
        </w:rPr>
        <w:t>t</w:t>
      </w:r>
      <w:r w:rsidR="0099596F">
        <w:rPr>
          <w:rFonts w:ascii="Garamond" w:hAnsi="Garamond"/>
          <w:sz w:val="24"/>
          <w:szCs w:val="24"/>
          <w:vertAlign w:val="superscript"/>
        </w:rPr>
        <w:t>h</w:t>
      </w:r>
      <w:r w:rsidRPr="004246B0">
        <w:rPr>
          <w:rFonts w:ascii="Garamond" w:hAnsi="Garamond"/>
          <w:sz w:val="24"/>
          <w:szCs w:val="24"/>
        </w:rPr>
        <w:t xml:space="preserve"> anniversary of Sharpeville. Common across these reprints were two figures of the black militant male and the image of a bomb with a sparked fuse with the accompanying text, "Danger, don't emigrate to South Africa". The fear of militant uprising was further stoked in a pithy question and answer booklet in Dutch by du Plessis and van Kaam, entitled </w:t>
      </w:r>
      <w:r w:rsidRPr="004246B0">
        <w:rPr>
          <w:rFonts w:ascii="Garamond" w:hAnsi="Garamond"/>
          <w:i/>
          <w:sz w:val="24"/>
          <w:szCs w:val="24"/>
        </w:rPr>
        <w:t>Emigratie naar Zuid Afrika: In het wel belang?</w:t>
      </w:r>
      <w:r w:rsidRPr="004246B0">
        <w:rPr>
          <w:rFonts w:ascii="Garamond" w:hAnsi="Garamond"/>
          <w:sz w:val="24"/>
          <w:szCs w:val="24"/>
        </w:rPr>
        <w:t xml:space="preserve"> (</w:t>
      </w:r>
      <w:r w:rsidRPr="004246B0">
        <w:rPr>
          <w:rFonts w:ascii="Garamond" w:hAnsi="Garamond"/>
          <w:i/>
          <w:sz w:val="24"/>
          <w:szCs w:val="24"/>
        </w:rPr>
        <w:t>Emigration to South Africa: Is it in your best interests?</w:t>
      </w:r>
      <w:r w:rsidRPr="004246B0">
        <w:rPr>
          <w:rFonts w:ascii="Garamond" w:hAnsi="Garamond"/>
          <w:sz w:val="24"/>
          <w:szCs w:val="24"/>
        </w:rPr>
        <w:t>).</w:t>
      </w:r>
      <w:r w:rsidRPr="004246B0">
        <w:rPr>
          <w:rStyle w:val="FootnoteReference"/>
          <w:rFonts w:ascii="Garamond" w:hAnsi="Garamond"/>
          <w:sz w:val="24"/>
          <w:szCs w:val="24"/>
        </w:rPr>
        <w:footnoteReference w:id="194"/>
      </w:r>
      <w:r w:rsidRPr="004246B0">
        <w:rPr>
          <w:rFonts w:ascii="Garamond" w:hAnsi="Garamond"/>
          <w:sz w:val="24"/>
          <w:szCs w:val="24"/>
        </w:rPr>
        <w:t xml:space="preserve"> Addressing the potential Dutch migrant directly, the BOA combined pedagogy with threats. Provoking white anxiety entwined the threat of violence from the black male with justifying his (potentially) violent liberation</w:t>
      </w:r>
      <w:r w:rsidR="0099596F">
        <w:rPr>
          <w:rFonts w:ascii="Garamond" w:hAnsi="Garamond"/>
          <w:sz w:val="24"/>
          <w:szCs w:val="24"/>
        </w:rPr>
        <w:t>, as these examples of questions and answers demonstrate</w:t>
      </w:r>
      <w:r w:rsidRPr="004246B0">
        <w:rPr>
          <w:rFonts w:ascii="Garamond" w:hAnsi="Garamond"/>
          <w:sz w:val="24"/>
          <w:szCs w:val="24"/>
        </w:rPr>
        <w:t xml:space="preserve">: </w:t>
      </w:r>
    </w:p>
    <w:p w:rsidR="003F4A98" w:rsidRPr="004246B0" w:rsidRDefault="003F4A98" w:rsidP="0099596F">
      <w:pPr>
        <w:spacing w:after="0" w:line="360" w:lineRule="auto"/>
        <w:jc w:val="both"/>
        <w:rPr>
          <w:rFonts w:ascii="Garamond" w:hAnsi="Garamond"/>
          <w:sz w:val="24"/>
          <w:szCs w:val="24"/>
        </w:rPr>
      </w:pPr>
    </w:p>
    <w:p w:rsidR="0099596F" w:rsidRPr="0099596F" w:rsidRDefault="003F4A98" w:rsidP="0099596F">
      <w:pPr>
        <w:spacing w:after="0" w:line="360" w:lineRule="auto"/>
        <w:jc w:val="both"/>
        <w:rPr>
          <w:rFonts w:ascii="Garamond" w:hAnsi="Garamond"/>
          <w:i/>
        </w:rPr>
      </w:pPr>
      <w:r w:rsidRPr="004246B0">
        <w:rPr>
          <w:rFonts w:ascii="Garamond" w:hAnsi="Garamond"/>
        </w:rPr>
        <w:t xml:space="preserve">    7) </w:t>
      </w:r>
      <w:r w:rsidRPr="0099596F">
        <w:rPr>
          <w:rFonts w:ascii="Garamond" w:hAnsi="Garamond"/>
          <w:i/>
        </w:rPr>
        <w:t xml:space="preserve">How does the black population regard the white population? </w:t>
      </w:r>
    </w:p>
    <w:p w:rsidR="003F4A98" w:rsidRPr="004246B0" w:rsidRDefault="003F4A98" w:rsidP="0099596F">
      <w:pPr>
        <w:spacing w:after="0" w:line="360" w:lineRule="auto"/>
        <w:jc w:val="both"/>
        <w:rPr>
          <w:rFonts w:ascii="Garamond" w:hAnsi="Garamond"/>
        </w:rPr>
      </w:pPr>
    </w:p>
    <w:p w:rsidR="0099596F" w:rsidRDefault="003F4A98" w:rsidP="0099596F">
      <w:pPr>
        <w:spacing w:after="0" w:line="360" w:lineRule="auto"/>
        <w:ind w:left="284" w:right="284"/>
        <w:jc w:val="both"/>
        <w:rPr>
          <w:rFonts w:ascii="Garamond" w:hAnsi="Garamond"/>
        </w:rPr>
      </w:pPr>
      <w:r w:rsidRPr="004246B0">
        <w:rPr>
          <w:rFonts w:ascii="Garamond" w:hAnsi="Garamond"/>
        </w:rPr>
        <w:t>You would hate such people, we think. We would in any case find that understandable, as a matter of fact a black person is no different to a white person except for his race and skin colour. And they hate new immigrants even more than the whites from families who have lived for centuries in South Africa. Those families did not go to South Africa willingly but were born in South Africa. Whatever the case South Africa is their fatherland. And the black South African leaders do not dispute that. But that does not apply to the white stranger who comes to South Africa now in order to get rich. He cannot count on the least bit of understanding from the black population because he should know that he deprives them of his bread.</w:t>
      </w:r>
    </w:p>
    <w:p w:rsidR="003F4A98" w:rsidRPr="004246B0" w:rsidRDefault="003F4A98" w:rsidP="0099596F">
      <w:pPr>
        <w:spacing w:after="0" w:line="360" w:lineRule="auto"/>
        <w:ind w:left="284" w:right="284"/>
        <w:jc w:val="both"/>
        <w:rPr>
          <w:rFonts w:ascii="Garamond" w:hAnsi="Garamond"/>
        </w:rPr>
      </w:pPr>
    </w:p>
    <w:p w:rsidR="0099596F" w:rsidRDefault="003F4A98" w:rsidP="0099596F">
      <w:pPr>
        <w:spacing w:after="0" w:line="360" w:lineRule="auto"/>
        <w:ind w:left="284" w:right="284"/>
        <w:jc w:val="both"/>
        <w:rPr>
          <w:rFonts w:ascii="Garamond" w:hAnsi="Garamond"/>
        </w:rPr>
      </w:pPr>
      <w:r w:rsidRPr="004246B0">
        <w:rPr>
          <w:rFonts w:ascii="Garamond" w:hAnsi="Garamond"/>
        </w:rPr>
        <w:t xml:space="preserve">16) </w:t>
      </w:r>
      <w:r w:rsidRPr="0099596F">
        <w:rPr>
          <w:rFonts w:ascii="Garamond" w:hAnsi="Garamond"/>
          <w:i/>
        </w:rPr>
        <w:t>Is it true that South African whites sleep with a revolver under their pillow?</w:t>
      </w:r>
    </w:p>
    <w:p w:rsidR="003F4A98" w:rsidRPr="004246B0" w:rsidRDefault="003F4A98" w:rsidP="0099596F">
      <w:pPr>
        <w:spacing w:after="0" w:line="360" w:lineRule="auto"/>
        <w:ind w:left="284" w:right="284"/>
        <w:jc w:val="both"/>
        <w:rPr>
          <w:rFonts w:ascii="Garamond" w:hAnsi="Garamond"/>
        </w:rPr>
      </w:pPr>
    </w:p>
    <w:p w:rsidR="003F4A98" w:rsidRPr="004246B0" w:rsidRDefault="003F4A98" w:rsidP="0099596F">
      <w:pPr>
        <w:spacing w:after="0" w:line="360" w:lineRule="auto"/>
        <w:ind w:left="284" w:right="284"/>
        <w:jc w:val="both"/>
        <w:rPr>
          <w:rFonts w:ascii="Garamond" w:hAnsi="Garamond"/>
        </w:rPr>
      </w:pPr>
      <w:r w:rsidRPr="004246B0">
        <w:rPr>
          <w:rFonts w:ascii="Garamond" w:hAnsi="Garamond"/>
        </w:rPr>
        <w:t xml:space="preserve">To many this is not a fairytale. Women, men and children are trained to shoot by the police and shooting associations.... Any white who asks himself how he would react if he was black under apartheid, knows that he lives on a volcano which could erupt at any moment. How would you react to strangers who are brought to your country in order to prevent you from getting a better (skilled) job?" </w:t>
      </w:r>
      <w:r w:rsidR="0099596F">
        <w:rPr>
          <w:rFonts w:ascii="Garamond" w:hAnsi="Garamond"/>
        </w:rPr>
        <w:t xml:space="preserve"> </w:t>
      </w:r>
      <w:r w:rsidRPr="004246B0">
        <w:rPr>
          <w:rFonts w:ascii="Garamond" w:hAnsi="Garamond"/>
        </w:rPr>
        <w:t xml:space="preserve">(Ben van Kaam </w:t>
      </w:r>
      <w:r w:rsidR="00F152DB">
        <w:rPr>
          <w:rFonts w:ascii="Garamond" w:hAnsi="Garamond"/>
        </w:rPr>
        <w:t>and</w:t>
      </w:r>
      <w:r w:rsidRPr="004246B0">
        <w:rPr>
          <w:rFonts w:ascii="Garamond" w:hAnsi="Garamond"/>
        </w:rPr>
        <w:t xml:space="preserve"> du Plessis, 1975: 6-13, translated from Dutch)</w:t>
      </w:r>
    </w:p>
    <w:p w:rsidR="003F4A98" w:rsidRPr="004246B0" w:rsidRDefault="003F4A98" w:rsidP="0099596F">
      <w:pPr>
        <w:spacing w:after="0" w:line="360" w:lineRule="auto"/>
        <w:jc w:val="both"/>
        <w:rPr>
          <w:rFonts w:ascii="Garamond" w:hAnsi="Garamond"/>
          <w:sz w:val="24"/>
          <w:szCs w:val="24"/>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The rhetoric of this campaign was considerably more violent, more polemic than that of </w:t>
      </w:r>
      <w:r w:rsidRPr="004246B0">
        <w:rPr>
          <w:rFonts w:ascii="Garamond" w:hAnsi="Garamond"/>
          <w:i/>
          <w:sz w:val="24"/>
          <w:szCs w:val="24"/>
        </w:rPr>
        <w:t>White Migration.</w:t>
      </w:r>
      <w:r w:rsidRPr="004246B0">
        <w:rPr>
          <w:rFonts w:ascii="Garamond" w:hAnsi="Garamond"/>
          <w:sz w:val="24"/>
          <w:szCs w:val="24"/>
        </w:rPr>
        <w:t xml:space="preserve"> In Holland, the BOA faced an apartheid white migration lobby buttressed by the 'blood ties' and cultural links between Afrikaner and Dutch identities. And by aligning their antiracism in their national anti-emigration campaign with the oppositional forces of the liberation movements, it was to members of that lobby that the BOA appealed. Through </w:t>
      </w:r>
      <w:r w:rsidRPr="004246B0">
        <w:rPr>
          <w:rFonts w:ascii="Garamond" w:hAnsi="Garamond"/>
          <w:i/>
          <w:sz w:val="24"/>
          <w:szCs w:val="24"/>
        </w:rPr>
        <w:t xml:space="preserve">Emigration to South Africa, </w:t>
      </w:r>
      <w:r w:rsidRPr="004246B0">
        <w:rPr>
          <w:rFonts w:ascii="Garamond" w:hAnsi="Garamond"/>
          <w:sz w:val="24"/>
          <w:szCs w:val="24"/>
        </w:rPr>
        <w:t xml:space="preserve">the BOA sought to provoke a response from families of migrants, a response from the South African migrant organizations based in Holland, and the six tourist bureaus based in the country. The booklet aimed a war of words at the monthly newsletters and magazines released by several pro-South African Dutch groups, including </w:t>
      </w:r>
      <w:r w:rsidRPr="004246B0">
        <w:rPr>
          <w:rFonts w:ascii="Garamond" w:hAnsi="Garamond"/>
          <w:i/>
          <w:sz w:val="24"/>
          <w:szCs w:val="24"/>
        </w:rPr>
        <w:t xml:space="preserve">The Netherlands-South Africa Association </w:t>
      </w:r>
      <w:r w:rsidRPr="004246B0">
        <w:rPr>
          <w:rFonts w:ascii="Garamond" w:hAnsi="Garamond"/>
          <w:sz w:val="24"/>
          <w:szCs w:val="24"/>
        </w:rPr>
        <w:t>(</w:t>
      </w:r>
      <w:r w:rsidRPr="004246B0">
        <w:rPr>
          <w:rFonts w:ascii="Garamond" w:hAnsi="Garamond"/>
          <w:i/>
          <w:sz w:val="24"/>
          <w:szCs w:val="24"/>
        </w:rPr>
        <w:t>Nederlands Zuid Afrika Vereniging</w:t>
      </w:r>
      <w:r w:rsidRPr="004246B0">
        <w:rPr>
          <w:rFonts w:ascii="Garamond" w:hAnsi="Garamond"/>
          <w:sz w:val="24"/>
          <w:szCs w:val="24"/>
        </w:rPr>
        <w:t xml:space="preserve">), </w:t>
      </w:r>
      <w:r w:rsidRPr="004246B0">
        <w:rPr>
          <w:rFonts w:ascii="Garamond" w:hAnsi="Garamond"/>
          <w:i/>
          <w:sz w:val="24"/>
          <w:szCs w:val="24"/>
        </w:rPr>
        <w:t>The South African Institute</w:t>
      </w:r>
      <w:r w:rsidRPr="004246B0">
        <w:rPr>
          <w:rFonts w:ascii="Garamond" w:hAnsi="Garamond"/>
          <w:sz w:val="24"/>
          <w:szCs w:val="24"/>
        </w:rPr>
        <w:t xml:space="preserve">, </w:t>
      </w:r>
      <w:r w:rsidRPr="004246B0">
        <w:rPr>
          <w:rFonts w:ascii="Garamond" w:hAnsi="Garamond"/>
          <w:i/>
          <w:sz w:val="24"/>
          <w:szCs w:val="24"/>
        </w:rPr>
        <w:t>The Motherland Foundation</w:t>
      </w:r>
      <w:r w:rsidRPr="004246B0">
        <w:rPr>
          <w:rFonts w:ascii="Garamond" w:hAnsi="Garamond"/>
          <w:sz w:val="24"/>
          <w:szCs w:val="24"/>
        </w:rPr>
        <w:t xml:space="preserve">, </w:t>
      </w:r>
      <w:r w:rsidRPr="004246B0">
        <w:rPr>
          <w:rFonts w:ascii="Garamond" w:hAnsi="Garamond"/>
          <w:i/>
          <w:sz w:val="24"/>
          <w:szCs w:val="24"/>
        </w:rPr>
        <w:t>The Working Community Netherlands-South Africa</w:t>
      </w:r>
      <w:r w:rsidRPr="004246B0">
        <w:rPr>
          <w:rFonts w:ascii="Garamond" w:hAnsi="Garamond"/>
          <w:sz w:val="24"/>
          <w:szCs w:val="24"/>
        </w:rPr>
        <w:t xml:space="preserve"> (</w:t>
      </w:r>
      <w:r w:rsidRPr="004246B0">
        <w:rPr>
          <w:rFonts w:ascii="Garamond" w:hAnsi="Garamond"/>
          <w:i/>
          <w:sz w:val="24"/>
          <w:szCs w:val="24"/>
        </w:rPr>
        <w:t>The Nederland-Zuid Afrika</w:t>
      </w:r>
      <w:r w:rsidR="00353742">
        <w:rPr>
          <w:rFonts w:ascii="Garamond" w:hAnsi="Garamond"/>
          <w:i/>
          <w:sz w:val="24"/>
          <w:szCs w:val="24"/>
        </w:rPr>
        <w:t xml:space="preserve"> </w:t>
      </w:r>
      <w:r w:rsidR="00353742" w:rsidRPr="004246B0">
        <w:rPr>
          <w:rFonts w:ascii="Garamond" w:hAnsi="Garamond"/>
          <w:i/>
          <w:sz w:val="24"/>
          <w:szCs w:val="24"/>
        </w:rPr>
        <w:t>Werkgemeenschap</w:t>
      </w:r>
      <w:r w:rsidRPr="004246B0">
        <w:rPr>
          <w:rFonts w:ascii="Garamond" w:hAnsi="Garamond"/>
          <w:sz w:val="24"/>
          <w:szCs w:val="24"/>
        </w:rPr>
        <w:t xml:space="preserve">) and the </w:t>
      </w:r>
      <w:r w:rsidRPr="004246B0">
        <w:rPr>
          <w:rFonts w:ascii="Garamond" w:hAnsi="Garamond"/>
          <w:i/>
          <w:sz w:val="24"/>
          <w:szCs w:val="24"/>
        </w:rPr>
        <w:t>Action Group South Africa (Aktiegroep Zuid-Afrika).</w:t>
      </w:r>
      <w:r w:rsidRPr="00353742">
        <w:rPr>
          <w:rStyle w:val="FootnoteReference"/>
          <w:rFonts w:ascii="Garamond" w:hAnsi="Garamond"/>
          <w:sz w:val="24"/>
          <w:szCs w:val="24"/>
        </w:rPr>
        <w:footnoteReference w:id="195"/>
      </w:r>
      <w:r w:rsidRPr="00353742">
        <w:rPr>
          <w:rFonts w:ascii="Garamond" w:hAnsi="Garamond"/>
          <w:sz w:val="24"/>
          <w:szCs w:val="24"/>
        </w:rPr>
        <w:t xml:space="preserve"> </w:t>
      </w:r>
      <w:r w:rsidRPr="005579A7">
        <w:rPr>
          <w:rFonts w:ascii="Garamond" w:hAnsi="Garamond"/>
          <w:sz w:val="24"/>
          <w:szCs w:val="24"/>
        </w:rPr>
        <w:t xml:space="preserve">Adrien Zöller linked these organizations to South African diplomacy and capital in his chapter on Dutch Migration in </w:t>
      </w:r>
      <w:r w:rsidRPr="005579A7">
        <w:rPr>
          <w:rFonts w:ascii="Garamond" w:hAnsi="Garamond"/>
          <w:i/>
          <w:sz w:val="24"/>
          <w:szCs w:val="24"/>
        </w:rPr>
        <w:t>White Migration</w:t>
      </w:r>
      <w:r w:rsidRPr="005579A7">
        <w:rPr>
          <w:rFonts w:ascii="Garamond" w:hAnsi="Garamond"/>
          <w:sz w:val="24"/>
          <w:szCs w:val="24"/>
        </w:rPr>
        <w:t>; along with MPs, journalists, and</w:t>
      </w:r>
      <w:r w:rsidRPr="004246B0">
        <w:rPr>
          <w:rFonts w:ascii="Garamond" w:hAnsi="Garamond"/>
          <w:sz w:val="24"/>
          <w:szCs w:val="24"/>
        </w:rPr>
        <w:t xml:space="preserve"> businessmen among their delegation, they carried significant weight in terms of influencing public opinion in Holland. Faced with this diversity of racist propaganda, Van Kaam and du Plessis in </w:t>
      </w:r>
      <w:r w:rsidRPr="004246B0">
        <w:rPr>
          <w:rFonts w:ascii="Garamond" w:hAnsi="Garamond"/>
          <w:i/>
          <w:sz w:val="24"/>
          <w:szCs w:val="24"/>
        </w:rPr>
        <w:t>Emigration to South Africa</w:t>
      </w:r>
      <w:r w:rsidRPr="004246B0">
        <w:rPr>
          <w:rFonts w:ascii="Garamond" w:hAnsi="Garamond"/>
          <w:sz w:val="24"/>
          <w:szCs w:val="24"/>
        </w:rPr>
        <w:t xml:space="preserve"> siphoned out the white migrant and tourist from the wider apartheid migration lobby, and used mockery, justified fury, </w:t>
      </w:r>
      <w:r>
        <w:rPr>
          <w:rFonts w:ascii="Garamond" w:hAnsi="Garamond"/>
          <w:sz w:val="24"/>
          <w:szCs w:val="24"/>
        </w:rPr>
        <w:t>nationaliz</w:t>
      </w:r>
      <w:r w:rsidRPr="004246B0">
        <w:rPr>
          <w:rFonts w:ascii="Garamond" w:hAnsi="Garamond"/>
          <w:sz w:val="24"/>
          <w:szCs w:val="24"/>
        </w:rPr>
        <w:t xml:space="preserve">ed guilt and counter discourse to disrupt 'his' fragile construction in white capitalist imaginaries. In their sardonic handling of the white migrant (a style subsequently repeated in literary terms by Jamaica Kincaid's (1988) treatment of the European tourist to Antigua in </w:t>
      </w:r>
      <w:r w:rsidRPr="004246B0">
        <w:rPr>
          <w:rFonts w:ascii="Garamond" w:hAnsi="Garamond"/>
          <w:i/>
          <w:sz w:val="24"/>
          <w:szCs w:val="24"/>
        </w:rPr>
        <w:t>A Small Place</w:t>
      </w:r>
      <w:r w:rsidRPr="004246B0">
        <w:rPr>
          <w:rFonts w:ascii="Garamond" w:hAnsi="Garamond"/>
          <w:sz w:val="24"/>
          <w:szCs w:val="24"/>
        </w:rPr>
        <w:t>), the authors remind the potential white migrant of the history of European oppression in the former colony and Dutch histories of complicity with the Nazi eugenics. By moving to South Africa, the BOA insist</w:t>
      </w:r>
      <w:r>
        <w:rPr>
          <w:rFonts w:ascii="Garamond" w:hAnsi="Garamond"/>
          <w:sz w:val="24"/>
          <w:szCs w:val="24"/>
        </w:rPr>
        <w:t>ed</w:t>
      </w:r>
      <w:r w:rsidRPr="004246B0">
        <w:rPr>
          <w:rFonts w:ascii="Garamond" w:hAnsi="Garamond"/>
          <w:sz w:val="24"/>
          <w:szCs w:val="24"/>
        </w:rPr>
        <w:t xml:space="preserve"> the migrant would continue to support 'Aryan' social engineering. </w:t>
      </w:r>
      <w:r w:rsidRPr="004246B0">
        <w:rPr>
          <w:rFonts w:ascii="Garamond" w:hAnsi="Garamond"/>
          <w:sz w:val="24"/>
          <w:szCs w:val="24"/>
        </w:rPr>
        <w:lastRenderedPageBreak/>
        <w:t xml:space="preserve">Their use of this term was a deliberate provocation to feel guilt specific to the Dutch experience (the allusion was absent from the BOA's writings in the transnational </w:t>
      </w:r>
      <w:r w:rsidRPr="004246B0">
        <w:rPr>
          <w:rFonts w:ascii="Garamond" w:hAnsi="Garamond"/>
          <w:i/>
          <w:sz w:val="24"/>
          <w:szCs w:val="24"/>
        </w:rPr>
        <w:t>White Migration</w:t>
      </w:r>
      <w:r w:rsidRPr="004246B0">
        <w:rPr>
          <w:rFonts w:ascii="Garamond" w:hAnsi="Garamond"/>
          <w:sz w:val="24"/>
          <w:szCs w:val="24"/>
        </w:rPr>
        <w:t>):</w:t>
      </w:r>
      <w:r w:rsidRPr="004246B0">
        <w:rPr>
          <w:rStyle w:val="FootnoteReference"/>
          <w:rFonts w:ascii="Garamond" w:hAnsi="Garamond"/>
          <w:sz w:val="24"/>
          <w:szCs w:val="24"/>
        </w:rPr>
        <w:footnoteReference w:id="196"/>
      </w:r>
      <w:r w:rsidRPr="004246B0">
        <w:rPr>
          <w:rFonts w:ascii="Garamond" w:hAnsi="Garamond"/>
          <w:sz w:val="24"/>
          <w:szCs w:val="24"/>
        </w:rPr>
        <w:t xml:space="preserve"> </w:t>
      </w:r>
    </w:p>
    <w:p w:rsidR="003F4A98" w:rsidRPr="004246B0" w:rsidRDefault="003F4A98" w:rsidP="0099596F">
      <w:pPr>
        <w:spacing w:after="0" w:line="360" w:lineRule="auto"/>
        <w:jc w:val="both"/>
        <w:rPr>
          <w:rFonts w:ascii="Garamond" w:hAnsi="Garamond"/>
          <w:sz w:val="24"/>
          <w:szCs w:val="24"/>
        </w:rPr>
      </w:pPr>
    </w:p>
    <w:p w:rsidR="003F4A98" w:rsidRPr="004246B0" w:rsidRDefault="003F4A98" w:rsidP="0099596F">
      <w:pPr>
        <w:spacing w:after="0" w:line="360" w:lineRule="auto"/>
        <w:ind w:left="284" w:right="284"/>
        <w:jc w:val="both"/>
        <w:rPr>
          <w:rFonts w:ascii="Garamond" w:hAnsi="Garamond"/>
        </w:rPr>
      </w:pPr>
      <w:r w:rsidRPr="004246B0">
        <w:rPr>
          <w:rFonts w:ascii="Garamond" w:hAnsi="Garamond"/>
        </w:rPr>
        <w:t xml:space="preserve">1) </w:t>
      </w:r>
      <w:r w:rsidRPr="0099596F">
        <w:rPr>
          <w:rFonts w:ascii="Garamond" w:hAnsi="Garamond"/>
          <w:i/>
        </w:rPr>
        <w:t>Can every Dutch person emigrate to South Africa?</w:t>
      </w:r>
    </w:p>
    <w:p w:rsidR="0099596F" w:rsidRDefault="0099596F" w:rsidP="0099596F">
      <w:pPr>
        <w:spacing w:after="0" w:line="360" w:lineRule="auto"/>
        <w:ind w:left="284" w:right="284"/>
        <w:jc w:val="both"/>
        <w:rPr>
          <w:rFonts w:ascii="Garamond" w:hAnsi="Garamond"/>
        </w:rPr>
      </w:pPr>
    </w:p>
    <w:p w:rsidR="0099596F" w:rsidRDefault="003F4A98" w:rsidP="0099596F">
      <w:pPr>
        <w:spacing w:after="0" w:line="360" w:lineRule="auto"/>
        <w:ind w:left="284" w:right="284"/>
        <w:jc w:val="both"/>
        <w:rPr>
          <w:rFonts w:ascii="Garamond" w:hAnsi="Garamond"/>
        </w:rPr>
      </w:pPr>
      <w:r w:rsidRPr="004246B0">
        <w:rPr>
          <w:rFonts w:ascii="Garamond" w:hAnsi="Garamond"/>
        </w:rPr>
        <w:t>No. Already at early stage you have to fill in a form on which the question is asked: 'Are you and your family fully of white European descent? From you no more and no less than an Aryan statement is required. Many Dutch people don't realize that. The synod of the Dutch Reformed Churches in The Netherlands were hugely embarrassed by this when it was pointed out to them in March '74. The memories of Hitler's racial laws are re-awakened. It is one of the most serious mistakes of the Dutch in 1940 that they did not refuse to sign the Aryan declaration.</w:t>
      </w:r>
    </w:p>
    <w:p w:rsidR="003F4A98" w:rsidRPr="004246B0" w:rsidRDefault="003F4A98" w:rsidP="0099596F">
      <w:pPr>
        <w:spacing w:after="0" w:line="360" w:lineRule="auto"/>
        <w:ind w:left="284" w:right="284"/>
        <w:jc w:val="both"/>
        <w:rPr>
          <w:rFonts w:ascii="Garamond" w:hAnsi="Garamond"/>
        </w:rPr>
      </w:pPr>
    </w:p>
    <w:p w:rsidR="0099596F" w:rsidRDefault="003F4A98" w:rsidP="0099596F">
      <w:pPr>
        <w:spacing w:after="0" w:line="360" w:lineRule="auto"/>
        <w:jc w:val="both"/>
        <w:rPr>
          <w:rFonts w:ascii="Garamond" w:hAnsi="Garamond"/>
          <w:sz w:val="24"/>
          <w:szCs w:val="24"/>
        </w:rPr>
      </w:pPr>
      <w:r w:rsidRPr="004246B0">
        <w:rPr>
          <w:rFonts w:ascii="Garamond" w:hAnsi="Garamond"/>
          <w:sz w:val="24"/>
          <w:szCs w:val="24"/>
        </w:rPr>
        <w:t xml:space="preserve"> They remind 'him' that he is an unwanted stranger, "stealing bread from the oppressed". They show him he is a justified target in a violent, unpredictable and vengeful landscape. By alluding to the fearful gun-friendly culture among whites, to revolvers under pillows and to metaphors of explosive geological instability, the BOA shattered the promises of hospitality and home-comforts made by South African embassies and travel agents to white migrants and tourists.</w:t>
      </w:r>
    </w:p>
    <w:p w:rsidR="003F4A98" w:rsidRPr="004246B0" w:rsidRDefault="003F4A98" w:rsidP="0099596F">
      <w:pPr>
        <w:spacing w:after="0" w:line="360" w:lineRule="auto"/>
        <w:jc w:val="both"/>
        <w:rPr>
          <w:rFonts w:ascii="Garamond" w:hAnsi="Garamond"/>
          <w:sz w:val="24"/>
          <w:szCs w:val="24"/>
        </w:rPr>
      </w:pPr>
    </w:p>
    <w:p w:rsidR="003F4A98" w:rsidRPr="004246B0" w:rsidRDefault="003F4A98" w:rsidP="003F4A98">
      <w:pPr>
        <w:spacing w:line="360" w:lineRule="auto"/>
        <w:jc w:val="both"/>
        <w:rPr>
          <w:rFonts w:ascii="Garamond" w:hAnsi="Garamond"/>
          <w:sz w:val="24"/>
          <w:szCs w:val="24"/>
        </w:rPr>
      </w:pPr>
      <w:r w:rsidRPr="004246B0">
        <w:rPr>
          <w:rFonts w:ascii="Garamond" w:hAnsi="Garamond"/>
          <w:sz w:val="24"/>
          <w:szCs w:val="24"/>
        </w:rPr>
        <w:t>South Africa, they argued, was neither a safe nor desirable place for Dutch to live and raise a family. Should you be seduced by the 'fairytale' and be killed in this hostile place, they suggested, it would be foolish as you had been warned of this war. A mirror was held up to the racist imagination to show 'him' a South Africa of militarized black bodies ready to fight for their liberation, ready to protect their land. And the BOA literally did show the Dutch public the defender of this landscape in the form of the militarized black freedom-fighter. Two standout portraits lent the campaign potency and shock. The first, a side profile of a pencil-drawn revolutionary with an AK-47, guarded the anti-emigration handbook with the heedful title, "Emigration to South Africa: Is it in your best interests?"</w:t>
      </w:r>
      <w:r w:rsidR="0099596F">
        <w:rPr>
          <w:rFonts w:ascii="Garamond" w:hAnsi="Garamond"/>
          <w:sz w:val="24"/>
          <w:szCs w:val="24"/>
        </w:rPr>
        <w:t xml:space="preserve"> (see Figure 76). </w:t>
      </w:r>
      <w:r w:rsidR="0099596F" w:rsidRPr="004246B0">
        <w:rPr>
          <w:rFonts w:ascii="Garamond" w:hAnsi="Garamond"/>
          <w:sz w:val="24"/>
          <w:szCs w:val="24"/>
        </w:rPr>
        <w:t>The second, a face-on photograph of a grim-faced young machine-gunner wrapped in ammunition, was published across various newspapers on March 21st, 1975 with the caption, "Emigran</w:t>
      </w:r>
      <w:r w:rsidR="0099596F">
        <w:rPr>
          <w:rFonts w:ascii="Garamond" w:hAnsi="Garamond"/>
          <w:sz w:val="24"/>
          <w:szCs w:val="24"/>
        </w:rPr>
        <w:t>ts not welcome under apartheid" (see Figure 77).</w:t>
      </w:r>
    </w:p>
    <w:tbl>
      <w:tblPr>
        <w:tblStyle w:val="TableGrid"/>
        <w:tblW w:w="8731" w:type="dxa"/>
        <w:tblBorders>
          <w:insideH w:val="none" w:sz="0" w:space="0" w:color="auto"/>
          <w:insideV w:val="none" w:sz="0" w:space="0" w:color="auto"/>
        </w:tblBorders>
        <w:tblLayout w:type="fixed"/>
        <w:tblLook w:val="00A0"/>
      </w:tblPr>
      <w:tblGrid>
        <w:gridCol w:w="4349"/>
        <w:gridCol w:w="4382"/>
      </w:tblGrid>
      <w:tr w:rsidR="0099596F">
        <w:trPr>
          <w:trHeight w:val="7078"/>
        </w:trPr>
        <w:tc>
          <w:tcPr>
            <w:tcW w:w="4349" w:type="dxa"/>
            <w:tcBorders>
              <w:top w:val="nil"/>
              <w:left w:val="nil"/>
              <w:bottom w:val="single" w:sz="4" w:space="0" w:color="auto"/>
              <w:right w:val="nil"/>
            </w:tcBorders>
          </w:tcPr>
          <w:p w:rsidR="0099596F" w:rsidRDefault="0099596F" w:rsidP="003F4A98">
            <w:pPr>
              <w:spacing w:line="360" w:lineRule="auto"/>
              <w:jc w:val="both"/>
              <w:rPr>
                <w:rFonts w:ascii="Garamond" w:hAnsi="Garamond"/>
                <w:sz w:val="24"/>
                <w:szCs w:val="24"/>
              </w:rPr>
            </w:pPr>
            <w:r w:rsidRPr="0099596F">
              <w:rPr>
                <w:rFonts w:ascii="Garamond" w:hAnsi="Garamond"/>
                <w:noProof/>
                <w:sz w:val="24"/>
                <w:szCs w:val="24"/>
                <w:lang w:eastAsia="en-GB"/>
              </w:rPr>
              <w:lastRenderedPageBreak/>
              <w:drawing>
                <wp:inline distT="0" distB="0" distL="0" distR="0">
                  <wp:extent cx="1968500" cy="3025132"/>
                  <wp:effectExtent l="76200" t="25400" r="114300" b="73668"/>
                  <wp:docPr id="145" name="Picture 4" descr="C:\Users\hugh crosfield\Downloads\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h crosfield\Downloads\photo (1).JPG"/>
                          <pic:cNvPicPr>
                            <a:picLocks noChangeAspect="1" noChangeArrowheads="1"/>
                          </pic:cNvPicPr>
                        </pic:nvPicPr>
                        <pic:blipFill>
                          <a:blip r:embed="rId120" cstate="print"/>
                          <a:srcRect/>
                          <a:stretch>
                            <a:fillRect/>
                          </a:stretch>
                        </pic:blipFill>
                        <pic:spPr bwMode="auto">
                          <a:xfrm>
                            <a:off x="0" y="0"/>
                            <a:ext cx="1969923" cy="3027319"/>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031E7C" w:rsidRDefault="0099596F" w:rsidP="0099596F">
            <w:pPr>
              <w:pStyle w:val="Caption"/>
              <w:tabs>
                <w:tab w:val="left" w:pos="3686"/>
              </w:tabs>
              <w:ind w:right="404"/>
              <w:jc w:val="both"/>
              <w:rPr>
                <w:rFonts w:ascii="Perpetua" w:hAnsi="Perpetua"/>
                <w:b w:val="0"/>
                <w:color w:val="auto"/>
                <w:sz w:val="20"/>
              </w:rPr>
            </w:pPr>
            <w:bookmarkStart w:id="761" w:name="_Toc263509073"/>
            <w:bookmarkStart w:id="762" w:name="_Toc263510860"/>
            <w:bookmarkStart w:id="763" w:name="_Toc244577338"/>
            <w:bookmarkStart w:id="764" w:name="_Toc263495807"/>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76</w:t>
            </w:r>
            <w:r w:rsidR="00DF2DF8" w:rsidRPr="00031E7C">
              <w:rPr>
                <w:rFonts w:ascii="Perpetua" w:hAnsi="Perpetua"/>
                <w:b w:val="0"/>
                <w:color w:val="auto"/>
                <w:sz w:val="20"/>
              </w:rPr>
              <w:fldChar w:fldCharType="end"/>
            </w:r>
            <w:r w:rsidRPr="00031E7C">
              <w:rPr>
                <w:rFonts w:ascii="Perpetua" w:hAnsi="Perpetua"/>
                <w:b w:val="0"/>
                <w:color w:val="auto"/>
                <w:sz w:val="20"/>
              </w:rPr>
              <w:t xml:space="preserve">: </w:t>
            </w:r>
            <w:r w:rsidRPr="0099596F">
              <w:rPr>
                <w:rFonts w:ascii="Perpetua" w:hAnsi="Perpetua"/>
                <w:b w:val="0"/>
                <w:color w:val="auto"/>
                <w:sz w:val="20"/>
              </w:rPr>
              <w:t xml:space="preserve">Front cover of BOA booklet by </w:t>
            </w:r>
            <w:r w:rsidR="00031E7C">
              <w:rPr>
                <w:rFonts w:ascii="Perpetua" w:hAnsi="Perpetua"/>
                <w:b w:val="0"/>
                <w:color w:val="auto"/>
                <w:sz w:val="20"/>
              </w:rPr>
              <w:t>van Kaam and du Plessis, 1975.</w:t>
            </w:r>
            <w:bookmarkEnd w:id="761"/>
            <w:bookmarkEnd w:id="762"/>
          </w:p>
          <w:p w:rsidR="0099596F" w:rsidRPr="00031E7C" w:rsidRDefault="00031E7C" w:rsidP="00031E7C">
            <w:pPr>
              <w:rPr>
                <w:rFonts w:ascii="Perpetua" w:hAnsi="Perpetua"/>
              </w:rPr>
            </w:pPr>
            <w:r w:rsidRPr="00031E7C">
              <w:rPr>
                <w:rFonts w:ascii="Perpetua" w:hAnsi="Perpetua"/>
              </w:rPr>
              <w:t>Translation from Dutch: “</w:t>
            </w:r>
            <w:r w:rsidR="0099596F" w:rsidRPr="00031E7C">
              <w:rPr>
                <w:rFonts w:ascii="Perpetua" w:hAnsi="Perpetua"/>
              </w:rPr>
              <w:t>Emigration to South Africa: Is it in your best interests?</w:t>
            </w:r>
            <w:bookmarkEnd w:id="763"/>
            <w:bookmarkEnd w:id="764"/>
            <w:r w:rsidRPr="00031E7C">
              <w:rPr>
                <w:rFonts w:ascii="Perpetua" w:hAnsi="Perpetua"/>
              </w:rPr>
              <w:t>”.</w:t>
            </w:r>
          </w:p>
        </w:tc>
        <w:tc>
          <w:tcPr>
            <w:tcW w:w="4382" w:type="dxa"/>
            <w:tcBorders>
              <w:top w:val="nil"/>
              <w:left w:val="nil"/>
              <w:bottom w:val="single" w:sz="4" w:space="0" w:color="auto"/>
              <w:right w:val="nil"/>
            </w:tcBorders>
          </w:tcPr>
          <w:p w:rsidR="0099596F" w:rsidRDefault="0099596F" w:rsidP="0099596F">
            <w:pPr>
              <w:pStyle w:val="Caption"/>
              <w:ind w:right="317"/>
              <w:jc w:val="both"/>
              <w:rPr>
                <w:rFonts w:ascii="Perpetua" w:hAnsi="Perpetua"/>
                <w:b w:val="0"/>
                <w:color w:val="auto"/>
                <w:sz w:val="20"/>
              </w:rPr>
            </w:pPr>
            <w:r w:rsidRPr="0099596F">
              <w:rPr>
                <w:rFonts w:ascii="Garamond" w:hAnsi="Garamond"/>
                <w:noProof/>
                <w:sz w:val="24"/>
                <w:szCs w:val="24"/>
                <w:lang w:eastAsia="en-GB"/>
              </w:rPr>
              <w:drawing>
                <wp:inline distT="0" distB="0" distL="0" distR="0">
                  <wp:extent cx="1951567" cy="3135323"/>
                  <wp:effectExtent l="76200" t="25400" r="105833" b="65077"/>
                  <wp:docPr id="146" name="Picture 6" descr="C:\Users\Hugh\Desktop\2011-01-09 Esau Archive BOA\ANTI-EMIGRATE AKTIE PLAKBOEK Nr 1\AEA PlakBoek pg 13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Desktop\2011-01-09 Esau Archive BOA\ANTI-EMIGRATE AKTIE PLAKBOEK Nr 1\AEA PlakBoek pg 13 (2).tif"/>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1966760" cy="315973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r w:rsidRPr="0099596F">
              <w:rPr>
                <w:rFonts w:ascii="Perpetua" w:hAnsi="Perpetua"/>
                <w:b w:val="0"/>
                <w:color w:val="auto"/>
                <w:sz w:val="20"/>
              </w:rPr>
              <w:t xml:space="preserve"> </w:t>
            </w:r>
          </w:p>
          <w:p w:rsidR="00031E7C" w:rsidRDefault="0099596F" w:rsidP="0099596F">
            <w:pPr>
              <w:pStyle w:val="Caption"/>
              <w:ind w:right="317"/>
              <w:jc w:val="both"/>
              <w:rPr>
                <w:rFonts w:ascii="Perpetua" w:hAnsi="Perpetua"/>
                <w:b w:val="0"/>
                <w:color w:val="auto"/>
                <w:sz w:val="20"/>
                <w:szCs w:val="20"/>
              </w:rPr>
            </w:pPr>
            <w:bookmarkStart w:id="765" w:name="_Toc263509074"/>
            <w:bookmarkStart w:id="766" w:name="_Toc263510861"/>
            <w:bookmarkStart w:id="767" w:name="_Toc244577339"/>
            <w:bookmarkStart w:id="768" w:name="_Toc263495808"/>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77</w:t>
            </w:r>
            <w:r w:rsidR="00DF2DF8" w:rsidRPr="00031E7C">
              <w:rPr>
                <w:rFonts w:ascii="Perpetua" w:hAnsi="Perpetua"/>
                <w:b w:val="0"/>
                <w:color w:val="auto"/>
                <w:sz w:val="20"/>
              </w:rPr>
              <w:fldChar w:fldCharType="end"/>
            </w:r>
            <w:r w:rsidRPr="00031E7C">
              <w:rPr>
                <w:rFonts w:ascii="Perpetua" w:hAnsi="Perpetua"/>
                <w:b w:val="0"/>
                <w:color w:val="auto"/>
                <w:sz w:val="20"/>
              </w:rPr>
              <w:t>:</w:t>
            </w:r>
            <w:r w:rsidRPr="0099596F">
              <w:rPr>
                <w:rFonts w:ascii="Perpetua" w:hAnsi="Perpetua"/>
                <w:b w:val="0"/>
                <w:color w:val="auto"/>
                <w:sz w:val="20"/>
              </w:rPr>
              <w:t xml:space="preserve"> </w:t>
            </w:r>
            <w:r w:rsidR="00031E7C">
              <w:rPr>
                <w:rFonts w:ascii="Perpetua" w:hAnsi="Perpetua"/>
                <w:b w:val="0"/>
                <w:color w:val="auto"/>
                <w:sz w:val="20"/>
                <w:szCs w:val="20"/>
              </w:rPr>
              <w:t xml:space="preserve">Photograph of reprinted BOA poster in </w:t>
            </w:r>
            <w:r w:rsidR="00031E7C" w:rsidRPr="00031E7C">
              <w:rPr>
                <w:rFonts w:ascii="Perpetua" w:hAnsi="Perpetua"/>
                <w:b w:val="0"/>
                <w:i/>
                <w:color w:val="auto"/>
                <w:sz w:val="20"/>
                <w:szCs w:val="20"/>
              </w:rPr>
              <w:t>Trouw</w:t>
            </w:r>
            <w:r w:rsidR="00031E7C">
              <w:rPr>
                <w:rFonts w:ascii="Perpetua" w:hAnsi="Perpetua"/>
                <w:b w:val="0"/>
                <w:color w:val="auto"/>
                <w:sz w:val="20"/>
                <w:szCs w:val="20"/>
              </w:rPr>
              <w:t xml:space="preserve">, 21 </w:t>
            </w:r>
            <w:r w:rsidRPr="0099596F">
              <w:rPr>
                <w:rFonts w:ascii="Perpetua" w:hAnsi="Perpetua"/>
                <w:b w:val="0"/>
                <w:color w:val="auto"/>
                <w:sz w:val="20"/>
                <w:szCs w:val="20"/>
              </w:rPr>
              <w:t>March 1975.</w:t>
            </w:r>
            <w:bookmarkEnd w:id="765"/>
            <w:bookmarkEnd w:id="766"/>
            <w:r w:rsidRPr="0099596F">
              <w:rPr>
                <w:rFonts w:ascii="Perpetua" w:hAnsi="Perpetua"/>
                <w:b w:val="0"/>
                <w:color w:val="auto"/>
                <w:sz w:val="20"/>
                <w:szCs w:val="20"/>
              </w:rPr>
              <w:t xml:space="preserve"> </w:t>
            </w:r>
          </w:p>
          <w:p w:rsidR="0099596F" w:rsidRPr="00031E7C" w:rsidRDefault="00031E7C" w:rsidP="00031E7C">
            <w:pPr>
              <w:rPr>
                <w:rFonts w:ascii="Perpetua" w:hAnsi="Perpetua"/>
                <w:sz w:val="20"/>
              </w:rPr>
            </w:pPr>
            <w:r w:rsidRPr="00031E7C">
              <w:rPr>
                <w:rFonts w:ascii="Perpetua" w:hAnsi="Perpetua"/>
                <w:sz w:val="20"/>
              </w:rPr>
              <w:t xml:space="preserve">Translation from Dutch: </w:t>
            </w:r>
            <w:r w:rsidR="0099596F" w:rsidRPr="00031E7C">
              <w:rPr>
                <w:rFonts w:ascii="Perpetua" w:hAnsi="Perpetua"/>
                <w:sz w:val="20"/>
              </w:rPr>
              <w:t>"Emigrants not welcome under apartheid. Posters for anti-emigration are available for 0.5 Guilders each"</w:t>
            </w:r>
            <w:bookmarkEnd w:id="767"/>
            <w:bookmarkEnd w:id="768"/>
          </w:p>
        </w:tc>
      </w:tr>
      <w:tr w:rsidR="008D3C87">
        <w:tblPrEx>
          <w:tblBorders>
            <w:insideH w:val="single" w:sz="4" w:space="0" w:color="auto"/>
            <w:insideV w:val="single" w:sz="4" w:space="0" w:color="auto"/>
          </w:tblBorders>
          <w:tblLook w:val="04A0"/>
        </w:tblPrEx>
        <w:trPr>
          <w:trHeight w:val="4905"/>
        </w:trPr>
        <w:tc>
          <w:tcPr>
            <w:tcW w:w="4349" w:type="dxa"/>
            <w:tcBorders>
              <w:top w:val="single" w:sz="4" w:space="0" w:color="auto"/>
            </w:tcBorders>
          </w:tcPr>
          <w:p w:rsidR="008D3C87" w:rsidRDefault="008D3C87" w:rsidP="008D3C87">
            <w:pPr>
              <w:spacing w:after="0" w:line="240" w:lineRule="auto"/>
              <w:jc w:val="center"/>
              <w:rPr>
                <w:rFonts w:ascii="Garamond" w:hAnsi="Garamond"/>
                <w:sz w:val="24"/>
                <w:szCs w:val="24"/>
              </w:rPr>
            </w:pPr>
          </w:p>
          <w:p w:rsidR="008D3C87" w:rsidRDefault="008D3C87" w:rsidP="008D3C87">
            <w:pPr>
              <w:spacing w:after="0" w:line="240" w:lineRule="auto"/>
              <w:jc w:val="center"/>
              <w:rPr>
                <w:rFonts w:ascii="Garamond" w:hAnsi="Garamond"/>
                <w:sz w:val="24"/>
                <w:szCs w:val="24"/>
              </w:rPr>
            </w:pPr>
            <w:r w:rsidRPr="0099596F">
              <w:rPr>
                <w:rFonts w:ascii="Garamond" w:hAnsi="Garamond"/>
                <w:noProof/>
                <w:sz w:val="24"/>
                <w:szCs w:val="24"/>
                <w:lang w:eastAsia="en-GB"/>
              </w:rPr>
              <w:drawing>
                <wp:inline distT="0" distB="0" distL="0" distR="0">
                  <wp:extent cx="1943100" cy="2791391"/>
                  <wp:effectExtent l="76200" t="50800" r="114300" b="78809"/>
                  <wp:docPr id="151" name="Picture 2" descr="C:\Users\Hugh\Desktop\2011-01-09 Esau Archive BOA\ANTI-EMIGRATE AKTIE PLAKBOEK Nr 1\AEA PlakBoek pg 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gh\Desktop\2011-01-09 Esau Archive BOA\ANTI-EMIGRATE AKTIE PLAKBOEK Nr 1\AEA PlakBoek pg 03.tif"/>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xmlns:mv="urn:schemas-microsoft-com:mac:vml" xmlns:mo="http://schemas.microsoft.com/office/mac/office/2008/main" val="0"/>
                              </a:ext>
                            </a:extLst>
                          </a:blip>
                          <a:srcRect/>
                          <a:stretch>
                            <a:fillRect/>
                          </a:stretch>
                        </pic:blipFill>
                        <pic:spPr bwMode="auto">
                          <a:xfrm>
                            <a:off x="0" y="0"/>
                            <a:ext cx="1940063" cy="2787028"/>
                          </a:xfrm>
                          <a:prstGeom prst="rect">
                            <a:avLst/>
                          </a:prstGeom>
                          <a:ln w="38100" cap="sq">
                            <a:solidFill>
                              <a:srgbClr val="000000">
                                <a:alpha val="59000"/>
                              </a:srgbClr>
                            </a:solidFill>
                            <a:prstDash val="solid"/>
                            <a:miter lim="800000"/>
                          </a:ln>
                          <a:effectLst>
                            <a:outerShdw blurRad="50800" dist="38100" dir="2700000" algn="tl" rotWithShape="0">
                              <a:srgbClr val="000000">
                                <a:alpha val="43000"/>
                              </a:srgbClr>
                            </a:outerShdw>
                          </a:effectLst>
                        </pic:spPr>
                      </pic:pic>
                    </a:graphicData>
                  </a:graphic>
                </wp:inline>
              </w:drawing>
            </w:r>
          </w:p>
          <w:p w:rsidR="008D3C87" w:rsidRPr="0099596F" w:rsidRDefault="008D3C87" w:rsidP="008D3C87">
            <w:pPr>
              <w:spacing w:after="0" w:line="240" w:lineRule="auto"/>
              <w:jc w:val="center"/>
              <w:rPr>
                <w:rFonts w:ascii="Garamond" w:hAnsi="Garamond"/>
                <w:sz w:val="24"/>
                <w:szCs w:val="24"/>
              </w:rPr>
            </w:pPr>
          </w:p>
        </w:tc>
        <w:tc>
          <w:tcPr>
            <w:tcW w:w="4382" w:type="dxa"/>
            <w:tcBorders>
              <w:top w:val="single" w:sz="4" w:space="0" w:color="auto"/>
            </w:tcBorders>
          </w:tcPr>
          <w:p w:rsidR="008D3C87" w:rsidRDefault="008D3C87" w:rsidP="008D3C87">
            <w:pPr>
              <w:spacing w:after="0" w:line="240" w:lineRule="auto"/>
              <w:jc w:val="center"/>
              <w:rPr>
                <w:rFonts w:ascii="Garamond" w:hAnsi="Garamond"/>
                <w:sz w:val="24"/>
                <w:szCs w:val="24"/>
              </w:rPr>
            </w:pPr>
          </w:p>
          <w:p w:rsidR="008D3C87" w:rsidRPr="0099596F" w:rsidRDefault="008D3C87" w:rsidP="008D3C87">
            <w:pPr>
              <w:spacing w:after="0" w:line="240" w:lineRule="auto"/>
              <w:jc w:val="center"/>
              <w:rPr>
                <w:rFonts w:ascii="Garamond" w:hAnsi="Garamond"/>
                <w:sz w:val="24"/>
                <w:szCs w:val="24"/>
              </w:rPr>
            </w:pPr>
            <w:r w:rsidRPr="0099596F">
              <w:rPr>
                <w:rFonts w:ascii="Garamond" w:hAnsi="Garamond"/>
                <w:noProof/>
                <w:sz w:val="24"/>
                <w:szCs w:val="24"/>
                <w:lang w:eastAsia="en-GB"/>
              </w:rPr>
              <w:drawing>
                <wp:inline distT="0" distB="0" distL="0" distR="0">
                  <wp:extent cx="1957046" cy="2772833"/>
                  <wp:effectExtent l="76200" t="50800" r="125754" b="71967"/>
                  <wp:docPr id="152" name="Picture 5" descr="C:\Users\hugh crosfield\Desktop\ANTI-EMIGRATE AKTIE PLAKBOEK Nr 1\AEA PlakBoek pg 13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h crosfield\Desktop\ANTI-EMIGRATE AKTIE PLAKBOEK Nr 1\AEA PlakBoek pg 13 (2).tif"/>
                          <pic:cNvPicPr>
                            <a:picLocks noChangeAspect="1" noChangeArrowheads="1"/>
                          </pic:cNvPicPr>
                        </pic:nvPicPr>
                        <pic:blipFill>
                          <a:blip r:embed="rId123" cstate="print"/>
                          <a:srcRect/>
                          <a:stretch>
                            <a:fillRect/>
                          </a:stretch>
                        </pic:blipFill>
                        <pic:spPr bwMode="auto">
                          <a:xfrm>
                            <a:off x="0" y="0"/>
                            <a:ext cx="1967581" cy="2787759"/>
                          </a:xfrm>
                          <a:prstGeom prst="rect">
                            <a:avLst/>
                          </a:prstGeom>
                          <a:ln w="38100" cap="sq">
                            <a:solidFill>
                              <a:srgbClr val="000000">
                                <a:alpha val="56000"/>
                              </a:srgbClr>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8D3C87" w:rsidRDefault="008D3C87" w:rsidP="008D3C87">
      <w:pPr>
        <w:pStyle w:val="Caption"/>
        <w:rPr>
          <w:rFonts w:ascii="Garamond" w:hAnsi="Garamond"/>
          <w:b w:val="0"/>
          <w:bCs w:val="0"/>
          <w:color w:val="auto"/>
          <w:sz w:val="24"/>
          <w:szCs w:val="24"/>
        </w:rPr>
      </w:pPr>
    </w:p>
    <w:p w:rsidR="00031E7C" w:rsidRDefault="008D3C87" w:rsidP="008D3C87">
      <w:pPr>
        <w:pStyle w:val="Caption"/>
        <w:jc w:val="both"/>
        <w:rPr>
          <w:rFonts w:ascii="Perpetua" w:hAnsi="Perpetua"/>
          <w:b w:val="0"/>
          <w:color w:val="auto"/>
          <w:sz w:val="20"/>
        </w:rPr>
      </w:pPr>
      <w:bookmarkStart w:id="769" w:name="_Toc263509075"/>
      <w:bookmarkStart w:id="770" w:name="_Toc263510862"/>
      <w:bookmarkStart w:id="771" w:name="_Toc244577340"/>
      <w:bookmarkStart w:id="772" w:name="_Toc263495809"/>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78</w:t>
      </w:r>
      <w:r w:rsidR="00DF2DF8" w:rsidRPr="00031E7C">
        <w:rPr>
          <w:rFonts w:ascii="Perpetua" w:hAnsi="Perpetua"/>
          <w:b w:val="0"/>
          <w:color w:val="auto"/>
          <w:sz w:val="20"/>
        </w:rPr>
        <w:fldChar w:fldCharType="end"/>
      </w:r>
      <w:r w:rsidRPr="00031E7C">
        <w:rPr>
          <w:rFonts w:ascii="Perpetua" w:hAnsi="Perpetua"/>
          <w:b w:val="0"/>
          <w:color w:val="auto"/>
          <w:sz w:val="20"/>
        </w:rPr>
        <w:t>:</w:t>
      </w:r>
      <w:r w:rsidRPr="008D3C87">
        <w:rPr>
          <w:rFonts w:ascii="Perpetua" w:hAnsi="Perpetua"/>
          <w:b w:val="0"/>
          <w:color w:val="auto"/>
          <w:sz w:val="20"/>
        </w:rPr>
        <w:t xml:space="preserve"> BOA Anti-emigration posters reprinted in Dutch press on the 15th Sharpeville anniversary, </w:t>
      </w:r>
      <w:r w:rsidR="00031E7C">
        <w:rPr>
          <w:rFonts w:ascii="Perpetua" w:hAnsi="Perpetua"/>
          <w:b w:val="0"/>
          <w:color w:val="auto"/>
          <w:sz w:val="20"/>
        </w:rPr>
        <w:t>21 March 1</w:t>
      </w:r>
      <w:r w:rsidRPr="008D3C87">
        <w:rPr>
          <w:rFonts w:ascii="Perpetua" w:hAnsi="Perpetua"/>
          <w:b w:val="0"/>
          <w:color w:val="auto"/>
          <w:sz w:val="20"/>
        </w:rPr>
        <w:t>975.</w:t>
      </w:r>
      <w:bookmarkEnd w:id="769"/>
      <w:bookmarkEnd w:id="770"/>
      <w:r w:rsidRPr="008D3C87">
        <w:rPr>
          <w:rFonts w:ascii="Perpetua" w:hAnsi="Perpetua"/>
          <w:b w:val="0"/>
          <w:color w:val="auto"/>
          <w:sz w:val="20"/>
        </w:rPr>
        <w:t xml:space="preserve"> </w:t>
      </w:r>
    </w:p>
    <w:p w:rsidR="008D3C87" w:rsidRPr="00031E7C" w:rsidRDefault="00031E7C" w:rsidP="00031E7C">
      <w:pPr>
        <w:rPr>
          <w:rFonts w:ascii="Perpetua" w:hAnsi="Perpetua"/>
          <w:sz w:val="20"/>
        </w:rPr>
      </w:pPr>
      <w:r w:rsidRPr="00031E7C">
        <w:rPr>
          <w:rFonts w:ascii="Perpetua" w:hAnsi="Perpetua"/>
          <w:sz w:val="20"/>
        </w:rPr>
        <w:t xml:space="preserve">Translated from Dutch: </w:t>
      </w:r>
      <w:r w:rsidR="008D3C87" w:rsidRPr="00031E7C">
        <w:rPr>
          <w:rFonts w:ascii="Perpetua" w:hAnsi="Perpetua"/>
          <w:sz w:val="20"/>
        </w:rPr>
        <w:t>Left:</w:t>
      </w:r>
      <w:r w:rsidRPr="00031E7C">
        <w:rPr>
          <w:rFonts w:ascii="Perpetua" w:hAnsi="Perpetua"/>
          <w:sz w:val="20"/>
        </w:rPr>
        <w:t xml:space="preserve"> </w:t>
      </w:r>
      <w:r w:rsidR="008D3C87" w:rsidRPr="00031E7C">
        <w:rPr>
          <w:rFonts w:ascii="Perpetua" w:hAnsi="Perpetua"/>
          <w:sz w:val="20"/>
        </w:rPr>
        <w:t>"Emigration to South Africa is perilous. Black South Africa will not tolerate to be bereft of their livelihood". Right: "Emigration to South Africa is Perilous".</w:t>
      </w:r>
      <w:bookmarkEnd w:id="771"/>
      <w:bookmarkEnd w:id="772"/>
    </w:p>
    <w:p w:rsidR="003F4A98" w:rsidRPr="004246B0" w:rsidRDefault="003F4A98" w:rsidP="003F4A98">
      <w:pPr>
        <w:spacing w:line="360" w:lineRule="auto"/>
        <w:jc w:val="center"/>
        <w:rPr>
          <w:rFonts w:ascii="Garamond" w:hAnsi="Garamond"/>
          <w:sz w:val="24"/>
          <w:szCs w:val="24"/>
        </w:rPr>
      </w:pPr>
    </w:p>
    <w:p w:rsidR="008D3C87"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Several of the BOA's images retain power to shock and upset people today.</w:t>
      </w:r>
      <w:r w:rsidRPr="004246B0">
        <w:rPr>
          <w:rStyle w:val="FootnoteReference"/>
          <w:rFonts w:ascii="Garamond" w:hAnsi="Garamond"/>
          <w:sz w:val="24"/>
          <w:szCs w:val="24"/>
        </w:rPr>
        <w:footnoteReference w:id="197"/>
      </w:r>
      <w:r w:rsidRPr="004246B0">
        <w:rPr>
          <w:rFonts w:ascii="Garamond" w:hAnsi="Garamond"/>
          <w:sz w:val="24"/>
          <w:szCs w:val="24"/>
        </w:rPr>
        <w:t xml:space="preserve"> As a contingent, the BOA recognized the sacred power that images held; graphic designer Rob van der Aa and caricaturist Willem van Manen were skilful manipulators of this power through metonymy, metaphor and parody. The portraits of the armed black revolutionary continued this theme. But with these images, deploying their power was a much simpler process.  For the Dutch public, the portraits displayed a recognizable protagonist.</w:t>
      </w:r>
      <w:r>
        <w:rPr>
          <w:rFonts w:ascii="Garamond" w:hAnsi="Garamond"/>
          <w:sz w:val="24"/>
          <w:szCs w:val="24"/>
        </w:rPr>
        <w:t xml:space="preserve"> Throughout the 1960s and 19</w:t>
      </w:r>
      <w:r w:rsidRPr="004246B0">
        <w:rPr>
          <w:rFonts w:ascii="Garamond" w:hAnsi="Garamond"/>
          <w:sz w:val="24"/>
          <w:szCs w:val="24"/>
        </w:rPr>
        <w:t xml:space="preserve">70s global pro-apartheid organizations disseminated images of the black 'terrorist', usually accompanied with a hammer and sickle (Pieterse, 1986). The BOA's posters reproduced and displaced the pro-apartheid visual embodiment of black terrorism and communist insurgency to unmake white imaginations of home-making. I will now unpack some of the risks this entailed, and I will argue that the BOA were justified in taking these risks. </w:t>
      </w:r>
    </w:p>
    <w:p w:rsidR="008D3C87" w:rsidRDefault="008D3C87" w:rsidP="003F4A98">
      <w:pPr>
        <w:autoSpaceDE w:val="0"/>
        <w:autoSpaceDN w:val="0"/>
        <w:adjustRightInd w:val="0"/>
        <w:spacing w:after="0" w:line="360" w:lineRule="auto"/>
        <w:jc w:val="both"/>
        <w:rPr>
          <w:rFonts w:ascii="Garamond" w:hAnsi="Garamond"/>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3652"/>
        <w:gridCol w:w="2268"/>
      </w:tblGrid>
      <w:tr w:rsidR="008D3C87">
        <w:trPr>
          <w:jc w:val="center"/>
        </w:trPr>
        <w:tc>
          <w:tcPr>
            <w:tcW w:w="3652" w:type="dxa"/>
          </w:tcPr>
          <w:p w:rsidR="008D3C87" w:rsidRPr="008D3C87" w:rsidRDefault="008D3C87" w:rsidP="003F4A98">
            <w:pPr>
              <w:spacing w:line="360" w:lineRule="auto"/>
              <w:jc w:val="both"/>
              <w:rPr>
                <w:rFonts w:ascii="Garamond" w:hAnsi="Garamond"/>
                <w:sz w:val="24"/>
                <w:szCs w:val="24"/>
              </w:rPr>
            </w:pPr>
            <w:r w:rsidRPr="008D3C87">
              <w:rPr>
                <w:rFonts w:ascii="Garamond" w:hAnsi="Garamond"/>
                <w:noProof/>
                <w:sz w:val="24"/>
                <w:szCs w:val="24"/>
                <w:lang w:eastAsia="en-GB"/>
              </w:rPr>
              <w:drawing>
                <wp:inline distT="0" distB="0" distL="0" distR="0">
                  <wp:extent cx="2123684" cy="2832100"/>
                  <wp:effectExtent l="25400" t="0" r="9916" b="0"/>
                  <wp:docPr id="153" name="Picture 23" descr="C:\Users\hugh crosfield\Downloads\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gh crosfield\Downloads\photo (5).JPG"/>
                          <pic:cNvPicPr>
                            <a:picLocks noChangeAspect="1" noChangeArrowheads="1"/>
                          </pic:cNvPicPr>
                        </pic:nvPicPr>
                        <pic:blipFill>
                          <a:blip r:embed="rId124" cstate="print"/>
                          <a:srcRect/>
                          <a:stretch>
                            <a:fillRect/>
                          </a:stretch>
                        </pic:blipFill>
                        <pic:spPr bwMode="auto">
                          <a:xfrm>
                            <a:off x="0" y="0"/>
                            <a:ext cx="2126911" cy="2836403"/>
                          </a:xfrm>
                          <a:prstGeom prst="rect">
                            <a:avLst/>
                          </a:prstGeom>
                          <a:noFill/>
                          <a:ln w="9525">
                            <a:noFill/>
                            <a:miter lim="800000"/>
                            <a:headEnd/>
                            <a:tailEnd/>
                          </a:ln>
                        </pic:spPr>
                      </pic:pic>
                    </a:graphicData>
                  </a:graphic>
                </wp:inline>
              </w:drawing>
            </w:r>
          </w:p>
        </w:tc>
        <w:tc>
          <w:tcPr>
            <w:tcW w:w="2268" w:type="dxa"/>
          </w:tcPr>
          <w:p w:rsidR="008D3C87" w:rsidRDefault="008D3C87" w:rsidP="008D3C87">
            <w:pPr>
              <w:pStyle w:val="Caption"/>
              <w:rPr>
                <w:rFonts w:ascii="Perpetua" w:hAnsi="Perpetua"/>
                <w:color w:val="auto"/>
                <w:sz w:val="20"/>
              </w:rPr>
            </w:pPr>
          </w:p>
          <w:p w:rsidR="008D3C87" w:rsidRDefault="008D3C87" w:rsidP="008D3C87">
            <w:pPr>
              <w:pStyle w:val="Caption"/>
              <w:rPr>
                <w:rFonts w:ascii="Perpetua" w:hAnsi="Perpetua"/>
                <w:color w:val="auto"/>
                <w:sz w:val="20"/>
              </w:rPr>
            </w:pPr>
          </w:p>
          <w:p w:rsidR="008D3C87" w:rsidRDefault="008D3C87" w:rsidP="008D3C87">
            <w:pPr>
              <w:pStyle w:val="Caption"/>
              <w:rPr>
                <w:rFonts w:ascii="Perpetua" w:hAnsi="Perpetua"/>
                <w:color w:val="auto"/>
                <w:sz w:val="20"/>
              </w:rPr>
            </w:pPr>
          </w:p>
          <w:p w:rsidR="008D3C87" w:rsidRDefault="008D3C87" w:rsidP="008D3C87">
            <w:pPr>
              <w:pStyle w:val="Caption"/>
              <w:rPr>
                <w:rFonts w:ascii="Perpetua" w:hAnsi="Perpetua"/>
                <w:color w:val="auto"/>
                <w:sz w:val="20"/>
              </w:rPr>
            </w:pPr>
          </w:p>
          <w:p w:rsidR="00031E7C" w:rsidRDefault="008D3C87" w:rsidP="008D3C87">
            <w:pPr>
              <w:pStyle w:val="Caption"/>
              <w:jc w:val="both"/>
              <w:rPr>
                <w:rFonts w:ascii="Perpetua" w:hAnsi="Perpetua"/>
                <w:b w:val="0"/>
                <w:color w:val="auto"/>
                <w:sz w:val="20"/>
              </w:rPr>
            </w:pPr>
            <w:bookmarkStart w:id="773" w:name="_Toc263509076"/>
            <w:bookmarkStart w:id="774" w:name="_Toc263510863"/>
            <w:bookmarkStart w:id="775" w:name="_Toc244577341"/>
            <w:bookmarkStart w:id="776" w:name="_Toc263495810"/>
            <w:r w:rsidRPr="00031E7C">
              <w:rPr>
                <w:rFonts w:ascii="Perpetua" w:hAnsi="Perpetua"/>
                <w:b w:val="0"/>
                <w:color w:val="auto"/>
                <w:sz w:val="20"/>
              </w:rPr>
              <w:t xml:space="preserve">Figure </w:t>
            </w:r>
            <w:r w:rsidR="00DF2DF8" w:rsidRPr="00031E7C">
              <w:rPr>
                <w:rFonts w:ascii="Perpetua" w:hAnsi="Perpetua"/>
                <w:b w:val="0"/>
                <w:color w:val="auto"/>
                <w:sz w:val="20"/>
              </w:rPr>
              <w:fldChar w:fldCharType="begin"/>
            </w:r>
            <w:r w:rsidRPr="00031E7C">
              <w:rPr>
                <w:rFonts w:ascii="Perpetua" w:hAnsi="Perpetua"/>
                <w:b w:val="0"/>
                <w:color w:val="auto"/>
                <w:sz w:val="20"/>
              </w:rPr>
              <w:instrText xml:space="preserve"> SEQ Figure \* ARABIC </w:instrText>
            </w:r>
            <w:r w:rsidR="00DF2DF8" w:rsidRPr="00031E7C">
              <w:rPr>
                <w:rFonts w:ascii="Perpetua" w:hAnsi="Perpetua"/>
                <w:b w:val="0"/>
                <w:color w:val="auto"/>
                <w:sz w:val="20"/>
              </w:rPr>
              <w:fldChar w:fldCharType="separate"/>
            </w:r>
            <w:r w:rsidR="002B3E92">
              <w:rPr>
                <w:rFonts w:ascii="Perpetua" w:hAnsi="Perpetua"/>
                <w:b w:val="0"/>
                <w:noProof/>
                <w:color w:val="auto"/>
                <w:sz w:val="20"/>
              </w:rPr>
              <w:t>79</w:t>
            </w:r>
            <w:r w:rsidR="00DF2DF8" w:rsidRPr="00031E7C">
              <w:rPr>
                <w:rFonts w:ascii="Perpetua" w:hAnsi="Perpetua"/>
                <w:b w:val="0"/>
                <w:color w:val="auto"/>
                <w:sz w:val="20"/>
              </w:rPr>
              <w:fldChar w:fldCharType="end"/>
            </w:r>
            <w:r w:rsidRPr="00031E7C">
              <w:rPr>
                <w:rFonts w:ascii="Perpetua" w:hAnsi="Perpetua"/>
                <w:b w:val="0"/>
                <w:color w:val="auto"/>
                <w:sz w:val="20"/>
              </w:rPr>
              <w:t>:</w:t>
            </w:r>
            <w:r w:rsidRPr="008D3C87">
              <w:rPr>
                <w:rFonts w:ascii="Perpetua" w:hAnsi="Perpetua"/>
                <w:b w:val="0"/>
                <w:color w:val="auto"/>
                <w:sz w:val="20"/>
              </w:rPr>
              <w:t xml:space="preserve"> 1980s South African police poster depicting the 'black communist terror threat'.</w:t>
            </w:r>
            <w:bookmarkEnd w:id="773"/>
            <w:bookmarkEnd w:id="774"/>
            <w:r w:rsidRPr="008D3C87">
              <w:rPr>
                <w:rFonts w:ascii="Perpetua" w:hAnsi="Perpetua"/>
                <w:b w:val="0"/>
                <w:color w:val="auto"/>
                <w:sz w:val="20"/>
              </w:rPr>
              <w:t xml:space="preserve"> </w:t>
            </w:r>
          </w:p>
          <w:p w:rsidR="008D3C87" w:rsidRPr="00031E7C" w:rsidRDefault="00031E7C" w:rsidP="00031E7C">
            <w:pPr>
              <w:rPr>
                <w:rFonts w:ascii="Perpetua" w:hAnsi="Perpetua"/>
                <w:sz w:val="20"/>
              </w:rPr>
            </w:pPr>
            <w:r w:rsidRPr="00031E7C">
              <w:rPr>
                <w:rFonts w:ascii="Perpetua" w:hAnsi="Perpetua"/>
                <w:sz w:val="20"/>
              </w:rPr>
              <w:t>Image sourced from Pieterse (</w:t>
            </w:r>
            <w:r w:rsidR="008D3C87" w:rsidRPr="00031E7C">
              <w:rPr>
                <w:rFonts w:ascii="Perpetua" w:hAnsi="Perpetua"/>
                <w:sz w:val="20"/>
              </w:rPr>
              <w:t>1992: 107</w:t>
            </w:r>
            <w:bookmarkEnd w:id="775"/>
            <w:bookmarkEnd w:id="776"/>
            <w:r w:rsidRPr="00031E7C">
              <w:rPr>
                <w:rFonts w:ascii="Perpetua" w:hAnsi="Perpetua"/>
                <w:sz w:val="20"/>
              </w:rPr>
              <w:t>).</w:t>
            </w:r>
            <w:r w:rsidR="008D3C87" w:rsidRPr="00031E7C">
              <w:rPr>
                <w:rFonts w:ascii="Perpetua" w:hAnsi="Perpetua"/>
                <w:sz w:val="20"/>
              </w:rPr>
              <w:t xml:space="preserve"> </w:t>
            </w:r>
          </w:p>
          <w:p w:rsidR="008D3C87" w:rsidRDefault="008D3C87" w:rsidP="003F4A98">
            <w:pPr>
              <w:spacing w:line="360" w:lineRule="auto"/>
              <w:jc w:val="both"/>
              <w:rPr>
                <w:rFonts w:ascii="Garamond" w:hAnsi="Garamond"/>
                <w:sz w:val="24"/>
                <w:szCs w:val="24"/>
              </w:rPr>
            </w:pPr>
          </w:p>
        </w:tc>
      </w:tr>
    </w:tbl>
    <w:p w:rsidR="008D3C87" w:rsidRDefault="008D3C87" w:rsidP="008D3C87">
      <w:pPr>
        <w:spacing w:after="0" w:line="360" w:lineRule="auto"/>
        <w:jc w:val="both"/>
        <w:rPr>
          <w:rFonts w:ascii="Garamond" w:hAnsi="Garamond"/>
          <w:b/>
          <w:i/>
          <w:szCs w:val="24"/>
        </w:rPr>
      </w:pPr>
    </w:p>
    <w:p w:rsidR="00031E7C" w:rsidRDefault="00031E7C" w:rsidP="008D3C87">
      <w:pPr>
        <w:spacing w:after="0" w:line="360" w:lineRule="auto"/>
        <w:jc w:val="both"/>
        <w:rPr>
          <w:rFonts w:ascii="Garamond" w:hAnsi="Garamond"/>
          <w:b/>
          <w:i/>
          <w:szCs w:val="24"/>
        </w:rPr>
      </w:pPr>
    </w:p>
    <w:p w:rsidR="00031E7C" w:rsidRDefault="00031E7C" w:rsidP="008D3C87">
      <w:pPr>
        <w:spacing w:after="0" w:line="360" w:lineRule="auto"/>
        <w:jc w:val="both"/>
        <w:rPr>
          <w:rFonts w:ascii="Garamond" w:hAnsi="Garamond"/>
          <w:b/>
          <w:i/>
          <w:szCs w:val="24"/>
        </w:rPr>
      </w:pPr>
    </w:p>
    <w:p w:rsidR="00031E7C" w:rsidRDefault="00031E7C" w:rsidP="008D3C87">
      <w:pPr>
        <w:spacing w:after="0" w:line="360" w:lineRule="auto"/>
        <w:jc w:val="both"/>
        <w:rPr>
          <w:rFonts w:ascii="Garamond" w:hAnsi="Garamond"/>
          <w:b/>
          <w:i/>
          <w:szCs w:val="24"/>
        </w:rPr>
      </w:pPr>
    </w:p>
    <w:p w:rsidR="00031E7C" w:rsidRDefault="00031E7C" w:rsidP="008D3C87">
      <w:pPr>
        <w:spacing w:after="0" w:line="360" w:lineRule="auto"/>
        <w:jc w:val="both"/>
        <w:rPr>
          <w:rFonts w:ascii="Garamond" w:hAnsi="Garamond"/>
          <w:b/>
          <w:i/>
          <w:szCs w:val="24"/>
        </w:rPr>
      </w:pPr>
    </w:p>
    <w:p w:rsidR="008D3C87" w:rsidRDefault="003F4A98" w:rsidP="008D3C87">
      <w:pPr>
        <w:spacing w:after="0" w:line="360" w:lineRule="auto"/>
        <w:jc w:val="both"/>
        <w:rPr>
          <w:rFonts w:ascii="Garamond" w:hAnsi="Garamond"/>
          <w:b/>
          <w:i/>
          <w:szCs w:val="24"/>
        </w:rPr>
      </w:pPr>
      <w:r w:rsidRPr="008D3C87">
        <w:rPr>
          <w:rFonts w:ascii="Garamond" w:hAnsi="Garamond"/>
          <w:b/>
          <w:i/>
          <w:szCs w:val="24"/>
        </w:rPr>
        <w:lastRenderedPageBreak/>
        <w:t>The black revolutionary body as counter discourse and solidarity-making process</w:t>
      </w:r>
    </w:p>
    <w:p w:rsidR="003F4A98" w:rsidRPr="008D3C87" w:rsidRDefault="003F4A98" w:rsidP="008D3C87">
      <w:pPr>
        <w:spacing w:after="0" w:line="360" w:lineRule="auto"/>
        <w:jc w:val="both"/>
        <w:rPr>
          <w:rFonts w:ascii="Garamond" w:hAnsi="Garamond"/>
          <w:b/>
          <w:i/>
          <w:szCs w:val="24"/>
        </w:rPr>
      </w:pPr>
    </w:p>
    <w:p w:rsidR="008D3C87" w:rsidRDefault="003F4A98" w:rsidP="008D3C87">
      <w:pPr>
        <w:spacing w:after="0" w:line="360" w:lineRule="auto"/>
        <w:jc w:val="both"/>
        <w:rPr>
          <w:rFonts w:ascii="Garamond" w:hAnsi="Garamond"/>
          <w:sz w:val="24"/>
          <w:szCs w:val="24"/>
        </w:rPr>
      </w:pPr>
      <w:r w:rsidRPr="004246B0">
        <w:rPr>
          <w:rFonts w:ascii="Garamond" w:hAnsi="Garamond"/>
          <w:sz w:val="24"/>
          <w:szCs w:val="24"/>
        </w:rPr>
        <w:t>What were the implications of reproducing images of threatening black bodies in relation to anti-emigration</w:t>
      </w:r>
      <w:r w:rsidRPr="00C91691">
        <w:rPr>
          <w:rFonts w:ascii="Garamond" w:hAnsi="Garamond"/>
          <w:sz w:val="24"/>
          <w:szCs w:val="24"/>
        </w:rPr>
        <w:t xml:space="preserve">? A current </w:t>
      </w:r>
      <w:r>
        <w:rPr>
          <w:rFonts w:ascii="Garamond" w:hAnsi="Garamond"/>
          <w:sz w:val="24"/>
          <w:szCs w:val="24"/>
        </w:rPr>
        <w:t>line of enquiry</w:t>
      </w:r>
      <w:r w:rsidRPr="00C91691">
        <w:rPr>
          <w:rFonts w:ascii="Garamond" w:hAnsi="Garamond"/>
          <w:sz w:val="24"/>
          <w:szCs w:val="24"/>
        </w:rPr>
        <w:t xml:space="preserve"> for cultural geographers</w:t>
      </w:r>
      <w:r>
        <w:rPr>
          <w:rFonts w:ascii="Garamond" w:hAnsi="Garamond"/>
          <w:sz w:val="24"/>
          <w:szCs w:val="24"/>
        </w:rPr>
        <w:t xml:space="preserve"> working with visual materials</w:t>
      </w:r>
      <w:r w:rsidRPr="00C91691">
        <w:rPr>
          <w:rFonts w:ascii="Garamond" w:hAnsi="Garamond"/>
          <w:sz w:val="24"/>
          <w:szCs w:val="24"/>
        </w:rPr>
        <w:t xml:space="preserve"> is</w:t>
      </w:r>
      <w:r>
        <w:rPr>
          <w:rFonts w:ascii="Garamond" w:hAnsi="Garamond"/>
          <w:sz w:val="24"/>
          <w:szCs w:val="24"/>
        </w:rPr>
        <w:t xml:space="preserve"> to understand</w:t>
      </w:r>
      <w:r w:rsidRPr="00C91691">
        <w:rPr>
          <w:rFonts w:ascii="Garamond" w:hAnsi="Garamond"/>
          <w:sz w:val="24"/>
          <w:szCs w:val="24"/>
        </w:rPr>
        <w:t xml:space="preserve"> the ability of violent images to develop lives of their own, to enter into new formations</w:t>
      </w:r>
      <w:r w:rsidRPr="004246B0">
        <w:rPr>
          <w:rFonts w:ascii="Garamond" w:hAnsi="Garamond"/>
          <w:sz w:val="24"/>
          <w:szCs w:val="24"/>
        </w:rPr>
        <w:t xml:space="preserve"> of power entirely independent of their original context:</w:t>
      </w:r>
    </w:p>
    <w:p w:rsidR="003F4A98" w:rsidRPr="004246B0" w:rsidRDefault="003F4A98" w:rsidP="008D3C87">
      <w:pPr>
        <w:spacing w:after="0" w:line="360" w:lineRule="auto"/>
        <w:jc w:val="both"/>
        <w:rPr>
          <w:rFonts w:ascii="Garamond" w:hAnsi="Garamond"/>
          <w:sz w:val="24"/>
          <w:szCs w:val="24"/>
        </w:rPr>
      </w:pPr>
    </w:p>
    <w:p w:rsidR="003F4A98" w:rsidRPr="004246B0" w:rsidRDefault="003F4A98" w:rsidP="008D3C87">
      <w:pPr>
        <w:autoSpaceDE w:val="0"/>
        <w:autoSpaceDN w:val="0"/>
        <w:adjustRightInd w:val="0"/>
        <w:spacing w:after="0" w:line="360" w:lineRule="auto"/>
        <w:ind w:left="284" w:right="284"/>
        <w:rPr>
          <w:rFonts w:ascii="Garamond" w:eastAsia="MinionPro-Regular" w:hAnsi="Garamond"/>
        </w:rPr>
      </w:pPr>
      <w:r w:rsidRPr="004246B0">
        <w:rPr>
          <w:rFonts w:ascii="Garamond" w:eastAsia="MinionPro-Regular" w:hAnsi="Garamond"/>
        </w:rPr>
        <w:t xml:space="preserve">Representations [of fear] are never merely mirrors held up to somehow reflect or represent the world but instead enter directly into its constitution (and destruction). Images and words release enormous </w:t>
      </w:r>
      <w:r>
        <w:rPr>
          <w:rFonts w:ascii="Garamond" w:eastAsia="MinionPro-Regular" w:hAnsi="Garamond"/>
        </w:rPr>
        <w:t xml:space="preserve">power. (Gregory </w:t>
      </w:r>
      <w:r w:rsidR="00F152DB">
        <w:rPr>
          <w:rFonts w:ascii="Garamond" w:eastAsia="MinionPro-Regular" w:hAnsi="Garamond"/>
        </w:rPr>
        <w:t>and</w:t>
      </w:r>
      <w:r>
        <w:rPr>
          <w:rFonts w:ascii="Garamond" w:eastAsia="MinionPro-Regular" w:hAnsi="Garamond"/>
        </w:rPr>
        <w:t xml:space="preserve"> Pred, 2007: 2)</w:t>
      </w:r>
    </w:p>
    <w:p w:rsidR="003F4A98" w:rsidRPr="004246B0" w:rsidRDefault="003F4A98" w:rsidP="008D3C87">
      <w:pPr>
        <w:spacing w:after="0" w:line="360" w:lineRule="auto"/>
        <w:jc w:val="both"/>
        <w:rPr>
          <w:rFonts w:ascii="Garamond" w:hAnsi="Garamond"/>
          <w:sz w:val="24"/>
          <w:szCs w:val="24"/>
        </w:rPr>
      </w:pPr>
    </w:p>
    <w:p w:rsidR="008D3C87" w:rsidRDefault="003F4A98" w:rsidP="008D3C87">
      <w:pPr>
        <w:spacing w:after="0" w:line="360" w:lineRule="auto"/>
        <w:jc w:val="both"/>
        <w:rPr>
          <w:rFonts w:ascii="Garamond" w:hAnsi="Garamond"/>
          <w:sz w:val="24"/>
          <w:szCs w:val="24"/>
        </w:rPr>
      </w:pPr>
      <w:r w:rsidRPr="004246B0">
        <w:rPr>
          <w:rFonts w:ascii="Garamond" w:hAnsi="Garamond"/>
          <w:sz w:val="24"/>
          <w:szCs w:val="24"/>
        </w:rPr>
        <w:t xml:space="preserve">These BOA images of the violent black male were circulated among a wide Dutch readership, many of whom, du Plessis believed, held racist worldviews. Aligning anti-emigration with the image of the militarized black male may have further essentialized and reinforced trenchant racist views on South Africa and encouraged Cold-War framings for apartheid. It also could have reinforced white imaginations of the black body as phobogenic, capable of arousing both fear and revulsion (Fanon, 1986 [1953]).  According to Nash (2003) and Peake </w:t>
      </w:r>
      <w:r w:rsidR="00F152DB">
        <w:rPr>
          <w:rFonts w:ascii="Garamond" w:hAnsi="Garamond"/>
          <w:sz w:val="24"/>
          <w:szCs w:val="24"/>
        </w:rPr>
        <w:t>and</w:t>
      </w:r>
      <w:r w:rsidRPr="004246B0">
        <w:rPr>
          <w:rFonts w:ascii="Garamond" w:hAnsi="Garamond"/>
          <w:sz w:val="24"/>
          <w:szCs w:val="24"/>
        </w:rPr>
        <w:t xml:space="preserve"> Kyabashi (2000), undoing, or at least understanding, the fear of the racialized 'other'/'stranger' is a tenet of contemporary antiracism, and antiracism today often works through anti-essentialist channels (Hage, 2010).  To the potential white migrant, these images did nothing to question or explain the racialized fear of violence. Indeed, they reproduced it. But this is exactly what the organization desired in order to dissuade Dutch from migrating. Cultivating fear among potential migrants was a pragmatic necessity when confronted with hardened racist attitudes among Dutch migrants:</w:t>
      </w:r>
    </w:p>
    <w:p w:rsidR="003F4A98" w:rsidRPr="004246B0" w:rsidRDefault="003F4A98" w:rsidP="008D3C87">
      <w:pPr>
        <w:spacing w:after="0" w:line="360" w:lineRule="auto"/>
        <w:jc w:val="both"/>
        <w:rPr>
          <w:rFonts w:ascii="Garamond" w:hAnsi="Garamond"/>
          <w:sz w:val="24"/>
          <w:szCs w:val="24"/>
        </w:rPr>
      </w:pPr>
    </w:p>
    <w:p w:rsidR="003F4A98" w:rsidRPr="004246B0" w:rsidRDefault="008D3C87" w:rsidP="008D3C87">
      <w:pPr>
        <w:spacing w:line="360" w:lineRule="auto"/>
        <w:ind w:left="284" w:right="284"/>
        <w:jc w:val="both"/>
        <w:rPr>
          <w:rFonts w:ascii="Garamond" w:hAnsi="Garamond"/>
        </w:rPr>
      </w:pPr>
      <w:r>
        <w:rPr>
          <w:rFonts w:ascii="Garamond" w:hAnsi="Garamond"/>
        </w:rPr>
        <w:t>ESAU</w:t>
      </w:r>
      <w:r w:rsidR="003F4A98" w:rsidRPr="004246B0">
        <w:rPr>
          <w:rFonts w:ascii="Garamond" w:hAnsi="Garamond"/>
        </w:rPr>
        <w:t xml:space="preserve">: He has his machine gun and he says immigrants are not welcome under apartheid. He plays on the fear of the danger that was to come. We were prepared to scare people because we knew no amount of information could change the mindset of the people in the extreme Calvinistic churches. They don’t read Trouw, the liberal Dutch paper. I wouldn’t allow my children to grow up in South Africa. </w:t>
      </w:r>
    </w:p>
    <w:p w:rsidR="003F4A98" w:rsidRPr="004246B0" w:rsidRDefault="008D3C87" w:rsidP="008D3C87">
      <w:pPr>
        <w:spacing w:line="360" w:lineRule="auto"/>
        <w:ind w:left="284" w:right="284"/>
        <w:jc w:val="both"/>
        <w:rPr>
          <w:rFonts w:ascii="Garamond" w:hAnsi="Garamond"/>
        </w:rPr>
      </w:pPr>
      <w:r>
        <w:rPr>
          <w:rFonts w:ascii="Garamond" w:hAnsi="Garamond"/>
        </w:rPr>
        <w:t>HUGH</w:t>
      </w:r>
      <w:r w:rsidR="003F4A98" w:rsidRPr="004246B0">
        <w:rPr>
          <w:rFonts w:ascii="Garamond" w:hAnsi="Garamond"/>
        </w:rPr>
        <w:t>: You used their racist attitudes as a weapon against them emigrating to South Africa?</w:t>
      </w:r>
    </w:p>
    <w:p w:rsidR="003F4A98" w:rsidRPr="004246B0" w:rsidRDefault="008D3C87" w:rsidP="008D3C87">
      <w:pPr>
        <w:spacing w:line="360" w:lineRule="auto"/>
        <w:ind w:left="284" w:right="284"/>
        <w:jc w:val="both"/>
        <w:rPr>
          <w:rFonts w:ascii="Garamond" w:hAnsi="Garamond"/>
        </w:rPr>
      </w:pPr>
      <w:r>
        <w:rPr>
          <w:rFonts w:ascii="Garamond" w:hAnsi="Garamond"/>
        </w:rPr>
        <w:t>ESAU</w:t>
      </w:r>
      <w:r w:rsidR="003F4A98" w:rsidRPr="004246B0">
        <w:rPr>
          <w:rFonts w:ascii="Garamond" w:hAnsi="Garamond"/>
        </w:rPr>
        <w:t>: Yes, that’s right.</w:t>
      </w:r>
    </w:p>
    <w:p w:rsidR="003F4A98" w:rsidRPr="004246B0" w:rsidRDefault="008D3C87" w:rsidP="008D3C87">
      <w:pPr>
        <w:spacing w:line="360" w:lineRule="auto"/>
        <w:ind w:left="284" w:right="284"/>
        <w:jc w:val="both"/>
        <w:rPr>
          <w:rFonts w:ascii="Garamond" w:hAnsi="Garamond"/>
        </w:rPr>
      </w:pPr>
      <w:r>
        <w:rPr>
          <w:rFonts w:ascii="Garamond" w:hAnsi="Garamond"/>
        </w:rPr>
        <w:lastRenderedPageBreak/>
        <w:t>HUGH:</w:t>
      </w:r>
      <w:r w:rsidR="003F4A98" w:rsidRPr="004246B0">
        <w:rPr>
          <w:rFonts w:ascii="Garamond" w:hAnsi="Garamond"/>
        </w:rPr>
        <w:t xml:space="preserve"> When I speak to geographers today, some might suggest that these images are perpetuating racist discourse. What would you say to such criticisms?</w:t>
      </w:r>
    </w:p>
    <w:p w:rsidR="00E90398" w:rsidRDefault="008D3C87" w:rsidP="00E90398">
      <w:pPr>
        <w:spacing w:after="0" w:line="360" w:lineRule="auto"/>
        <w:ind w:left="284" w:right="284"/>
        <w:jc w:val="both"/>
        <w:rPr>
          <w:rFonts w:ascii="Garamond" w:hAnsi="Garamond"/>
        </w:rPr>
      </w:pPr>
      <w:r>
        <w:rPr>
          <w:rFonts w:ascii="Garamond" w:hAnsi="Garamond"/>
        </w:rPr>
        <w:t>ESAU</w:t>
      </w:r>
      <w:r w:rsidR="003F4A98" w:rsidRPr="004246B0">
        <w:rPr>
          <w:rFonts w:ascii="Garamond" w:hAnsi="Garamond"/>
        </w:rPr>
        <w:t xml:space="preserve">: Our main emphasis was to provide information about the inequalities, discrepancies, and brutalities of South Africa under apartheid. And in order to get Europeans to stop emigrating to South Africa, either they can learn from our information, or knowing that certain fundamentalist Christians wouldn’t be listening to our information, we made clear a real possibility of an uprising, of Guerrilla warfare. </w:t>
      </w:r>
      <w:r>
        <w:rPr>
          <w:rFonts w:ascii="Garamond" w:hAnsi="Garamond"/>
        </w:rPr>
        <w:t xml:space="preserve"> (Interview du Plessis 2012)</w:t>
      </w:r>
    </w:p>
    <w:p w:rsidR="003F4A98" w:rsidRPr="008D3C87" w:rsidRDefault="003F4A98" w:rsidP="00E90398">
      <w:pPr>
        <w:spacing w:after="0" w:line="360" w:lineRule="auto"/>
        <w:ind w:left="284" w:right="284"/>
        <w:jc w:val="both"/>
        <w:rPr>
          <w:rFonts w:ascii="Garamond" w:hAnsi="Garamond"/>
        </w:rPr>
      </w:pPr>
    </w:p>
    <w:p w:rsidR="00E90398" w:rsidRDefault="003F4A98" w:rsidP="00E90398">
      <w:pPr>
        <w:spacing w:after="0" w:line="360" w:lineRule="auto"/>
        <w:jc w:val="both"/>
        <w:rPr>
          <w:rFonts w:ascii="Garamond" w:hAnsi="Garamond"/>
          <w:sz w:val="24"/>
          <w:szCs w:val="24"/>
        </w:rPr>
      </w:pPr>
      <w:r w:rsidRPr="004246B0">
        <w:rPr>
          <w:rFonts w:ascii="Garamond" w:hAnsi="Garamond"/>
          <w:sz w:val="24"/>
          <w:szCs w:val="24"/>
        </w:rPr>
        <w:t>From the perspective of post-racialists the iconography of this campaign might appear to align masculine blackness with problematic 'atavistic' and violent traits, and some anti-essentialists may even argue that the portraits produce racist affects. A similar critical position could be assumed to that taken by Le Billon's work on the imagery of black terror disseminated by the NGO Fatal Transactions.  As a consumer movement tapping into discourses of terror embodied by the revolutionary black male, the BOA risked "reproducing spaces and identities of (il)legitimacy" (2007: 136).</w:t>
      </w:r>
      <w:r w:rsidRPr="004246B0">
        <w:rPr>
          <w:rStyle w:val="FootnoteReference"/>
          <w:rFonts w:ascii="Garamond" w:hAnsi="Garamond"/>
          <w:sz w:val="24"/>
          <w:szCs w:val="24"/>
        </w:rPr>
        <w:footnoteReference w:id="198"/>
      </w:r>
      <w:r w:rsidRPr="004246B0">
        <w:rPr>
          <w:rFonts w:ascii="Garamond" w:hAnsi="Garamond"/>
          <w:sz w:val="24"/>
          <w:szCs w:val="24"/>
        </w:rPr>
        <w:t xml:space="preserve"> This might seem plausible. After all, in the eyes of many Dutch, the black body in these images was coda for crime and terror. And the BOA were keen to encourage this way of 'seeing' the images. Postcolonial theorists deriving their critical position from postmodernism's anti-particularisms, or from subaltern studies' criticisms of nationalist and anti-colonial movements, might argue that these images simply used the 'master's tools' to replicate the racial binaries of colonial discourse.  This type of postcolonial thinking tends to commit to universalist imaginaries, and to 'alter' rather than 'anti' politics - as exemplified in Homi Bhab</w:t>
      </w:r>
      <w:r>
        <w:rPr>
          <w:rFonts w:ascii="Garamond" w:hAnsi="Garamond"/>
          <w:sz w:val="24"/>
          <w:szCs w:val="24"/>
        </w:rPr>
        <w:t>h</w:t>
      </w:r>
      <w:r w:rsidRPr="004246B0">
        <w:rPr>
          <w:rFonts w:ascii="Garamond" w:hAnsi="Garamond"/>
          <w:sz w:val="24"/>
          <w:szCs w:val="24"/>
        </w:rPr>
        <w:t xml:space="preserve">a's work on 'contra-modernity' in </w:t>
      </w:r>
      <w:r w:rsidRPr="004246B0">
        <w:rPr>
          <w:rFonts w:ascii="Garamond" w:hAnsi="Garamond"/>
          <w:i/>
          <w:sz w:val="24"/>
          <w:szCs w:val="24"/>
        </w:rPr>
        <w:t>The Location of Culture</w:t>
      </w:r>
      <w:r w:rsidRPr="004246B0">
        <w:rPr>
          <w:rFonts w:ascii="Garamond" w:hAnsi="Garamond"/>
          <w:sz w:val="24"/>
          <w:szCs w:val="24"/>
        </w:rPr>
        <w:t xml:space="preserve"> (1994),</w:t>
      </w:r>
      <w:r w:rsidRPr="004246B0">
        <w:rPr>
          <w:rStyle w:val="FootnoteReference"/>
          <w:rFonts w:ascii="Garamond" w:hAnsi="Garamond"/>
          <w:sz w:val="24"/>
          <w:szCs w:val="24"/>
        </w:rPr>
        <w:footnoteReference w:id="199"/>
      </w:r>
      <w:r w:rsidRPr="004246B0">
        <w:rPr>
          <w:rFonts w:ascii="Garamond" w:hAnsi="Garamond"/>
          <w:sz w:val="24"/>
          <w:szCs w:val="24"/>
        </w:rPr>
        <w:t xml:space="preserve"> and in Hardt </w:t>
      </w:r>
      <w:r w:rsidR="00F152DB">
        <w:rPr>
          <w:rFonts w:ascii="Garamond" w:hAnsi="Garamond"/>
          <w:sz w:val="24"/>
          <w:szCs w:val="24"/>
        </w:rPr>
        <w:t>and</w:t>
      </w:r>
      <w:r w:rsidRPr="004246B0">
        <w:rPr>
          <w:rFonts w:ascii="Garamond" w:hAnsi="Garamond"/>
          <w:sz w:val="24"/>
          <w:szCs w:val="24"/>
        </w:rPr>
        <w:t xml:space="preserve"> Negri's projection of 'alter-modernity' in </w:t>
      </w:r>
      <w:r w:rsidRPr="004246B0">
        <w:rPr>
          <w:rFonts w:ascii="Garamond" w:hAnsi="Garamond"/>
          <w:i/>
          <w:sz w:val="24"/>
          <w:szCs w:val="24"/>
        </w:rPr>
        <w:t>Commonwealth</w:t>
      </w:r>
      <w:r w:rsidRPr="004246B0">
        <w:rPr>
          <w:rFonts w:ascii="Garamond" w:hAnsi="Garamond"/>
          <w:sz w:val="24"/>
          <w:szCs w:val="24"/>
        </w:rPr>
        <w:t xml:space="preserve"> (2009).</w:t>
      </w:r>
      <w:r w:rsidRPr="004246B0">
        <w:rPr>
          <w:rStyle w:val="FootnoteReference"/>
          <w:rFonts w:ascii="Garamond" w:hAnsi="Garamond"/>
          <w:sz w:val="24"/>
          <w:szCs w:val="24"/>
        </w:rPr>
        <w:footnoteReference w:id="200"/>
      </w:r>
      <w:r w:rsidRPr="004246B0">
        <w:rPr>
          <w:rFonts w:ascii="Garamond" w:hAnsi="Garamond"/>
          <w:sz w:val="24"/>
          <w:szCs w:val="24"/>
        </w:rPr>
        <w:t xml:space="preserve"> From here, </w:t>
      </w:r>
      <w:r w:rsidRPr="004246B0">
        <w:rPr>
          <w:rFonts w:ascii="Garamond" w:hAnsi="Garamond"/>
          <w:sz w:val="24"/>
          <w:szCs w:val="24"/>
        </w:rPr>
        <w:lastRenderedPageBreak/>
        <w:t>such postcolonial critics might suggest the BOA's use of oppositional discourse and anti-colonialist imaginaries (and their solidarity with the violent antiracist struggle in South Africa), represented a recourse to essentialist subject positions. The images prioritize regressive nationalisms over more sophisticated positions of 'translation' (Bhab</w:t>
      </w:r>
      <w:r>
        <w:rPr>
          <w:rFonts w:ascii="Garamond" w:hAnsi="Garamond"/>
          <w:sz w:val="24"/>
          <w:szCs w:val="24"/>
        </w:rPr>
        <w:t>h</w:t>
      </w:r>
      <w:r w:rsidRPr="004246B0">
        <w:rPr>
          <w:rFonts w:ascii="Garamond" w:hAnsi="Garamond"/>
          <w:sz w:val="24"/>
          <w:szCs w:val="24"/>
        </w:rPr>
        <w:t xml:space="preserve">a, 1994). They are indicative of an activism owing to a non-negotiable 'static politics of identity' (Hardt </w:t>
      </w:r>
      <w:r w:rsidR="00F152DB">
        <w:rPr>
          <w:rFonts w:ascii="Garamond" w:hAnsi="Garamond"/>
          <w:sz w:val="24"/>
          <w:szCs w:val="24"/>
        </w:rPr>
        <w:t>and</w:t>
      </w:r>
      <w:r w:rsidRPr="004246B0">
        <w:rPr>
          <w:rFonts w:ascii="Garamond" w:hAnsi="Garamond"/>
          <w:sz w:val="24"/>
          <w:szCs w:val="24"/>
        </w:rPr>
        <w:t xml:space="preserve"> Negri. 2009). Anti-colonial activisms that use such politics and representations, the argument goes, are "stuck in antimodernity" (ibid, 2009: 104), and risk reproducing "the capitalist imperial regime" (Hardt </w:t>
      </w:r>
      <w:r w:rsidR="00F152DB">
        <w:rPr>
          <w:rFonts w:ascii="Garamond" w:hAnsi="Garamond"/>
          <w:sz w:val="24"/>
          <w:szCs w:val="24"/>
        </w:rPr>
        <w:t>and</w:t>
      </w:r>
      <w:r w:rsidRPr="004246B0">
        <w:rPr>
          <w:rFonts w:ascii="Garamond" w:hAnsi="Garamond"/>
          <w:sz w:val="24"/>
          <w:szCs w:val="24"/>
        </w:rPr>
        <w:t xml:space="preserve"> Negri, 2000: 44-45). </w:t>
      </w:r>
    </w:p>
    <w:p w:rsidR="003F4A98" w:rsidRPr="004246B0" w:rsidRDefault="003F4A98" w:rsidP="008D3C87">
      <w:pPr>
        <w:spacing w:after="0" w:line="360" w:lineRule="auto"/>
        <w:jc w:val="both"/>
        <w:rPr>
          <w:rFonts w:ascii="Garamond" w:hAnsi="Garamond"/>
          <w:sz w:val="24"/>
          <w:szCs w:val="24"/>
        </w:rPr>
      </w:pPr>
    </w:p>
    <w:p w:rsidR="00E90398" w:rsidRDefault="003F4A98" w:rsidP="00E90398">
      <w:pPr>
        <w:spacing w:after="0" w:line="360" w:lineRule="auto"/>
        <w:jc w:val="both"/>
        <w:rPr>
          <w:rFonts w:ascii="Garamond" w:eastAsia="AdvT013" w:hAnsi="Garamond"/>
          <w:sz w:val="24"/>
          <w:szCs w:val="24"/>
        </w:rPr>
      </w:pPr>
      <w:r w:rsidRPr="004246B0">
        <w:rPr>
          <w:rFonts w:ascii="Garamond" w:hAnsi="Garamond"/>
          <w:sz w:val="24"/>
          <w:szCs w:val="24"/>
        </w:rPr>
        <w:t xml:space="preserve">I believe that in the context of the BOA's anti-emigration campaign, these types of critiques can be dismissed as unrealistic, elitist and illusory (they risk </w:t>
      </w:r>
      <w:r>
        <w:rPr>
          <w:rFonts w:ascii="Garamond" w:hAnsi="Garamond"/>
          <w:sz w:val="24"/>
          <w:szCs w:val="24"/>
        </w:rPr>
        <w:t>ignoring</w:t>
      </w:r>
      <w:r w:rsidRPr="004246B0">
        <w:rPr>
          <w:rFonts w:ascii="Garamond" w:hAnsi="Garamond"/>
          <w:sz w:val="24"/>
          <w:szCs w:val="24"/>
        </w:rPr>
        <w:t xml:space="preserve"> historicism and context). For Ghassan Hage (2010), they prioritize the right of universalism for the racialized, and in doing so deny the right for the racialized to choose between particularisms and universalisms depending on the context. Hage argues that racialized people </w:t>
      </w:r>
      <w:r w:rsidRPr="004246B0">
        <w:rPr>
          <w:rFonts w:ascii="Garamond" w:eastAsia="AdvT013" w:hAnsi="Garamond"/>
          <w:sz w:val="24"/>
          <w:szCs w:val="24"/>
        </w:rPr>
        <w:t xml:space="preserve">"fear not being able to have a space where they can vacillate at will between the universal and the particular" (2010: 117). Historically, the space for wilful vacillation has been the preserve of whites (Lentin </w:t>
      </w:r>
      <w:r w:rsidR="00F152DB">
        <w:rPr>
          <w:rFonts w:ascii="Garamond" w:eastAsia="AdvT013" w:hAnsi="Garamond"/>
          <w:sz w:val="24"/>
          <w:szCs w:val="24"/>
        </w:rPr>
        <w:t>and</w:t>
      </w:r>
      <w:r w:rsidRPr="004246B0">
        <w:rPr>
          <w:rFonts w:ascii="Garamond" w:eastAsia="AdvT013" w:hAnsi="Garamond"/>
          <w:sz w:val="24"/>
          <w:szCs w:val="24"/>
        </w:rPr>
        <w:t xml:space="preserve"> Ti</w:t>
      </w:r>
      <w:r>
        <w:rPr>
          <w:rFonts w:ascii="Garamond" w:eastAsia="AdvT013" w:hAnsi="Garamond"/>
          <w:sz w:val="24"/>
          <w:szCs w:val="24"/>
        </w:rPr>
        <w:t>tley, 2011</w:t>
      </w:r>
      <w:r w:rsidRPr="004246B0">
        <w:rPr>
          <w:rFonts w:ascii="Garamond" w:eastAsia="AdvT013" w:hAnsi="Garamond"/>
          <w:sz w:val="24"/>
          <w:szCs w:val="24"/>
        </w:rPr>
        <w:t>). Upon migrating to 'new' worlds Europeans brought their particularisms (religion, culture, language) with them, and recreated familiar lifeworlds while denying the same process to 'natives', allowing for the erasure of non-white traditions and histories (Chakr</w:t>
      </w:r>
      <w:r w:rsidR="00E90398">
        <w:rPr>
          <w:rFonts w:ascii="Garamond" w:eastAsia="AdvT013" w:hAnsi="Garamond"/>
          <w:sz w:val="24"/>
          <w:szCs w:val="24"/>
        </w:rPr>
        <w:t xml:space="preserve">abarty, 2008; Goldberg, 2009). </w:t>
      </w:r>
    </w:p>
    <w:p w:rsidR="00E90398" w:rsidRDefault="00E90398" w:rsidP="00E90398">
      <w:pPr>
        <w:spacing w:after="0" w:line="360" w:lineRule="auto"/>
        <w:jc w:val="both"/>
        <w:rPr>
          <w:rFonts w:ascii="Garamond" w:eastAsia="AdvT013" w:hAnsi="Garamond"/>
          <w:sz w:val="24"/>
          <w:szCs w:val="24"/>
        </w:rPr>
      </w:pPr>
    </w:p>
    <w:p w:rsidR="003F4A98" w:rsidRPr="00E90398" w:rsidRDefault="003F4A98" w:rsidP="00E90398">
      <w:pPr>
        <w:spacing w:after="0" w:line="360" w:lineRule="auto"/>
        <w:jc w:val="both"/>
        <w:rPr>
          <w:rFonts w:ascii="Garamond" w:eastAsia="AdvT013" w:hAnsi="Garamond"/>
          <w:sz w:val="24"/>
          <w:szCs w:val="24"/>
        </w:rPr>
      </w:pPr>
      <w:r w:rsidRPr="004246B0">
        <w:rPr>
          <w:rFonts w:ascii="Garamond" w:eastAsia="AdvT013" w:hAnsi="Garamond"/>
          <w:sz w:val="24"/>
          <w:szCs w:val="24"/>
        </w:rPr>
        <w:t>When the BOA printed the image of the black revolutionary to induce white fear and reproduce the oppositional discourses of the liberation movements, they did so at a time when black traditions an</w:t>
      </w:r>
      <w:r w:rsidR="00353742">
        <w:rPr>
          <w:rFonts w:ascii="Garamond" w:eastAsia="AdvT013" w:hAnsi="Garamond"/>
          <w:sz w:val="24"/>
          <w:szCs w:val="24"/>
        </w:rPr>
        <w:t>d histories were being written i</w:t>
      </w:r>
      <w:r w:rsidRPr="004246B0">
        <w:rPr>
          <w:rFonts w:ascii="Garamond" w:eastAsia="AdvT013" w:hAnsi="Garamond"/>
          <w:sz w:val="24"/>
          <w:szCs w:val="24"/>
        </w:rPr>
        <w:t xml:space="preserve">nto South African historiography. A separatist black politics was forming in South Africa as a "product of challenge to, and inversions of, the dominant white norms in an oppressive white society" (Lodge, 2011: 417). In the immediate years following the anti-emigration campaign, black consciousness was to present mobilized and popular opposition to apartheid through widespread violence and school boycotts. </w:t>
      </w:r>
      <w:r w:rsidRPr="004246B0">
        <w:rPr>
          <w:rFonts w:ascii="Garamond" w:hAnsi="Garamond"/>
          <w:sz w:val="24"/>
          <w:szCs w:val="24"/>
        </w:rPr>
        <w:t>At the time the images were circulated, the movement was gaining momentum and international publicity. I wondered if it was reflected in the two images:</w:t>
      </w:r>
    </w:p>
    <w:p w:rsidR="003F4A98" w:rsidRPr="004246B0" w:rsidRDefault="003F4A98" w:rsidP="00E90398">
      <w:pPr>
        <w:spacing w:after="0" w:line="360" w:lineRule="auto"/>
        <w:jc w:val="both"/>
        <w:rPr>
          <w:rFonts w:ascii="Garamond" w:hAnsi="Garamond"/>
          <w:sz w:val="24"/>
          <w:szCs w:val="24"/>
        </w:rPr>
      </w:pPr>
    </w:p>
    <w:p w:rsidR="003F4A98" w:rsidRPr="004246B0" w:rsidRDefault="00E90398" w:rsidP="00E90398">
      <w:pPr>
        <w:spacing w:line="360" w:lineRule="auto"/>
        <w:ind w:left="284" w:right="284"/>
        <w:jc w:val="both"/>
        <w:rPr>
          <w:rFonts w:ascii="Garamond" w:hAnsi="Garamond"/>
        </w:rPr>
      </w:pPr>
      <w:r>
        <w:rPr>
          <w:rFonts w:ascii="Garamond" w:hAnsi="Garamond"/>
        </w:rPr>
        <w:t>HUGH</w:t>
      </w:r>
      <w:r w:rsidR="003F4A98" w:rsidRPr="004246B0">
        <w:rPr>
          <w:rFonts w:ascii="Garamond" w:hAnsi="Garamond"/>
        </w:rPr>
        <w:t>: Did the black consciousness movement influence your depiction of black South Africa in those two posters?</w:t>
      </w:r>
    </w:p>
    <w:p w:rsidR="00E90398" w:rsidRDefault="00E90398" w:rsidP="00E90398">
      <w:pPr>
        <w:spacing w:line="360" w:lineRule="auto"/>
        <w:ind w:left="284" w:right="284"/>
        <w:jc w:val="both"/>
        <w:rPr>
          <w:rFonts w:ascii="Garamond" w:hAnsi="Garamond"/>
        </w:rPr>
      </w:pPr>
      <w:r>
        <w:rPr>
          <w:rFonts w:ascii="Garamond" w:hAnsi="Garamond"/>
        </w:rPr>
        <w:lastRenderedPageBreak/>
        <w:t>ESAU</w:t>
      </w:r>
      <w:r w:rsidR="003F4A98" w:rsidRPr="004246B0">
        <w:rPr>
          <w:rFonts w:ascii="Garamond" w:hAnsi="Garamond"/>
        </w:rPr>
        <w:t xml:space="preserve">: The movement made a great contribution to raising the self pride to black people, to thwarting the subservient mentality which had been ingrained on black people for centuries. And the movement played roughly the same role as the </w:t>
      </w:r>
      <w:r w:rsidR="00353742">
        <w:rPr>
          <w:rFonts w:ascii="Garamond" w:hAnsi="Garamond"/>
        </w:rPr>
        <w:t>Pan Africanism</w:t>
      </w:r>
      <w:r w:rsidR="003F4A98" w:rsidRPr="004246B0">
        <w:rPr>
          <w:rFonts w:ascii="Garamond" w:hAnsi="Garamond"/>
        </w:rPr>
        <w:t xml:space="preserve"> of Stokely Carmichael in America. Raising the consciousness and pride of black people in America. To that extent we were in step with them.</w:t>
      </w:r>
      <w:r>
        <w:rPr>
          <w:rFonts w:ascii="Garamond" w:hAnsi="Garamond"/>
        </w:rPr>
        <w:t xml:space="preserve"> (Interview du Plessis 2012)</w:t>
      </w:r>
    </w:p>
    <w:p w:rsidR="003F4A98" w:rsidRPr="004246B0" w:rsidRDefault="003F4A98" w:rsidP="00E90398">
      <w:pPr>
        <w:spacing w:after="0" w:line="360" w:lineRule="auto"/>
        <w:jc w:val="both"/>
        <w:rPr>
          <w:rFonts w:ascii="Garamond" w:eastAsia="AdvT013" w:hAnsi="Garamond"/>
          <w:sz w:val="24"/>
          <w:szCs w:val="24"/>
        </w:rPr>
      </w:pPr>
      <w:r w:rsidRPr="004246B0">
        <w:rPr>
          <w:rFonts w:ascii="Garamond" w:eastAsia="AdvT013" w:hAnsi="Garamond"/>
          <w:sz w:val="24"/>
          <w:szCs w:val="24"/>
        </w:rPr>
        <w:t xml:space="preserve">My point here is that the counter-racializations performed by the BOA and the black consciousness movement were integral to liberationist politics. Such a politics should not be considered essentialist and static. These descriptions downplay their vital importance, occlude their complexities and textures and deny their solidarity-making effects. </w:t>
      </w:r>
    </w:p>
    <w:p w:rsidR="003F4A98" w:rsidRPr="004246B0" w:rsidRDefault="003F4A98" w:rsidP="00E90398">
      <w:pPr>
        <w:spacing w:after="0" w:line="360" w:lineRule="auto"/>
        <w:jc w:val="both"/>
        <w:rPr>
          <w:rFonts w:ascii="Garamond" w:hAnsi="Garamond"/>
          <w:sz w:val="24"/>
          <w:szCs w:val="24"/>
        </w:rPr>
      </w:pPr>
      <w:r w:rsidRPr="004246B0">
        <w:rPr>
          <w:rFonts w:ascii="Garamond" w:eastAsia="AdvT013" w:hAnsi="Garamond"/>
          <w:sz w:val="24"/>
          <w:szCs w:val="24"/>
        </w:rPr>
        <w:t xml:space="preserve">  </w:t>
      </w:r>
    </w:p>
    <w:p w:rsidR="003F4A98" w:rsidRPr="004246B0" w:rsidRDefault="003F4A98" w:rsidP="00E90398">
      <w:pPr>
        <w:spacing w:after="0" w:line="360" w:lineRule="auto"/>
        <w:jc w:val="both"/>
        <w:rPr>
          <w:rFonts w:ascii="Garamond" w:hAnsi="Garamond"/>
          <w:sz w:val="24"/>
          <w:szCs w:val="24"/>
        </w:rPr>
      </w:pPr>
      <w:r w:rsidRPr="004246B0">
        <w:rPr>
          <w:rFonts w:ascii="Garamond" w:hAnsi="Garamond"/>
          <w:sz w:val="24"/>
          <w:szCs w:val="24"/>
        </w:rPr>
        <w:t xml:space="preserve">Under the extreme oppressions of the sociality of skin, hybridity and negotiation were not viable tools for the liberation movements operating in South Africa, and they were not practical methods of persuasion for anti-emigration movements. And hybridity is not always benevolent. Through the affective qualities of the militarized black body, the BOA sought to unpick the hybrid and protean elements of a transnational whiteness. To continue this theme of apparent paradox, seeing these images as perpetuating racist discourse only locates their efficacy as toward the colonizer. How would the oppressed have interpreted these images?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rPr>
      </w:pPr>
      <w:r w:rsidRPr="004246B0">
        <w:rPr>
          <w:rFonts w:ascii="Garamond" w:hAnsi="Garamond"/>
          <w:sz w:val="24"/>
          <w:szCs w:val="24"/>
        </w:rPr>
        <w:t>The BOA were good at producing images that seemed to be 'alive': images that were like pseudo-persons, that people found explicitly offensive or 'indecent'. The BOA's boycott Outspan squeezing image provoked an emotive immediacy that led to it being banned in 1973 by the Dutch advertising board. As discussed elsewhere, this censorship provided the BOA with anti-apartheid publicity and many allies in the liberal Dutch media. "When people set out to offend an image, to censure, denounce, or punish it ", WJT Mitchell writes in his book on the lives of images (</w:t>
      </w:r>
      <w:r w:rsidRPr="004246B0">
        <w:rPr>
          <w:rFonts w:ascii="Garamond" w:hAnsi="Garamond"/>
          <w:i/>
          <w:sz w:val="24"/>
          <w:szCs w:val="24"/>
        </w:rPr>
        <w:t>What do pictures want?</w:t>
      </w:r>
      <w:r w:rsidRPr="004246B0">
        <w:rPr>
          <w:rFonts w:ascii="Garamond" w:hAnsi="Garamond"/>
          <w:sz w:val="24"/>
          <w:szCs w:val="24"/>
        </w:rPr>
        <w:t xml:space="preserve">), "their behaviour is out in the open where we can look at it" (2005: 126). People respond to offensive images by offending the image, by initiating iconoclasm. The BOA anti-emigration portraits of the black revolutionary were different from the squeezing trope of the boycott posters. They did not implicate the consumer in a visceral topos of apartheid complicity, and they could not be banned as they literally flooded the Dutch press on March 21st, 1975 with little warning. But those two portraits remain iconic. As Mitchell rightly points out, iconic images "take up residence on the frontlines of social and political conflicts" (ibid.: 127). For the imagined geographies of white migrants the portraits were provocative and threatening. But for the ANC, PAC, </w:t>
      </w:r>
      <w:r w:rsidR="00A34E40">
        <w:rPr>
          <w:rFonts w:ascii="Garamond" w:hAnsi="Garamond"/>
          <w:sz w:val="24"/>
          <w:szCs w:val="24"/>
        </w:rPr>
        <w:t xml:space="preserve">South West African People’s Organization </w:t>
      </w:r>
      <w:r w:rsidR="00A34E40">
        <w:rPr>
          <w:rFonts w:ascii="Garamond" w:hAnsi="Garamond"/>
          <w:sz w:val="24"/>
          <w:szCs w:val="24"/>
        </w:rPr>
        <w:lastRenderedPageBreak/>
        <w:t>(</w:t>
      </w:r>
      <w:r w:rsidRPr="004246B0">
        <w:rPr>
          <w:rFonts w:ascii="Garamond" w:hAnsi="Garamond"/>
          <w:sz w:val="24"/>
          <w:szCs w:val="24"/>
        </w:rPr>
        <w:t>SWAPO</w:t>
      </w:r>
      <w:r w:rsidR="00A34E40">
        <w:rPr>
          <w:rFonts w:ascii="Garamond" w:hAnsi="Garamond"/>
          <w:sz w:val="24"/>
          <w:szCs w:val="24"/>
        </w:rPr>
        <w:t>)</w:t>
      </w:r>
      <w:r w:rsidRPr="004246B0">
        <w:rPr>
          <w:rFonts w:ascii="Garamond" w:hAnsi="Garamond"/>
          <w:sz w:val="24"/>
          <w:szCs w:val="24"/>
        </w:rPr>
        <w:t xml:space="preserve"> and SACTU (who were urgently demanding anti-apartheid movements to stem the flow of white migration), the images were reassuring and demonstrated care and solidarity. The images testified that, over the issue of white migration, the BOA were willing to step out of their ideology of non-violence to express solidarity with the armed struggle.</w:t>
      </w:r>
      <w:r w:rsidRPr="004246B0">
        <w:rPr>
          <w:rStyle w:val="FootnoteReference"/>
          <w:rFonts w:ascii="Garamond" w:hAnsi="Garamond"/>
          <w:sz w:val="24"/>
          <w:szCs w:val="24"/>
        </w:rPr>
        <w:footnoteReference w:id="201"/>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On March 21, 1975, the two figures literally extended the liberation movement's frontline into European places and minds. The situation was urgent. It was not simply that Dutch settlers reinforced the sociality of skin through their numbers; they were often trenchant supporters of racism, offering financial assistance to anti-liberation movements. By the 1970s, the Dutch who migrated to South Africa "often did so for racist motivations" (du Plessis and van Kaam, 1975). Quoting from an article in the </w:t>
      </w:r>
      <w:r w:rsidRPr="004246B0">
        <w:rPr>
          <w:rFonts w:ascii="Garamond" w:hAnsi="Garamond"/>
          <w:i/>
          <w:sz w:val="24"/>
          <w:szCs w:val="24"/>
        </w:rPr>
        <w:t>Johannesburg Star</w:t>
      </w:r>
      <w:r w:rsidRPr="004246B0">
        <w:rPr>
          <w:rFonts w:ascii="Garamond" w:hAnsi="Garamond"/>
          <w:sz w:val="24"/>
          <w:szCs w:val="24"/>
        </w:rPr>
        <w:t xml:space="preserve"> in his history on Dutch policy towards South Africa, Kenneth Grundy writes: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E90398" w:rsidRDefault="003F4A98" w:rsidP="00E90398">
      <w:pPr>
        <w:spacing w:after="0" w:line="360" w:lineRule="auto"/>
        <w:ind w:left="284" w:right="284"/>
        <w:jc w:val="both"/>
        <w:rPr>
          <w:rFonts w:ascii="Garamond" w:hAnsi="Garamond"/>
        </w:rPr>
      </w:pPr>
      <w:r w:rsidRPr="004246B0">
        <w:rPr>
          <w:rFonts w:ascii="Garamond" w:hAnsi="Garamond"/>
        </w:rPr>
        <w:t>When it was made public that Queen Juliana had made a gift to The World Council of Churches' Program To Combat Racism, Dutch residents in South Africa organized a counter-collection for the South African military forces who were on duty in Angola, Rhodesia and Mozambique....Again after the 1973 announcement of governmental support for selected libertarian movements Dutch settlers took steps to 'disassociate themselves from Holland's support for terrorist activities against South Africa'. One club of Hollanders in South Africa said, as it financially supported anti-guerrilla efforts, that it wanted to show that it was on South Africa's side in the struggle against terrorism</w:t>
      </w:r>
      <w:r>
        <w:rPr>
          <w:rFonts w:ascii="Garamond" w:hAnsi="Garamond"/>
        </w:rPr>
        <w:t>.</w:t>
      </w:r>
      <w:r w:rsidRPr="004246B0">
        <w:rPr>
          <w:rFonts w:ascii="Garamond" w:hAnsi="Garamond"/>
          <w:i/>
        </w:rPr>
        <w:t xml:space="preserve"> </w:t>
      </w:r>
      <w:r>
        <w:rPr>
          <w:rFonts w:ascii="Garamond" w:hAnsi="Garamond"/>
        </w:rPr>
        <w:t>(Grundy, 1974: 148)</w:t>
      </w:r>
    </w:p>
    <w:p w:rsidR="003F4A98" w:rsidRPr="004246B0" w:rsidRDefault="003F4A98" w:rsidP="00E90398">
      <w:pPr>
        <w:spacing w:after="0" w:line="360" w:lineRule="auto"/>
        <w:ind w:left="284" w:right="284"/>
        <w:jc w:val="both"/>
        <w:rPr>
          <w:rFonts w:ascii="Garamond" w:hAnsi="Garamond"/>
        </w:rPr>
      </w:pPr>
    </w:p>
    <w:p w:rsidR="003F4A98" w:rsidRPr="004246B0" w:rsidRDefault="003F4A98" w:rsidP="00E903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Their use of oppositional discourse (at the most basic level - the threat of racially motivated revenge) was justified given that in solidarity with SACTU, the PAC and the ANC the organization sought the liberation of black South Africa from white colonial rule, and the threat of violence towards whites offered a powerful disincentive for white migration.  The use of oppositional discourse, according to Benita Parry in </w:t>
      </w:r>
      <w:r w:rsidRPr="004246B0">
        <w:rPr>
          <w:rFonts w:ascii="Garamond" w:hAnsi="Garamond"/>
          <w:i/>
          <w:color w:val="231F20"/>
          <w:sz w:val="24"/>
          <w:szCs w:val="24"/>
        </w:rPr>
        <w:t>Postcolonial Studies: A Materialist Critique</w:t>
      </w:r>
      <w:r w:rsidRPr="004246B0">
        <w:rPr>
          <w:rFonts w:ascii="Garamond" w:hAnsi="Garamond"/>
          <w:sz w:val="24"/>
          <w:szCs w:val="24"/>
        </w:rPr>
        <w:t>, was key to antiracist and anti-colonial movements:</w:t>
      </w:r>
    </w:p>
    <w:p w:rsidR="003F4A98" w:rsidRPr="004246B0" w:rsidRDefault="003F4A98" w:rsidP="00E90398">
      <w:pPr>
        <w:autoSpaceDE w:val="0"/>
        <w:autoSpaceDN w:val="0"/>
        <w:adjustRightInd w:val="0"/>
        <w:spacing w:after="0" w:line="360" w:lineRule="auto"/>
        <w:jc w:val="both"/>
        <w:rPr>
          <w:rFonts w:ascii="Garamond" w:hAnsi="Garamond"/>
          <w:sz w:val="24"/>
          <w:szCs w:val="24"/>
        </w:rPr>
      </w:pPr>
    </w:p>
    <w:p w:rsidR="003F4A98" w:rsidRPr="004246B0" w:rsidRDefault="003F4A98" w:rsidP="00E90398">
      <w:pPr>
        <w:autoSpaceDE w:val="0"/>
        <w:autoSpaceDN w:val="0"/>
        <w:adjustRightInd w:val="0"/>
        <w:spacing w:after="0" w:line="360" w:lineRule="auto"/>
        <w:ind w:left="284" w:right="284"/>
        <w:jc w:val="both"/>
        <w:rPr>
          <w:rFonts w:ascii="Garamond" w:hAnsi="Garamond"/>
        </w:rPr>
      </w:pPr>
      <w:r w:rsidRPr="004246B0">
        <w:rPr>
          <w:rFonts w:ascii="Garamond" w:hAnsi="Garamond"/>
        </w:rPr>
        <w:t xml:space="preserve">Such a process of resistance is initiated by Fanon’s oppositional discourse when the definition colonizer/colonized conceived under the old regime of thought is displaced by </w:t>
      </w:r>
      <w:r w:rsidRPr="004246B0">
        <w:rPr>
          <w:rFonts w:ascii="Garamond" w:hAnsi="Garamond"/>
        </w:rPr>
        <w:lastRenderedPageBreak/>
        <w:t>a different usage of the same term, one invoking implacable enmity both as analysis of a political condition and as a galvanizing political slogan</w:t>
      </w:r>
      <w:r>
        <w:rPr>
          <w:rFonts w:ascii="Garamond" w:hAnsi="Garamond"/>
        </w:rPr>
        <w:t>. (2004: 16)</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BOA's anti-emigration campaign literature was unabashedly anti-colonialist and sought to intervene in the spaces of "unequal and ambiguous exchanges" (Parry, 2004: 191) of white migration. Emigration was a process "on which an absolute discrepancy in power and structurally endemic conflict prevailed" (Parry, 2004: 191). Unlike many contemporary critics of colonialism, the organization did not "perceive colonialism as dialogic, as an encounter of intimacy and negotiation" (ibid.: 191). For the BOA, apartheid colonialism was defined by an unevenly fought war between two protagonists (colonizer and oppressed).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utilization of oppositional discourses during the campaign sharply contrasts with the BOA's position of 'non-racial internationalism' (a</w:t>
      </w:r>
      <w:r w:rsidR="000B6D76">
        <w:rPr>
          <w:rFonts w:ascii="Garamond" w:hAnsi="Garamond"/>
          <w:sz w:val="24"/>
          <w:szCs w:val="24"/>
        </w:rPr>
        <w:t xml:space="preserve">s adopted in the anti-colonial </w:t>
      </w:r>
      <w:r w:rsidR="000B6D76" w:rsidRPr="004246B0">
        <w:rPr>
          <w:rFonts w:ascii="Garamond" w:hAnsi="Garamond"/>
          <w:sz w:val="24"/>
          <w:szCs w:val="24"/>
        </w:rPr>
        <w:t>Inspan</w:t>
      </w:r>
      <w:r w:rsidR="000B6D76">
        <w:rPr>
          <w:rFonts w:ascii="Garamond" w:hAnsi="Garamond"/>
          <w:sz w:val="24"/>
          <w:szCs w:val="24"/>
        </w:rPr>
        <w:t xml:space="preserve"> Girls</w:t>
      </w:r>
      <w:r w:rsidRPr="004246B0">
        <w:rPr>
          <w:rFonts w:ascii="Garamond" w:hAnsi="Garamond"/>
          <w:sz w:val="24"/>
          <w:szCs w:val="24"/>
        </w:rPr>
        <w:t xml:space="preserve"> campaign), and demonstrates that the organization was pragmatic in adopting different forms of antiracism to suit different priorities. Parry (2004) contests that the use of oppositional discourse by anti-colonial and liberation movements is an entirely valid position that demands further respect from postcolonial scholars. She argues that, with the onset of notions of hybridity and subaltern negotiation, there has been an "occluding of reverse discourses as essentialist" and "a downgrading of anti-imperialist texts" (2004: 19):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This is not a charge against the difficulty of the analyses but an observation that these alternative narratives of colonialism obscure the 'murderous and decisive struggle between two protagonists', and discount or write out the counter-discourses which every l</w:t>
      </w:r>
      <w:r>
        <w:rPr>
          <w:rFonts w:ascii="Garamond" w:hAnsi="Garamond"/>
        </w:rPr>
        <w:t>iberation movement has recorded. (2004: 24)</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BOA's harnessing of counter positions of racialized fear, of alluding to black violence and revenge, stemmed from aligning activism with the demands of the black resistance movements based in South Africa. The national anti-emigration campaign was an expression of steadfast solidarity with the South African labour movements in 1974-75. Aside from Kairos in 1972, and to a lesser extent the AABN, the other Dutch AAMs did not respond to the demands of SACTU and the ANC to end white migration to South Africa. Unlike the other AAMs, the BOA had little investment in nationalist forms of anti-apartheid that would not "offend and accuse the Dutch of racism" (Bosgra, 2009: Open Letter).</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E903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anti-emigration campaign produced a type of antiracism that derived meaning from international forms of solidarity with liberation movements, trade unions and with use of oppositional discourse by the black consciousness movement. Racism was understood as a form of colonial identity politics and as a technology that extended into European practices, commodities and corporations through the pro-apartheid migration lobby. Anti-emigration also proved the catalyst for the BOA to contribute to the development of a global anti-apartheid movement. The period of the campaign marked the BOA's most explicitly internationalist phase; throughout 1974-75, in addition to assisting the foundation of the French anti-apartheid movement, the organization played an important role in the development of transnational anti-apartheid through anti-emigration and their prominent role in the publication of the CETIM book </w:t>
      </w:r>
      <w:r w:rsidRPr="004246B0">
        <w:rPr>
          <w:rFonts w:ascii="Garamond" w:hAnsi="Garamond"/>
          <w:i/>
          <w:sz w:val="24"/>
          <w:szCs w:val="24"/>
        </w:rPr>
        <w:t>White Migration to Southern Africa.</w:t>
      </w:r>
      <w:r w:rsidRPr="004246B0">
        <w:rPr>
          <w:rStyle w:val="FootnoteReference"/>
          <w:rFonts w:ascii="Garamond" w:hAnsi="Garamond"/>
          <w:sz w:val="24"/>
          <w:szCs w:val="24"/>
        </w:rPr>
        <w:footnoteReference w:id="202"/>
      </w:r>
    </w:p>
    <w:p w:rsidR="003F4A98" w:rsidRPr="004246B0" w:rsidRDefault="003F4A98" w:rsidP="00E90398">
      <w:pPr>
        <w:autoSpaceDE w:val="0"/>
        <w:autoSpaceDN w:val="0"/>
        <w:adjustRightInd w:val="0"/>
        <w:spacing w:after="0" w:line="360" w:lineRule="auto"/>
        <w:jc w:val="both"/>
        <w:rPr>
          <w:rFonts w:ascii="Garamond" w:hAnsi="Garamond"/>
          <w:b/>
          <w:sz w:val="28"/>
          <w:szCs w:val="28"/>
        </w:rPr>
      </w:pPr>
    </w:p>
    <w:p w:rsidR="003F4A98" w:rsidRPr="004246B0" w:rsidRDefault="003F4A98" w:rsidP="00E90398">
      <w:pPr>
        <w:autoSpaceDE w:val="0"/>
        <w:autoSpaceDN w:val="0"/>
        <w:adjustRightInd w:val="0"/>
        <w:spacing w:after="0" w:line="360" w:lineRule="auto"/>
        <w:jc w:val="both"/>
        <w:rPr>
          <w:rFonts w:ascii="Garamond" w:hAnsi="Garamond"/>
          <w:b/>
          <w:sz w:val="24"/>
          <w:szCs w:val="24"/>
        </w:rPr>
      </w:pPr>
    </w:p>
    <w:p w:rsidR="003F4A98" w:rsidRPr="004246B0" w:rsidRDefault="003F4A98" w:rsidP="00E90398">
      <w:pPr>
        <w:pStyle w:val="Heading2"/>
      </w:pPr>
      <w:bookmarkStart w:id="777" w:name="_Toc244535773"/>
      <w:bookmarkStart w:id="778" w:name="_Toc244578405"/>
      <w:bookmarkStart w:id="779" w:name="_Toc244578789"/>
      <w:bookmarkStart w:id="780" w:name="_Toc263452040"/>
      <w:bookmarkStart w:id="781" w:name="_Toc263510958"/>
      <w:r w:rsidRPr="004246B0">
        <w:t>'Picking the fruits of apartheid': The BOA in the 1974-75 transnational anti-emigration campaign</w:t>
      </w:r>
      <w:bookmarkEnd w:id="777"/>
      <w:bookmarkEnd w:id="778"/>
      <w:bookmarkEnd w:id="779"/>
      <w:bookmarkEnd w:id="780"/>
      <w:bookmarkEnd w:id="781"/>
    </w:p>
    <w:p w:rsidR="003F4A98" w:rsidRPr="004246B0" w:rsidRDefault="003F4A98" w:rsidP="00E90398">
      <w:pPr>
        <w:autoSpaceDE w:val="0"/>
        <w:autoSpaceDN w:val="0"/>
        <w:adjustRightInd w:val="0"/>
        <w:spacing w:after="0" w:line="360" w:lineRule="auto"/>
        <w:jc w:val="both"/>
        <w:rPr>
          <w:rFonts w:ascii="Garamond" w:hAnsi="Garamond"/>
          <w:sz w:val="24"/>
          <w:szCs w:val="24"/>
        </w:rPr>
      </w:pPr>
    </w:p>
    <w:p w:rsidR="003F4A98" w:rsidRPr="00E90398" w:rsidRDefault="003F4A98" w:rsidP="00E90398">
      <w:pPr>
        <w:autoSpaceDE w:val="0"/>
        <w:autoSpaceDN w:val="0"/>
        <w:adjustRightInd w:val="0"/>
        <w:spacing w:after="0" w:line="360" w:lineRule="auto"/>
        <w:jc w:val="both"/>
        <w:rPr>
          <w:rFonts w:ascii="Garamond" w:hAnsi="Garamond"/>
          <w:b/>
          <w:i/>
          <w:szCs w:val="24"/>
        </w:rPr>
      </w:pPr>
      <w:r w:rsidRPr="00E90398">
        <w:rPr>
          <w:rFonts w:ascii="Garamond" w:hAnsi="Garamond"/>
          <w:b/>
          <w:i/>
          <w:szCs w:val="24"/>
        </w:rPr>
        <w:t>Anti-emigration solidarity</w:t>
      </w:r>
    </w:p>
    <w:p w:rsidR="003F4A98" w:rsidRPr="004246B0" w:rsidRDefault="003F4A98" w:rsidP="00E90398">
      <w:pPr>
        <w:autoSpaceDE w:val="0"/>
        <w:autoSpaceDN w:val="0"/>
        <w:adjustRightInd w:val="0"/>
        <w:spacing w:after="0" w:line="360" w:lineRule="auto"/>
        <w:jc w:val="both"/>
        <w:rPr>
          <w:rFonts w:ascii="Garamond" w:hAnsi="Garamond"/>
          <w:sz w:val="24"/>
          <w:szCs w:val="24"/>
        </w:rPr>
      </w:pPr>
    </w:p>
    <w:p w:rsidR="003F4A98" w:rsidRPr="004246B0" w:rsidRDefault="003F4A98" w:rsidP="00E903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transnational anti-emigration campaign was a response to liberation movement demands for assistance communicated from South Africa. In the Western Cape, opposition to white immigration had been present in SACTU local committees from the late 1950s. SACTU representatives educated black workers on labour and land dispossession so that "individual workers did not become depressed but rather collectively organized to fulfil the working class role of changing society" (Dlahmini, 1980 in Luckhardt </w:t>
      </w:r>
      <w:r w:rsidR="00F152DB">
        <w:rPr>
          <w:rFonts w:ascii="Garamond" w:hAnsi="Garamond"/>
          <w:sz w:val="24"/>
          <w:szCs w:val="24"/>
        </w:rPr>
        <w:t>and</w:t>
      </w:r>
      <w:r w:rsidRPr="004246B0">
        <w:rPr>
          <w:rFonts w:ascii="Garamond" w:hAnsi="Garamond"/>
          <w:sz w:val="24"/>
          <w:szCs w:val="24"/>
        </w:rPr>
        <w:t xml:space="preserve"> Wall, 1980: 264). In Durban, SACTU organized 150 unemployed workers into a union and demanded that the unemployment insurance funds should be spent on ending white migration and promoting "equal opportunity for all workers to </w:t>
      </w:r>
      <w:r w:rsidRPr="004246B0">
        <w:rPr>
          <w:rFonts w:ascii="Garamond" w:hAnsi="Garamond"/>
          <w:sz w:val="24"/>
          <w:szCs w:val="24"/>
        </w:rPr>
        <w:lastRenderedPageBreak/>
        <w:t xml:space="preserve">take on skilled jobs" (Luckhardt </w:t>
      </w:r>
      <w:r w:rsidR="00F152DB">
        <w:rPr>
          <w:rFonts w:ascii="Garamond" w:hAnsi="Garamond"/>
          <w:sz w:val="24"/>
          <w:szCs w:val="24"/>
        </w:rPr>
        <w:t>and</w:t>
      </w:r>
      <w:r w:rsidRPr="004246B0">
        <w:rPr>
          <w:rFonts w:ascii="Garamond" w:hAnsi="Garamond"/>
          <w:sz w:val="24"/>
          <w:szCs w:val="24"/>
        </w:rPr>
        <w:t xml:space="preserve"> Wall, 1980: 264). From the late 1960s onwards, Southern African liberation movements became more forceful in their demands for European AAMs to launch anti-emigration campaigns. Calls for international anti-emigration boycotts united the resistance movements within South Africa; the ANC, PAC, SASO</w:t>
      </w:r>
      <w:r w:rsidRPr="004246B0">
        <w:rPr>
          <w:rStyle w:val="FootnoteReference"/>
          <w:rFonts w:ascii="Garamond" w:hAnsi="Garamond"/>
          <w:sz w:val="24"/>
          <w:szCs w:val="24"/>
        </w:rPr>
        <w:footnoteReference w:id="203"/>
      </w:r>
      <w:r w:rsidRPr="004246B0">
        <w:rPr>
          <w:rFonts w:ascii="Garamond" w:hAnsi="Garamond"/>
          <w:sz w:val="24"/>
          <w:szCs w:val="24"/>
        </w:rPr>
        <w:t xml:space="preserve"> and the BPC</w:t>
      </w:r>
      <w:r w:rsidRPr="004246B0">
        <w:rPr>
          <w:rStyle w:val="FootnoteReference"/>
          <w:rFonts w:ascii="Garamond" w:hAnsi="Garamond"/>
          <w:sz w:val="24"/>
          <w:szCs w:val="24"/>
        </w:rPr>
        <w:footnoteReference w:id="204"/>
      </w:r>
      <w:r w:rsidRPr="004246B0">
        <w:rPr>
          <w:rFonts w:ascii="Garamond" w:hAnsi="Garamond"/>
          <w:sz w:val="24"/>
          <w:szCs w:val="24"/>
        </w:rPr>
        <w:t xml:space="preserve"> made regular public statements that condemned the recruitment policies for European labour of the apartheid regime, and repeatedly argued that the flow of white immigrants was a key means of preserving the white elite, maintaining the colour bar in employment - to upgrade "white pay and status regardless of skill" (Lipton, 1985: 187), and a means for stopping Africans from getting better jobs (CETIM, 1975). IDAF publications by Ruth First (1970) outlined the racism of migration and European assistance. White migration, the liberation movements argued, was an international problem that demanded international solutions. National and international forms of resistance to white migration was crystallized at the 'International Conference for the Victims of Colonialism and Apartheid in Southern Africa', held in Oslo in April 1973. With regards to South Africa, proposals announced for actions against white migration included stopping the flow of white immigrants by national AAMs and enabling state judiciary systems to prohibit apartheid recruiting organizations.  On a Europe-wide level, proposals included the internationalization of anti-apartheid trade unionism and the request to end all EEC</w:t>
      </w:r>
      <w:r w:rsidRPr="004246B0">
        <w:rPr>
          <w:rStyle w:val="FootnoteReference"/>
          <w:rFonts w:ascii="Garamond" w:hAnsi="Garamond"/>
          <w:sz w:val="24"/>
          <w:szCs w:val="24"/>
        </w:rPr>
        <w:footnoteReference w:id="205"/>
      </w:r>
      <w:r w:rsidRPr="004246B0">
        <w:rPr>
          <w:rFonts w:ascii="Garamond" w:hAnsi="Garamond"/>
          <w:sz w:val="24"/>
          <w:szCs w:val="24"/>
        </w:rPr>
        <w:t xml:space="preserve"> "special terms and concessions already granted to South Africa, and to have no further dealings with the regime and its mission in Brussels" (CETIM, 1975: Forward).  The conference witnessed a brilliant speech from Oliver Tambo demanding the full internationalization of anti-apartheid. Tambo, speaking on behalf of the ANC, spoke to anti-apartheid delegates from China, Norway, Great Britain, Holland, Germany and the Soviet Union on the pressing urgency to put the needs of liberation movements above international political manoeuvrings between East and West. On the internationalization of anti-apartheid actions, he suggested:</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we should rise above the relationship of victim and supporter and combine at a new level of joint action against a common foe. This kind of participation which involves people, public organizations, as is the case of this country [Norway] and in the socialist countries, is the kind of support we should e</w:t>
      </w:r>
      <w:r>
        <w:rPr>
          <w:rFonts w:ascii="Garamond" w:hAnsi="Garamond"/>
        </w:rPr>
        <w:t>ncourage elsewhere in the world</w:t>
      </w:r>
      <w:r w:rsidRPr="004246B0">
        <w:rPr>
          <w:rFonts w:ascii="Garamond" w:hAnsi="Garamond"/>
        </w:rPr>
        <w:t>.</w:t>
      </w:r>
      <w:r w:rsidRPr="004246B0">
        <w:rPr>
          <w:rStyle w:val="FootnoteReference"/>
          <w:rFonts w:ascii="Garamond" w:hAnsi="Garamond"/>
        </w:rPr>
        <w:footnoteReference w:id="206"/>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Appealing for solidarity through socialist models of welfarism and international labour movements was a cornerstone of the liberation movements' strategy to internationalize anti-apartheid. In 1972, John Gaetsewe, Secretary General of SACTU, appealed to international trade unions by skilfully embedding universal concerns over class oppression in the specific racial context of South African apartheid. His premise was that by 'picking the fruit of apartheid', the emigrating white skilled labourer was undermining the international principles of class solidarity: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As a worker a black is exploited by the employer who is supported by the state in her extensive arsenal of anti-labour laws. In this situation black workers who form the backbone of the most prosperous economy in South Africa, need the support and solidarity of fellow workers elsewhere. Yet he sees daily that other workers - whites from Europe - are prepared to profit from his oppression. They are the immigrants who assist the apartheid regime to maintain an industrial barrier by coming from overseas to pick the fruits of apartheid. They arrive in their thousands and take the better paid skilled jobs, while African workers grudgingly look on with the starvation w</w:t>
      </w:r>
      <w:r>
        <w:rPr>
          <w:rFonts w:ascii="Garamond" w:hAnsi="Garamond"/>
        </w:rPr>
        <w:t>ages and struggle to stay alive.</w:t>
      </w:r>
      <w:r w:rsidRPr="004246B0">
        <w:rPr>
          <w:rFonts w:ascii="Garamond" w:hAnsi="Garamond"/>
        </w:rPr>
        <w:t xml:space="preserve"> (Gaetsewe, 1972 in van Kaam </w:t>
      </w:r>
      <w:r w:rsidR="00F152DB">
        <w:rPr>
          <w:rFonts w:ascii="Garamond" w:hAnsi="Garamond"/>
        </w:rPr>
        <w:t>and</w:t>
      </w:r>
      <w:r w:rsidRPr="004246B0">
        <w:rPr>
          <w:rFonts w:ascii="Garamond" w:hAnsi="Garamond"/>
        </w:rPr>
        <w:t xml:space="preserve"> du Plessis, 1975: 4)</w:t>
      </w:r>
      <w:r w:rsidRPr="004246B0">
        <w:rPr>
          <w:rStyle w:val="FootnoteReference"/>
          <w:rFonts w:ascii="Garamond" w:hAnsi="Garamond"/>
        </w:rPr>
        <w:footnoteReference w:id="207"/>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rPr>
      </w:pPr>
      <w:r w:rsidRPr="004246B0">
        <w:rPr>
          <w:rFonts w:ascii="Garamond" w:hAnsi="Garamond"/>
          <w:sz w:val="24"/>
          <w:szCs w:val="24"/>
        </w:rPr>
        <w:t xml:space="preserve">Although liberation movement calls to internationalize apartheid were clearly linked to white migration, European AAMs struggled to translate their demands into solid actions. In Britain the Trade Union Congress responded to liberation movement calls for action with a resolution against white migration to South Africa (Fieldhouse, 2005). But in his brief section on the British AAM in </w:t>
      </w:r>
      <w:r w:rsidRPr="004246B0">
        <w:rPr>
          <w:rFonts w:ascii="Garamond" w:hAnsi="Garamond"/>
          <w:i/>
          <w:sz w:val="24"/>
          <w:szCs w:val="24"/>
        </w:rPr>
        <w:t>White Migration,</w:t>
      </w:r>
      <w:r w:rsidRPr="004246B0">
        <w:rPr>
          <w:rStyle w:val="FootnoteReference"/>
          <w:rFonts w:ascii="Garamond" w:hAnsi="Garamond"/>
          <w:i/>
          <w:sz w:val="24"/>
          <w:szCs w:val="24"/>
        </w:rPr>
        <w:footnoteReference w:id="208"/>
      </w:r>
      <w:r w:rsidRPr="004246B0">
        <w:rPr>
          <w:rFonts w:ascii="Garamond" w:hAnsi="Garamond"/>
          <w:sz w:val="24"/>
          <w:szCs w:val="24"/>
        </w:rPr>
        <w:t xml:space="preserve">Abdul Minty shows how, outside of trade and student unionism, the AAM had not developed any convincing policy or actions against migration. In 1972, records of correspondence between the PAC and the British AAM evidences that their strained relationship had developed a new site of antagonism over white migration. The PAC was critical of the British AAM for their apparently lukewarm attitude towards anti-emigration, despite their attempts to work </w:t>
      </w:r>
      <w:r w:rsidRPr="004246B0">
        <w:rPr>
          <w:rFonts w:ascii="Garamond" w:hAnsi="Garamond"/>
          <w:sz w:val="24"/>
          <w:szCs w:val="24"/>
        </w:rPr>
        <w:lastRenderedPageBreak/>
        <w:t>with trade unions and launch a campaign in 1969 against the 1820s Settlers Association (Fieldhouse, 2005).</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British AAM were not in the minority in delaying on white migration; for AAMs across Europe, sustained actions on white migration did not become concrete until 1974-75. Archived correspondence from CETIM shows that part of the problem was that the AAMs had their hands full; most organizations during the early 1970s still had to persuade European publics and mainstream media that apartheid was bad news.</w:t>
      </w:r>
      <w:r w:rsidRPr="004246B0">
        <w:rPr>
          <w:rStyle w:val="FootnoteReference"/>
          <w:rFonts w:ascii="Garamond" w:hAnsi="Garamond"/>
          <w:sz w:val="24"/>
          <w:szCs w:val="24"/>
        </w:rPr>
        <w:footnoteReference w:id="209"/>
      </w:r>
      <w:r w:rsidRPr="004246B0">
        <w:rPr>
          <w:rFonts w:ascii="Garamond" w:hAnsi="Garamond"/>
          <w:sz w:val="24"/>
          <w:szCs w:val="24"/>
        </w:rPr>
        <w:t xml:space="preserve"> In similarity to national AAMs, the UN were relatively slow to act against white migration; correspondence from E.S Reddy to Gilbert Rist, the chief of the UN section for African Questions, shows the Special Committee only placed emphasis on anti-apartheid activities related to white migration following the South African withdrawal from the International Migration Programme of ICEM</w:t>
      </w:r>
      <w:r w:rsidRPr="004246B0">
        <w:rPr>
          <w:rStyle w:val="FootnoteReference"/>
          <w:rFonts w:ascii="Garamond" w:hAnsi="Garamond"/>
          <w:sz w:val="24"/>
          <w:szCs w:val="24"/>
        </w:rPr>
        <w:footnoteReference w:id="210"/>
      </w:r>
      <w:r w:rsidRPr="004246B0">
        <w:rPr>
          <w:rFonts w:ascii="Garamond" w:hAnsi="Garamond"/>
          <w:sz w:val="24"/>
          <w:szCs w:val="24"/>
        </w:rPr>
        <w:t>. This was regardless of the UN General Assembly resolution of December 1968 requesting "all states to discourage the flow of immigrants, particularly skilled and technical personnel to South Africa."</w:t>
      </w:r>
      <w:r w:rsidRPr="004246B0">
        <w:rPr>
          <w:rStyle w:val="FootnoteReference"/>
          <w:rFonts w:ascii="Garamond" w:hAnsi="Garamond"/>
          <w:sz w:val="24"/>
          <w:szCs w:val="24"/>
        </w:rPr>
        <w:footnoteReference w:id="211"/>
      </w:r>
      <w:r w:rsidRPr="004246B0">
        <w:rPr>
          <w:rFonts w:ascii="Garamond" w:hAnsi="Garamond"/>
          <w:sz w:val="24"/>
          <w:szCs w:val="24"/>
        </w:rPr>
        <w:t xml:space="preserve"> Despite promising to reproduce the research findings on the white migration, the UN were unable to provide funds towards the study conducted by CETIM.</w:t>
      </w:r>
      <w:r w:rsidRPr="004246B0">
        <w:rPr>
          <w:rStyle w:val="FootnoteReference"/>
          <w:rFonts w:ascii="Garamond" w:hAnsi="Garamond"/>
          <w:sz w:val="24"/>
          <w:szCs w:val="24"/>
        </w:rPr>
        <w:footnoteReference w:id="212"/>
      </w:r>
      <w:r w:rsidRPr="004246B0">
        <w:rPr>
          <w:rFonts w:ascii="Garamond" w:hAnsi="Garamond"/>
          <w:sz w:val="24"/>
          <w:szCs w:val="24"/>
        </w:rPr>
        <w:t xml:space="preserve"> But the research of the anti-emigration campaign provided the impetus for the UN Special Committee </w:t>
      </w:r>
      <w:r w:rsidRPr="004246B0">
        <w:rPr>
          <w:rFonts w:ascii="Garamond" w:hAnsi="Garamond"/>
          <w:i/>
          <w:sz w:val="24"/>
          <w:szCs w:val="24"/>
        </w:rPr>
        <w:t>On</w:t>
      </w:r>
      <w:r w:rsidRPr="004246B0">
        <w:rPr>
          <w:rFonts w:ascii="Garamond" w:hAnsi="Garamond"/>
          <w:sz w:val="24"/>
          <w:szCs w:val="24"/>
        </w:rPr>
        <w:t xml:space="preserve"> Apartheid to change its name to the Special Committee </w:t>
      </w:r>
      <w:r w:rsidRPr="004246B0">
        <w:rPr>
          <w:rFonts w:ascii="Garamond" w:hAnsi="Garamond"/>
          <w:i/>
          <w:sz w:val="24"/>
          <w:szCs w:val="24"/>
        </w:rPr>
        <w:t>Against</w:t>
      </w:r>
      <w:r w:rsidRPr="004246B0">
        <w:rPr>
          <w:rFonts w:ascii="Garamond" w:hAnsi="Garamond"/>
          <w:sz w:val="24"/>
          <w:szCs w:val="24"/>
        </w:rPr>
        <w:t xml:space="preserve"> Apartheid on December 16, 1974 (Letter E.S Reddy, 1974).</w:t>
      </w:r>
      <w:r w:rsidRPr="004246B0">
        <w:rPr>
          <w:rStyle w:val="FootnoteReference"/>
          <w:rFonts w:ascii="Garamond" w:hAnsi="Garamond"/>
          <w:sz w:val="24"/>
          <w:szCs w:val="24"/>
        </w:rPr>
        <w:footnoteReference w:id="213"/>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transnational anti-apartheid movement needed to find a way to harness arguments against white migration as a convincing form of activism and publicity against apartheid.  </w:t>
      </w:r>
      <w:r w:rsidRPr="004246B0">
        <w:rPr>
          <w:rFonts w:ascii="Garamond" w:hAnsi="Garamond"/>
          <w:sz w:val="24"/>
          <w:szCs w:val="24"/>
        </w:rPr>
        <w:lastRenderedPageBreak/>
        <w:t>In 1973 the Geneva-based World Council of Churches (WCC) took the lead in this process by hosting a congress on white migration to Southern Africa. Minty from the British AAM and other anti-apartheid activists from Ireland, Switzerland and Germany attended (Fieldhouse, 2005).</w:t>
      </w:r>
      <w:r w:rsidRPr="004246B0">
        <w:rPr>
          <w:rStyle w:val="FootnoteReference"/>
          <w:rFonts w:ascii="Garamond" w:hAnsi="Garamond"/>
          <w:sz w:val="24"/>
          <w:szCs w:val="24"/>
        </w:rPr>
        <w:footnoteReference w:id="214"/>
      </w:r>
      <w:r w:rsidRPr="004246B0">
        <w:rPr>
          <w:rFonts w:ascii="Garamond" w:hAnsi="Garamond"/>
          <w:sz w:val="24"/>
          <w:szCs w:val="24"/>
        </w:rPr>
        <w:t xml:space="preserve"> The congress distributed a report from the Christian Institute of Southern Africa (led by Bayers </w:t>
      </w:r>
      <w:r w:rsidRPr="004246B0">
        <w:rPr>
          <w:rFonts w:ascii="Garamond" w:hAnsi="Garamond"/>
          <w:color w:val="000000"/>
          <w:sz w:val="24"/>
          <w:szCs w:val="24"/>
          <w:shd w:val="clear" w:color="auto" w:fill="FFFFFF"/>
        </w:rPr>
        <w:t>Naudé</w:t>
      </w:r>
      <w:r>
        <w:rPr>
          <w:rFonts w:ascii="Garamond" w:hAnsi="Garamond"/>
          <w:sz w:val="24"/>
          <w:szCs w:val="24"/>
        </w:rPr>
        <w:t xml:space="preserve"> and du Plessis'</w:t>
      </w:r>
      <w:r w:rsidRPr="004246B0">
        <w:rPr>
          <w:rFonts w:ascii="Garamond" w:hAnsi="Garamond"/>
          <w:sz w:val="24"/>
          <w:szCs w:val="24"/>
        </w:rPr>
        <w:t xml:space="preserve"> former pastor in Maclear, Cedric Mayson).</w:t>
      </w:r>
      <w:r w:rsidRPr="004246B0">
        <w:rPr>
          <w:rStyle w:val="FootnoteReference"/>
          <w:rFonts w:ascii="Garamond" w:hAnsi="Garamond"/>
          <w:sz w:val="24"/>
          <w:szCs w:val="24"/>
        </w:rPr>
        <w:footnoteReference w:id="215"/>
      </w:r>
      <w:r w:rsidRPr="004246B0">
        <w:rPr>
          <w:rFonts w:ascii="Garamond" w:hAnsi="Garamond"/>
          <w:sz w:val="24"/>
          <w:szCs w:val="24"/>
        </w:rPr>
        <w:t xml:space="preserve"> The report from South Africa concurred with statements from the liberation movements: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White immigration is an important instrument in helping maintain the status quo in the South African political economy, based as it is on the advancement of white power and privilege and the denial of rights and the advancement of oppor</w:t>
      </w:r>
      <w:r>
        <w:rPr>
          <w:rFonts w:ascii="Garamond" w:hAnsi="Garamond"/>
        </w:rPr>
        <w:t>tunities for the black majority</w:t>
      </w:r>
      <w:r w:rsidRPr="004246B0">
        <w:rPr>
          <w:rFonts w:ascii="Garamond" w:hAnsi="Garamond"/>
        </w:rPr>
        <w:t xml:space="preserve"> (1971, in Gallo, 1975)</w:t>
      </w:r>
      <w:r w:rsidRPr="004246B0">
        <w:rPr>
          <w:rStyle w:val="FootnoteReference"/>
          <w:rFonts w:ascii="Garamond" w:hAnsi="Garamond"/>
        </w:rPr>
        <w:footnoteReference w:id="216"/>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The WCC conference in 1973 provided the catalyst for a transnational European campaign against white migration organized by CETIM. The Geneva-based development NGO launched research on white migration in Switzerland in 1972, but prior to the WCC conference, its efforts had lacked international impetus.</w:t>
      </w:r>
      <w:r w:rsidRPr="004246B0">
        <w:rPr>
          <w:rStyle w:val="FootnoteReference"/>
          <w:rFonts w:ascii="Garamond" w:hAnsi="Garamond"/>
          <w:sz w:val="24"/>
          <w:szCs w:val="24"/>
        </w:rPr>
        <w:footnoteReference w:id="217"/>
      </w:r>
      <w:r w:rsidRPr="004246B0">
        <w:rPr>
          <w:rFonts w:ascii="Garamond" w:hAnsi="Garamond"/>
          <w:sz w:val="24"/>
          <w:szCs w:val="24"/>
        </w:rPr>
        <w:t xml:space="preserve"> By March 1974, CETIM had recruited AAMs from Germany, Belgium, Britain, Denmark and the BOA from Holland. However the research was not limited to Europe; it would bring together solidarity-making excerpts of speeches from the ANC, PAC and SACTU with national reports on white migration from the European AAMs.</w:t>
      </w:r>
      <w:r w:rsidRPr="004246B0">
        <w:rPr>
          <w:rStyle w:val="FootnoteReference"/>
          <w:rFonts w:ascii="Garamond" w:hAnsi="Garamond"/>
          <w:sz w:val="24"/>
          <w:szCs w:val="24"/>
        </w:rPr>
        <w:footnoteReference w:id="218"/>
      </w:r>
      <w:r w:rsidR="00E90398">
        <w:rPr>
          <w:rFonts w:ascii="Garamond" w:hAnsi="Garamond"/>
          <w:sz w:val="24"/>
          <w:szCs w:val="24"/>
        </w:rPr>
        <w:t xml:space="preserve"> </w:t>
      </w:r>
    </w:p>
    <w:p w:rsidR="00031E7C" w:rsidRDefault="00031E7C" w:rsidP="003F4A98">
      <w:pPr>
        <w:autoSpaceDE w:val="0"/>
        <w:autoSpaceDN w:val="0"/>
        <w:adjustRightInd w:val="0"/>
        <w:spacing w:after="0" w:line="360" w:lineRule="auto"/>
        <w:jc w:val="both"/>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i/>
          <w:sz w:val="24"/>
          <w:szCs w:val="24"/>
        </w:rPr>
      </w:pPr>
    </w:p>
    <w:p w:rsidR="003F4A98" w:rsidRPr="00E90398" w:rsidRDefault="003F4A98" w:rsidP="003F4A98">
      <w:pPr>
        <w:autoSpaceDE w:val="0"/>
        <w:autoSpaceDN w:val="0"/>
        <w:adjustRightInd w:val="0"/>
        <w:spacing w:after="0" w:line="360" w:lineRule="auto"/>
        <w:jc w:val="both"/>
        <w:rPr>
          <w:rFonts w:ascii="Garamond" w:hAnsi="Garamond"/>
          <w:b/>
          <w:i/>
          <w:szCs w:val="24"/>
        </w:rPr>
      </w:pPr>
      <w:r w:rsidRPr="00E90398">
        <w:rPr>
          <w:rFonts w:ascii="Garamond" w:hAnsi="Garamond"/>
          <w:b/>
          <w:i/>
          <w:szCs w:val="24"/>
        </w:rPr>
        <w:t>The publication of White Migration</w:t>
      </w:r>
    </w:p>
    <w:p w:rsidR="003F4A98" w:rsidRPr="004246B0" w:rsidRDefault="003F4A98" w:rsidP="003F4A98">
      <w:pPr>
        <w:autoSpaceDE w:val="0"/>
        <w:autoSpaceDN w:val="0"/>
        <w:adjustRightInd w:val="0"/>
        <w:spacing w:after="0" w:line="360" w:lineRule="auto"/>
        <w:jc w:val="both"/>
        <w:rPr>
          <w:rFonts w:ascii="Garamond" w:hAnsi="Garamond"/>
          <w:b/>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i/>
          <w:sz w:val="24"/>
          <w:szCs w:val="24"/>
        </w:rPr>
        <w:t xml:space="preserve">White Migration </w:t>
      </w:r>
      <w:r w:rsidRPr="004246B0">
        <w:rPr>
          <w:rFonts w:ascii="Garamond" w:hAnsi="Garamond"/>
          <w:sz w:val="24"/>
          <w:szCs w:val="24"/>
        </w:rPr>
        <w:t xml:space="preserve">included contributions from nine anti-apartheid organizations, including the anti-apartheid movements of Britain, Ireland, Belgium and Germany, The Centre Europe-Tiers Monde based in Geneva, The International Defence and Aid Fund (IDAF) </w:t>
      </w:r>
      <w:r>
        <w:rPr>
          <w:rFonts w:ascii="Garamond" w:hAnsi="Garamond"/>
          <w:sz w:val="24"/>
          <w:szCs w:val="24"/>
        </w:rPr>
        <w:t xml:space="preserve">headquartered </w:t>
      </w:r>
      <w:r w:rsidRPr="004246B0">
        <w:rPr>
          <w:rFonts w:ascii="Garamond" w:hAnsi="Garamond"/>
          <w:sz w:val="24"/>
          <w:szCs w:val="24"/>
        </w:rPr>
        <w:t xml:space="preserve">in London, and three organizations from Holland: the Angola Comité </w:t>
      </w:r>
      <w:r w:rsidRPr="004246B0">
        <w:rPr>
          <w:rFonts w:ascii="Garamond" w:hAnsi="Garamond"/>
          <w:sz w:val="24"/>
          <w:szCs w:val="24"/>
        </w:rPr>
        <w:lastRenderedPageBreak/>
        <w:t>from Amsterdam, the Ecumenical Research Exchange of Rotterdam and the BOA.</w:t>
      </w:r>
      <w:r w:rsidRPr="004246B0">
        <w:rPr>
          <w:rStyle w:val="FootnoteReference"/>
          <w:rFonts w:ascii="Garamond" w:hAnsi="Garamond"/>
          <w:sz w:val="24"/>
          <w:szCs w:val="24"/>
        </w:rPr>
        <w:footnoteReference w:id="219"/>
      </w:r>
      <w:r w:rsidRPr="004246B0">
        <w:rPr>
          <w:rFonts w:ascii="Garamond" w:hAnsi="Garamond"/>
          <w:sz w:val="24"/>
          <w:szCs w:val="24"/>
        </w:rPr>
        <w:t xml:space="preserve"> During 1975-6, 1500 copies of </w:t>
      </w:r>
      <w:r w:rsidRPr="004246B0">
        <w:rPr>
          <w:rFonts w:ascii="Garamond" w:hAnsi="Garamond"/>
          <w:i/>
          <w:sz w:val="24"/>
          <w:szCs w:val="24"/>
        </w:rPr>
        <w:t>White Migration</w:t>
      </w:r>
      <w:r w:rsidRPr="004246B0">
        <w:rPr>
          <w:rFonts w:ascii="Garamond" w:hAnsi="Garamond"/>
          <w:sz w:val="24"/>
          <w:szCs w:val="24"/>
        </w:rPr>
        <w:t xml:space="preserve"> were distributed across Europe (1100 were given to partner organizations and AAMs). The influence of the publication on potential anti-apartheid activists is evidenced in volume 3 of SADET’s</w:t>
      </w:r>
      <w:r w:rsidRPr="004246B0">
        <w:rPr>
          <w:rStyle w:val="FootnoteReference"/>
          <w:rFonts w:ascii="Garamond" w:hAnsi="Garamond"/>
          <w:sz w:val="24"/>
          <w:szCs w:val="24"/>
        </w:rPr>
        <w:footnoteReference w:id="220"/>
      </w:r>
      <w:r w:rsidRPr="004246B0">
        <w:rPr>
          <w:rFonts w:ascii="Garamond" w:hAnsi="Garamond"/>
          <w:sz w:val="24"/>
          <w:szCs w:val="24"/>
        </w:rPr>
        <w:t xml:space="preserve"> </w:t>
      </w:r>
      <w:r w:rsidRPr="004246B0">
        <w:rPr>
          <w:rFonts w:ascii="Garamond" w:hAnsi="Garamond"/>
          <w:i/>
          <w:sz w:val="24"/>
          <w:szCs w:val="24"/>
        </w:rPr>
        <w:t>Road to Democracy</w:t>
      </w:r>
      <w:r w:rsidRPr="004246B0">
        <w:rPr>
          <w:rFonts w:ascii="Garamond" w:hAnsi="Garamond"/>
          <w:sz w:val="24"/>
          <w:szCs w:val="24"/>
        </w:rPr>
        <w:t>,</w:t>
      </w:r>
      <w:r w:rsidRPr="004246B0">
        <w:rPr>
          <w:rFonts w:ascii="Garamond" w:hAnsi="Garamond"/>
          <w:i/>
          <w:sz w:val="24"/>
          <w:szCs w:val="24"/>
        </w:rPr>
        <w:t xml:space="preserve"> </w:t>
      </w:r>
      <w:r w:rsidRPr="004246B0">
        <w:rPr>
          <w:rFonts w:ascii="Garamond" w:hAnsi="Garamond"/>
          <w:sz w:val="24"/>
          <w:szCs w:val="24"/>
        </w:rPr>
        <w:t>where the "book increased interest and concern about Irish emigration to South Africa"</w:t>
      </w:r>
      <w:r>
        <w:rPr>
          <w:rFonts w:ascii="Garamond" w:hAnsi="Garamond"/>
          <w:sz w:val="24"/>
          <w:szCs w:val="24"/>
        </w:rPr>
        <w:t xml:space="preserve"> (Asmal </w:t>
      </w:r>
      <w:r w:rsidR="00F152DB">
        <w:rPr>
          <w:rFonts w:ascii="Garamond" w:hAnsi="Garamond"/>
          <w:sz w:val="24"/>
          <w:szCs w:val="24"/>
        </w:rPr>
        <w:t>and</w:t>
      </w:r>
      <w:r>
        <w:rPr>
          <w:rFonts w:ascii="Garamond" w:hAnsi="Garamond"/>
          <w:sz w:val="24"/>
          <w:szCs w:val="24"/>
        </w:rPr>
        <w:t xml:space="preserve"> Alb</w:t>
      </w:r>
      <w:r w:rsidRPr="004246B0">
        <w:rPr>
          <w:rFonts w:ascii="Garamond" w:hAnsi="Garamond"/>
          <w:sz w:val="24"/>
          <w:szCs w:val="24"/>
        </w:rPr>
        <w:t>erts, 2008: 372).</w:t>
      </w:r>
      <w:r w:rsidRPr="004246B0">
        <w:rPr>
          <w:rStyle w:val="FootnoteReference"/>
          <w:rFonts w:ascii="Garamond" w:hAnsi="Garamond"/>
          <w:sz w:val="24"/>
          <w:szCs w:val="24"/>
        </w:rPr>
        <w:footnoteReference w:id="221"/>
      </w:r>
      <w:r w:rsidRPr="004246B0">
        <w:rPr>
          <w:rFonts w:ascii="Garamond" w:hAnsi="Garamond"/>
          <w:sz w:val="24"/>
          <w:szCs w:val="24"/>
        </w:rPr>
        <w:t xml:space="preserve"> </w:t>
      </w:r>
      <w:r w:rsidRPr="004246B0">
        <w:rPr>
          <w:rFonts w:ascii="Garamond" w:hAnsi="Garamond"/>
          <w:color w:val="000000"/>
          <w:sz w:val="24"/>
          <w:szCs w:val="24"/>
          <w:shd w:val="clear" w:color="auto" w:fill="FFFFFF"/>
        </w:rPr>
        <w:t xml:space="preserve">The 1976 UN Special Committee Against Apartheid Report considered the book "invaluable in the fight against apartheid". </w:t>
      </w:r>
      <w:r w:rsidRPr="004246B0">
        <w:rPr>
          <w:rFonts w:ascii="Garamond" w:hAnsi="Garamond"/>
          <w:i/>
          <w:sz w:val="24"/>
          <w:szCs w:val="24"/>
        </w:rPr>
        <w:t>White Migration</w:t>
      </w:r>
      <w:r w:rsidRPr="004246B0">
        <w:rPr>
          <w:rFonts w:ascii="Garamond" w:hAnsi="Garamond"/>
          <w:sz w:val="24"/>
          <w:szCs w:val="24"/>
        </w:rPr>
        <w:t xml:space="preserve"> is significant because it documents a key phase in the networking of local, grassroots and transnational anti-apartheid movements pre-Soweto. And it also shows what sort of activisms were required against apartheid; it showed how contesting the distant racial economies of Rhodesia and South Africa clearly involved resisting their market and state sponsored machinations in various countries across Europe:  </w:t>
      </w:r>
    </w:p>
    <w:p w:rsidR="003F4A98" w:rsidRPr="004246B0" w:rsidRDefault="003F4A98" w:rsidP="003F4A98">
      <w:pPr>
        <w:autoSpaceDE w:val="0"/>
        <w:autoSpaceDN w:val="0"/>
        <w:adjustRightInd w:val="0"/>
        <w:spacing w:after="0" w:line="360" w:lineRule="auto"/>
        <w:jc w:val="both"/>
        <w:rPr>
          <w:rFonts w:ascii="Garamond" w:hAnsi="Garamond"/>
        </w:rPr>
      </w:pPr>
    </w:p>
    <w:p w:rsidR="003F4A98" w:rsidRPr="004246B0" w:rsidRDefault="003F4A98" w:rsidP="003F4A98">
      <w:pPr>
        <w:autoSpaceDE w:val="0"/>
        <w:autoSpaceDN w:val="0"/>
        <w:adjustRightInd w:val="0"/>
        <w:spacing w:after="0" w:line="360" w:lineRule="auto"/>
        <w:ind w:left="284" w:right="284"/>
        <w:jc w:val="both"/>
        <w:rPr>
          <w:rFonts w:ascii="Garamond" w:hAnsi="Garamond"/>
          <w:sz w:val="24"/>
          <w:szCs w:val="24"/>
        </w:rPr>
      </w:pPr>
      <w:r w:rsidRPr="004246B0">
        <w:rPr>
          <w:rFonts w:ascii="Garamond" w:hAnsi="Garamond"/>
        </w:rPr>
        <w:t>Potential European immigrants are considered by South Africa and Rhodesia as a sort of market which they have to exploit and win for their own interest. An extraordinary network of immigration offices, private companies, travel agents, and employment bureaux covers Europe with the explicit or more frequently – implicit complicity of national airlines and, last but not least, some inte</w:t>
      </w:r>
      <w:r w:rsidR="00E90398">
        <w:rPr>
          <w:rFonts w:ascii="Garamond" w:hAnsi="Garamond"/>
        </w:rPr>
        <w:t>rnational organizations.</w:t>
      </w:r>
      <w:r w:rsidRPr="004246B0">
        <w:rPr>
          <w:rFonts w:ascii="Garamond" w:hAnsi="Garamond"/>
        </w:rPr>
        <w:t xml:space="preserve"> (1975: 1).</w:t>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CETIM's project organized anti-apartheid into a set of concrete issues. </w:t>
      </w:r>
      <w:r w:rsidRPr="004246B0">
        <w:rPr>
          <w:rFonts w:ascii="Garamond" w:hAnsi="Garamond"/>
          <w:i/>
          <w:sz w:val="24"/>
          <w:szCs w:val="24"/>
        </w:rPr>
        <w:t>White Migration</w:t>
      </w:r>
      <w:r w:rsidRPr="004246B0">
        <w:rPr>
          <w:rFonts w:ascii="Garamond" w:hAnsi="Garamond"/>
          <w:sz w:val="24"/>
          <w:szCs w:val="24"/>
        </w:rPr>
        <w:t xml:space="preserve"> became a means for displacing Cold War narratives</w:t>
      </w:r>
      <w:r w:rsidRPr="004246B0">
        <w:rPr>
          <w:rStyle w:val="FootnoteReference"/>
          <w:rFonts w:ascii="Garamond" w:hAnsi="Garamond"/>
          <w:sz w:val="24"/>
          <w:szCs w:val="24"/>
        </w:rPr>
        <w:footnoteReference w:id="222"/>
      </w:r>
      <w:r w:rsidRPr="004246B0">
        <w:rPr>
          <w:rFonts w:ascii="Garamond" w:hAnsi="Garamond"/>
          <w:sz w:val="24"/>
          <w:szCs w:val="24"/>
        </w:rPr>
        <w:t xml:space="preserve"> from the public arena, for contesting the capitalist apology of 'change through investment', and most importantly, it was a way of motivating actions against apartheid through evidenced arguments of European complicity: </w:t>
      </w:r>
      <w:r w:rsidRPr="004246B0">
        <w:rPr>
          <w:rStyle w:val="FootnoteReference"/>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lastRenderedPageBreak/>
        <w:t>we examine the different means which racist regimes have at their disposal for enticing skilled workers from Europe to settle in White Southern Africa. Our hope is that action groups and Anti-Apartheid movements, all over Europe, will be in a better position...to put a stop to the recruiting activiti</w:t>
      </w:r>
      <w:r>
        <w:rPr>
          <w:rFonts w:ascii="Garamond" w:hAnsi="Garamond"/>
        </w:rPr>
        <w:t>es of South Africa and Rhodesia. (Foreword, CETIM, 1975)</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At the point of publication in February 1975, unemployment was at a record post-1945 low in many western European countries. The impending economic crisis lead the authors to anxiously speculate: "We must be aware that this situation will be used by recruiting agents of the regimes of Southern Africa... sun and sunny beaches may no longer be needed to make the apartheid societies attractive. This is not merely a piece of information but an incitement to action".</w:t>
      </w:r>
      <w:r w:rsidRPr="004246B0">
        <w:rPr>
          <w:rStyle w:val="FootnoteReference"/>
          <w:rFonts w:ascii="Garamond" w:hAnsi="Garamond"/>
          <w:sz w:val="24"/>
          <w:szCs w:val="24"/>
        </w:rPr>
        <w:footnoteReference w:id="223"/>
      </w:r>
      <w:r w:rsidRPr="004246B0">
        <w:rPr>
          <w:rFonts w:ascii="Garamond" w:hAnsi="Garamond"/>
          <w:sz w:val="24"/>
          <w:szCs w:val="24"/>
        </w:rPr>
        <w:t xml:space="preserve"> In a letter to Abdul Minty of the British AAM, Gilbert Rist (the editor of </w:t>
      </w:r>
      <w:r w:rsidRPr="004246B0">
        <w:rPr>
          <w:rFonts w:ascii="Garamond" w:hAnsi="Garamond"/>
          <w:i/>
          <w:sz w:val="24"/>
          <w:szCs w:val="24"/>
        </w:rPr>
        <w:t>White Migration</w:t>
      </w:r>
      <w:r w:rsidRPr="004246B0">
        <w:rPr>
          <w:rFonts w:ascii="Garamond" w:hAnsi="Garamond"/>
          <w:sz w:val="24"/>
          <w:szCs w:val="24"/>
        </w:rPr>
        <w:t>)</w:t>
      </w:r>
      <w:r w:rsidRPr="004246B0">
        <w:rPr>
          <w:rFonts w:ascii="Garamond" w:hAnsi="Garamond"/>
          <w:i/>
          <w:sz w:val="24"/>
          <w:szCs w:val="24"/>
        </w:rPr>
        <w:t xml:space="preserve"> </w:t>
      </w:r>
      <w:r w:rsidRPr="004246B0">
        <w:rPr>
          <w:rFonts w:ascii="Garamond" w:hAnsi="Garamond"/>
          <w:sz w:val="24"/>
          <w:szCs w:val="24"/>
        </w:rPr>
        <w:t>confirmed that the BOA's role in writing the final chapter on action models against emigration was therefore vital for inciting activism: "the greatest liberty should be given to</w:t>
      </w:r>
      <w:r>
        <w:rPr>
          <w:rFonts w:ascii="Garamond" w:hAnsi="Garamond"/>
          <w:sz w:val="24"/>
          <w:szCs w:val="24"/>
        </w:rPr>
        <w:t xml:space="preserve"> the</w:t>
      </w:r>
      <w:r w:rsidRPr="004246B0">
        <w:rPr>
          <w:rFonts w:ascii="Garamond" w:hAnsi="Garamond"/>
          <w:sz w:val="24"/>
          <w:szCs w:val="24"/>
        </w:rPr>
        <w:t xml:space="preserve"> person who writes the final text; if this is not the case...the whole thing lacks strength and persuasion".</w:t>
      </w:r>
      <w:r w:rsidRPr="004246B0">
        <w:rPr>
          <w:rStyle w:val="FootnoteReference"/>
          <w:rFonts w:ascii="Garamond" w:hAnsi="Garamond"/>
          <w:sz w:val="24"/>
          <w:szCs w:val="24"/>
        </w:rPr>
        <w:footnoteReference w:id="224"/>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E90398" w:rsidRDefault="003F4A98" w:rsidP="003F4A98">
      <w:pPr>
        <w:autoSpaceDE w:val="0"/>
        <w:autoSpaceDN w:val="0"/>
        <w:adjustRightInd w:val="0"/>
        <w:spacing w:after="0" w:line="360" w:lineRule="auto"/>
        <w:jc w:val="both"/>
        <w:rPr>
          <w:rFonts w:ascii="Garamond" w:hAnsi="Garamond"/>
          <w:b/>
          <w:i/>
          <w:szCs w:val="24"/>
        </w:rPr>
      </w:pPr>
      <w:r w:rsidRPr="00E90398">
        <w:rPr>
          <w:rFonts w:ascii="Garamond" w:hAnsi="Garamond"/>
          <w:b/>
          <w:i/>
          <w:szCs w:val="24"/>
        </w:rPr>
        <w:t xml:space="preserve">White migration as grassroots globalization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foreword to </w:t>
      </w:r>
      <w:r w:rsidRPr="004246B0">
        <w:rPr>
          <w:rFonts w:ascii="Garamond" w:hAnsi="Garamond"/>
          <w:i/>
          <w:sz w:val="24"/>
          <w:szCs w:val="24"/>
        </w:rPr>
        <w:t xml:space="preserve">White Migration </w:t>
      </w:r>
      <w:r w:rsidRPr="004246B0">
        <w:rPr>
          <w:rFonts w:ascii="Garamond" w:hAnsi="Garamond"/>
          <w:sz w:val="24"/>
          <w:szCs w:val="24"/>
        </w:rPr>
        <w:t xml:space="preserve">posits a strong commitment to transnationalism. The authors state, "at a time when pro-apartheid activities tend to be co-ordinated internationally, anti-apartheid action should follow the same pattern" (CETIM, 1975). In other words, this was a provocation to South African liberation movements, to European trade unions and to regional and national AAMs to form a globalized resistance network to counter the global pro-apartheid network; a request to engage in a process remarkably similar to what Appadurai (2000), Routledge (2003) and others have described as 'grassroots globalization'.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i/>
          <w:sz w:val="24"/>
          <w:szCs w:val="24"/>
        </w:rPr>
        <w:t xml:space="preserve">White Migration </w:t>
      </w:r>
      <w:r w:rsidRPr="004246B0">
        <w:rPr>
          <w:rFonts w:ascii="Garamond" w:hAnsi="Garamond"/>
          <w:sz w:val="24"/>
          <w:szCs w:val="24"/>
        </w:rPr>
        <w:t>is divided into three main sections: the first (written by Adrien Zöller),</w:t>
      </w:r>
      <w:r>
        <w:rPr>
          <w:rStyle w:val="FootnoteReference"/>
          <w:rFonts w:ascii="Garamond" w:hAnsi="Garamond"/>
          <w:sz w:val="24"/>
          <w:szCs w:val="24"/>
        </w:rPr>
        <w:footnoteReference w:id="225"/>
      </w:r>
      <w:r w:rsidRPr="004246B0">
        <w:rPr>
          <w:rFonts w:ascii="Garamond" w:hAnsi="Garamond"/>
          <w:sz w:val="24"/>
          <w:szCs w:val="24"/>
        </w:rPr>
        <w:t xml:space="preserve"> outlines what international opposition to white migration might concern itself with; the second consists of AAM reports on the machinations of white migration unique to selected European countries (Belgium, Germany, Great Britain, Ireland, Holland, </w:t>
      </w:r>
      <w:r w:rsidRPr="004246B0">
        <w:rPr>
          <w:rFonts w:ascii="Garamond" w:hAnsi="Garamond"/>
          <w:sz w:val="24"/>
          <w:szCs w:val="24"/>
        </w:rPr>
        <w:lastRenderedPageBreak/>
        <w:t xml:space="preserve">Portugal, Switzerland); the final section opens up a dialogue on the political stakes of white migration (written by Minty and Zöller), and provides models for grassroots action (written by du Plessis). The layout of the book betrays an awareness of the interdependency required for transnational anti-apartheid, an interdependency that is a key characteristic of what geographers today describe as grassroots globalization. Key features of grassroots globalization networks are that they draw together marginalized and local organizations and share oppositional discourses while encouraging local autonomy over tactics (Appadurai, 2000). Although the 'pluriverse' of interests (the coming together of protest groups with a wide range of grievances) that Routledge (2003) argues defines wide grassroots opposition to neoliberalism was narrower in grassroots opposition to apartheid, the movement brought together a variety of protest groups and individuals. By 1975, Marxists, anti-colonial movements, labour activists and trade unions, feminist organizations, supra-national human rights organizations, everyday consumers, academics, musicians, political exiles and artists converged over anti-apartheid. As </w:t>
      </w:r>
      <w:r>
        <w:rPr>
          <w:rFonts w:ascii="Garamond" w:hAnsi="Garamond"/>
          <w:sz w:val="24"/>
          <w:szCs w:val="24"/>
        </w:rPr>
        <w:t>Chapter Three</w:t>
      </w:r>
      <w:r w:rsidRPr="004246B0">
        <w:rPr>
          <w:rFonts w:ascii="Garamond" w:hAnsi="Garamond"/>
          <w:sz w:val="24"/>
          <w:szCs w:val="24"/>
        </w:rPr>
        <w:t xml:space="preserve"> on the BOA's Outspan boycott shows, anti-apartheid seamlessly converged with seemingly autonomous actions such as eating and shopping while it also tapped into wider legal jurisdiction over the specifics of freedom of expression. Remove references to the internet, and Routledge's description of grassroots globalization seems to fit the transnational campaign against white migration: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rPr>
        <w:t>Grassroots globalization involves the creation of networks: of communication, solidarity, information sharing and mutual support. The core function of networks is the production, exchange and strategic use of information – for example, concerning oppositional narratives and analysis of particular events. Many information exchanges are informal, such as by telephone, e-mail and the circulation of newsletters and bulletins through a variety of means, including by hand, post and the Internet. Such information can enhance the resources available to geographically and/or socially distant actors in their particular struggles and also lead to action... Underpinning such developments is a conceptualization of protest and struggle that respects difference, rather than attempting to develop universalistic and centralizing solutions that deny the divers</w:t>
      </w:r>
      <w:r>
        <w:rPr>
          <w:rFonts w:ascii="Garamond" w:hAnsi="Garamond"/>
        </w:rPr>
        <w:t>ity of interests and identities.</w:t>
      </w:r>
      <w:r w:rsidRPr="004246B0">
        <w:rPr>
          <w:rFonts w:ascii="Garamond" w:hAnsi="Garamond"/>
        </w:rPr>
        <w:t xml:space="preserve"> (2003: 335-</w:t>
      </w:r>
      <w:r>
        <w:rPr>
          <w:rFonts w:ascii="Garamond" w:hAnsi="Garamond"/>
        </w:rPr>
        <w:t>6)</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E90398"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As well as minor issues around language and translation, the transnationalization of anti-apartheid through opposition to white migration created unique challenges for the organizational committee, and for the AAMs involved in the study. Firstly, the campaign needed to forge its own international publicity, and disseminate its own research. The </w:t>
      </w:r>
      <w:r w:rsidRPr="004246B0">
        <w:rPr>
          <w:rFonts w:ascii="Garamond" w:hAnsi="Garamond"/>
          <w:sz w:val="24"/>
          <w:szCs w:val="24"/>
        </w:rPr>
        <w:lastRenderedPageBreak/>
        <w:t>research project operated largely outside of a global media "which between 1972 and 1975 denied that a resistance movement existed because there was little evidence of ANC activity in the Republic" (Sanders, 2000: 93). During the Outspan boycott of 1972-74, the BOA's success in seducing the Dutch and international media had been an exception to a wider European trend. According to Minty, the early 1970s were a time of modest anti-apartheid media publicity, and few events (Thörn, 2006).</w:t>
      </w:r>
      <w:r w:rsidRPr="004246B0">
        <w:rPr>
          <w:rStyle w:val="FootnoteReference"/>
          <w:rFonts w:ascii="Garamond" w:hAnsi="Garamond"/>
          <w:sz w:val="24"/>
          <w:szCs w:val="24"/>
        </w:rPr>
        <w:footnoteReference w:id="226"/>
      </w:r>
      <w:r w:rsidRPr="004246B0">
        <w:rPr>
          <w:rFonts w:ascii="Garamond" w:hAnsi="Garamond"/>
          <w:sz w:val="24"/>
          <w:szCs w:val="24"/>
        </w:rPr>
        <w:t xml:space="preserve"> An additional problem with publicity was that the pro-apartheid lobby had successfully coaxed much of the global media to frame apartheid in Cold War narratives (this was much less of a problem in the Dutch context for the BOA). This meant that transnational anti-apartheid had to produce information and news, and then disseminate the news throug</w:t>
      </w:r>
      <w:r w:rsidR="00E90398">
        <w:rPr>
          <w:rFonts w:ascii="Garamond" w:hAnsi="Garamond"/>
          <w:sz w:val="24"/>
          <w:szCs w:val="24"/>
        </w:rPr>
        <w:t>h channels of their own making.</w:t>
      </w:r>
    </w:p>
    <w:p w:rsidR="00E90398" w:rsidRDefault="00E903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A second challenge faced in the transnationalization of anti-emigration was the demand placed on CETIM to incessantly lobby national and international organizations, and to reiterate the importance of the anti-emigration campaigns. Working from within CETIM, Gilbert Rist (the editor of </w:t>
      </w:r>
      <w:r w:rsidRPr="004246B0">
        <w:rPr>
          <w:rFonts w:ascii="Garamond" w:hAnsi="Garamond"/>
          <w:i/>
          <w:sz w:val="24"/>
          <w:szCs w:val="24"/>
        </w:rPr>
        <w:t xml:space="preserve">White Migration </w:t>
      </w:r>
      <w:r w:rsidRPr="004246B0">
        <w:rPr>
          <w:rFonts w:ascii="Garamond" w:hAnsi="Garamond"/>
          <w:sz w:val="24"/>
          <w:szCs w:val="24"/>
        </w:rPr>
        <w:t xml:space="preserve">and chief of African Questions at CETIM) emerges from the archived correspondence around </w:t>
      </w:r>
      <w:r w:rsidRPr="004246B0">
        <w:rPr>
          <w:rFonts w:ascii="Garamond" w:hAnsi="Garamond"/>
          <w:i/>
          <w:sz w:val="24"/>
          <w:szCs w:val="24"/>
        </w:rPr>
        <w:t>White Migration</w:t>
      </w:r>
      <w:r w:rsidRPr="004246B0">
        <w:rPr>
          <w:rFonts w:ascii="Garamond" w:hAnsi="Garamond"/>
          <w:sz w:val="24"/>
          <w:szCs w:val="24"/>
        </w:rPr>
        <w:t xml:space="preserve"> as an able organizer and motivator, the sort of character that Håkan Thörn describes in his (2006) sociology of anti-apartheid as an 'activist public official'. From the outset of CETIM's international ambitions for the campaign at the start of 1973, time, money and influence were far from given; they had to be attained through combinations of sycophancy, persuasion, cajoling and thinly veiled threats of humiliation. He managed this with discretionary skill; his letters to the various anti-apartheid leaders and E.S Reddy, (the chairman of the United Nations Special Committee on Apartheid) display a tactical pragmatism in garnering support from a diverse range of personalities, and for forging solidarity between sometimes contradictory political perspectives.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E90398"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Rist's letters show that as an organizer he valued similar skills of clarity, punctuality and professionalism in AAM activists, standards that when not met sometimes resulted in short shrift and cursory responses. Two deadlines for the publication of </w:t>
      </w:r>
      <w:r w:rsidRPr="004246B0">
        <w:rPr>
          <w:rFonts w:ascii="Garamond" w:hAnsi="Garamond"/>
          <w:i/>
          <w:sz w:val="24"/>
          <w:szCs w:val="24"/>
        </w:rPr>
        <w:t>White Migration</w:t>
      </w:r>
      <w:r w:rsidRPr="004246B0">
        <w:rPr>
          <w:rFonts w:ascii="Garamond" w:hAnsi="Garamond"/>
          <w:sz w:val="24"/>
          <w:szCs w:val="24"/>
        </w:rPr>
        <w:t xml:space="preserve"> came and went. The different ways that Minty and du Plessis were dealt with for the </w:t>
      </w:r>
      <w:r w:rsidRPr="004246B0">
        <w:rPr>
          <w:rFonts w:ascii="Garamond" w:hAnsi="Garamond"/>
          <w:sz w:val="24"/>
          <w:szCs w:val="24"/>
        </w:rPr>
        <w:lastRenderedPageBreak/>
        <w:t>same fault of missing deadlines is revealing. Where Rist felt appropriate, people and organizations were played off against each other. To du Plessis he wrote, "I am very worried about the situation, which is completely disrupting the time schedules...Peter Ripkin [from the German anti-apartheid movement] wrote to me asking why your draft hadn't reached him...we are all becoming impatient. I hope you do your utmost to appease us."</w:t>
      </w:r>
      <w:r w:rsidRPr="004246B0">
        <w:rPr>
          <w:rStyle w:val="FootnoteReference"/>
          <w:rFonts w:ascii="Garamond" w:hAnsi="Garamond"/>
          <w:sz w:val="24"/>
          <w:szCs w:val="24"/>
        </w:rPr>
        <w:footnoteReference w:id="227"/>
      </w:r>
      <w:r w:rsidRPr="004246B0">
        <w:rPr>
          <w:rFonts w:ascii="Garamond" w:hAnsi="Garamond"/>
          <w:sz w:val="24"/>
          <w:szCs w:val="24"/>
        </w:rPr>
        <w:t xml:space="preserve"> Interestingly, the CETIM archives do not contain the aforementioned letter from Ripkin enquiring about du Plessis' draft. A week later du Plessis replied with a copy of the chapter: "I suggest, given the time factor, that you and Abdul Minty keep your comments and suggestions for alterations to an absolute minimum"</w:t>
      </w:r>
      <w:r w:rsidR="00D25F81">
        <w:rPr>
          <w:rFonts w:ascii="Garamond" w:hAnsi="Garamond"/>
          <w:sz w:val="24"/>
          <w:szCs w:val="24"/>
        </w:rPr>
        <w:t>.</w:t>
      </w:r>
      <w:r w:rsidRPr="004246B0">
        <w:rPr>
          <w:rStyle w:val="FootnoteReference"/>
          <w:rFonts w:ascii="Garamond" w:hAnsi="Garamond"/>
          <w:sz w:val="24"/>
          <w:szCs w:val="24"/>
        </w:rPr>
        <w:footnoteReference w:id="228"/>
      </w:r>
      <w:r w:rsidRPr="004246B0">
        <w:rPr>
          <w:rFonts w:ascii="Garamond" w:hAnsi="Garamond"/>
          <w:sz w:val="24"/>
          <w:szCs w:val="24"/>
        </w:rPr>
        <w:t xml:space="preserve"> A month later, in less condescending tones, Rist wrote to Minty stating; "I am also expecting your contribution. I urge you to send it as soon as possible, if not our secret 'Sharpeville Deadline' will not be kept!"</w:t>
      </w:r>
      <w:r w:rsidRPr="004246B0">
        <w:rPr>
          <w:rStyle w:val="FootnoteReference"/>
          <w:rFonts w:ascii="Garamond" w:hAnsi="Garamond"/>
          <w:sz w:val="24"/>
          <w:szCs w:val="24"/>
        </w:rPr>
        <w:footnoteReference w:id="229"/>
      </w:r>
    </w:p>
    <w:p w:rsidR="00E90398" w:rsidRDefault="00E903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At times</w:t>
      </w:r>
      <w:r w:rsidR="00D25F81">
        <w:rPr>
          <w:rFonts w:ascii="Garamond" w:hAnsi="Garamond"/>
          <w:sz w:val="24"/>
          <w:szCs w:val="24"/>
        </w:rPr>
        <w:t xml:space="preserve"> Rist panders</w:t>
      </w:r>
      <w:r w:rsidRPr="004246B0">
        <w:rPr>
          <w:rFonts w:ascii="Garamond" w:hAnsi="Garamond"/>
          <w:sz w:val="24"/>
          <w:szCs w:val="24"/>
        </w:rPr>
        <w:t xml:space="preserve"> towards particular individuals, while venting frustrations about other contributors. Abdul Minty and Kader and Louise Asmal were treated with utmost respect, and it was with these figureheads (of British and Irish anti-apartheid respectively) that Rist shared his misgivings about other contributors. Rist displayed an ardent admiration for the punctuality and precision of Louise Asmal's contributions: "thank you for your excellent job. I must admit it is always a pleasure to receive a text that can be sent right away to a typist. This I am afraid has not always been the case with most of the other chapters whose English was pretty poor".</w:t>
      </w:r>
      <w:r w:rsidRPr="004246B0">
        <w:rPr>
          <w:rStyle w:val="FootnoteReference"/>
          <w:rFonts w:ascii="Garamond" w:hAnsi="Garamond"/>
          <w:sz w:val="24"/>
          <w:szCs w:val="24"/>
        </w:rPr>
        <w:footnoteReference w:id="230"/>
      </w:r>
      <w:r w:rsidRPr="004246B0">
        <w:rPr>
          <w:rFonts w:ascii="Garamond" w:hAnsi="Garamond"/>
          <w:sz w:val="24"/>
          <w:szCs w:val="24"/>
        </w:rPr>
        <w:t xml:space="preserve"> On working with the World Council of Churches, Rist wrote in a letter to Minty: "Be that as it may [their poor organization], we have to find ways and means to work with these people since they constitute a good platform to voice opinions against the racist regimes of SA". Correspondence to Asmal and Minty shows that Rist perceived Zöller and du Plessis as necessary but potentially risky political radicals to have on board (essential for motivating support, but apparently in need of reigning in). In this regard, the contents of a letter to Abdul Minty are instructive:</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sz w:val="24"/>
          <w:szCs w:val="24"/>
        </w:rPr>
      </w:pPr>
      <w:r w:rsidRPr="004246B0">
        <w:rPr>
          <w:rFonts w:ascii="Garamond" w:hAnsi="Garamond"/>
        </w:rPr>
        <w:t xml:space="preserve">This is again a letter concerning </w:t>
      </w:r>
      <w:r w:rsidRPr="004246B0">
        <w:rPr>
          <w:rFonts w:ascii="Garamond" w:hAnsi="Garamond"/>
          <w:i/>
        </w:rPr>
        <w:t>White Migration</w:t>
      </w:r>
      <w:r w:rsidRPr="004246B0">
        <w:rPr>
          <w:rFonts w:ascii="Garamond" w:hAnsi="Garamond"/>
        </w:rPr>
        <w:t>, as you may have guessed. You have certainly received the first draft of du Plessis, his additional page concerning the AABN and Kairos Campaign, and the comments of Adrien Zöller. I am enclosing comments from Louise Asmal who wrote the chapter on Ireland. I am not going to make my ow</w:t>
      </w:r>
      <w:r>
        <w:rPr>
          <w:rFonts w:ascii="Garamond" w:hAnsi="Garamond"/>
        </w:rPr>
        <w:t xml:space="preserve">n </w:t>
      </w:r>
      <w:r>
        <w:rPr>
          <w:rFonts w:ascii="Garamond" w:hAnsi="Garamond"/>
        </w:rPr>
        <w:lastRenderedPageBreak/>
        <w:t>suggestions about du Plessis'</w:t>
      </w:r>
      <w:r w:rsidRPr="004246B0">
        <w:rPr>
          <w:rFonts w:ascii="Garamond" w:hAnsi="Garamond"/>
        </w:rPr>
        <w:t xml:space="preserve"> draft as I think it will be an impossible task for you to take all suggestions into account. As a matter of fact I think the greatest liberty should be given to the person who writes the final text; if this is not the case then the whole thing goes wrong and the result lacks strength and persuasion. Having said this, I think Zöller was rather confused when he wrote his comment and seemed to have forgotten that you were to write the political introduction to the chapter written by du Plessis. I would therefore trust that most of his comments would be taken care of in your own text. Nevertheless I am inclined to think that the support of African movements (ANC, BPC, etc.) for actions against emigration should be dealt by you, rather than by du Plessis. You will decide for yourself if we should leave his section concerning tourism</w:t>
      </w:r>
      <w:r>
        <w:rPr>
          <w:rFonts w:ascii="Garamond" w:hAnsi="Garamond"/>
        </w:rPr>
        <w:t>.</w:t>
      </w:r>
      <w:r w:rsidR="00E90398">
        <w:rPr>
          <w:rFonts w:ascii="Garamond" w:hAnsi="Garamond"/>
        </w:rPr>
        <w:t xml:space="preserve"> (S</w:t>
      </w:r>
      <w:r w:rsidRPr="004246B0">
        <w:rPr>
          <w:rFonts w:ascii="Garamond" w:hAnsi="Garamond"/>
        </w:rPr>
        <w:t>ee point 7 of Zöller's memo)</w:t>
      </w:r>
      <w:r w:rsidRPr="004246B0">
        <w:rPr>
          <w:rStyle w:val="FootnoteReference"/>
          <w:rFonts w:ascii="Garamond" w:hAnsi="Garamond"/>
        </w:rPr>
        <w:footnoteReference w:id="231"/>
      </w:r>
      <w:r w:rsidRPr="004246B0">
        <w:rPr>
          <w:rFonts w:ascii="Garamond" w:hAnsi="Garamond"/>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Initially the BOA were asked by Rist to coalesce with Adrien Zöller</w:t>
      </w:r>
      <w:r>
        <w:rPr>
          <w:rFonts w:ascii="Garamond" w:hAnsi="Garamond"/>
          <w:sz w:val="24"/>
          <w:szCs w:val="24"/>
        </w:rPr>
        <w:t xml:space="preserve"> t</w:t>
      </w:r>
      <w:r w:rsidRPr="004246B0">
        <w:rPr>
          <w:rFonts w:ascii="Garamond" w:hAnsi="Garamond"/>
          <w:sz w:val="24"/>
          <w:szCs w:val="24"/>
        </w:rPr>
        <w:t>o advise the Dutch based Ecumenical Research Exchange on actions against white migration. However, du Plessis and Zöller became close friends and together attended several meetings with CETIM and the WCC across Europe. Consequently, over the spring of 1974 the BOA's impact on the proposed research on white migration grew markedly. Archived minutes from these meetings show that in Geneva, Amsterdam and Bonn</w:t>
      </w:r>
      <w:r w:rsidRPr="004246B0">
        <w:rPr>
          <w:rStyle w:val="FootnoteReference"/>
          <w:rFonts w:ascii="Garamond" w:hAnsi="Garamond"/>
          <w:sz w:val="24"/>
          <w:szCs w:val="24"/>
        </w:rPr>
        <w:footnoteReference w:id="232"/>
      </w:r>
      <w:r w:rsidRPr="004246B0">
        <w:rPr>
          <w:rFonts w:ascii="Garamond" w:hAnsi="Garamond"/>
          <w:sz w:val="24"/>
          <w:szCs w:val="24"/>
        </w:rPr>
        <w:t xml:space="preserve"> in the winter, spring and autumn of 1974, it was agreed that the BOA would write the final chapter with Abdul Minty and the British AAM (on action models) for </w:t>
      </w:r>
      <w:r w:rsidRPr="004246B0">
        <w:rPr>
          <w:rFonts w:ascii="Garamond" w:hAnsi="Garamond"/>
          <w:i/>
          <w:sz w:val="24"/>
          <w:szCs w:val="24"/>
        </w:rPr>
        <w:t>White Migration</w:t>
      </w:r>
      <w:r w:rsidRPr="004246B0">
        <w:rPr>
          <w:rFonts w:ascii="Garamond" w:hAnsi="Garamond"/>
          <w:sz w:val="24"/>
          <w:szCs w:val="24"/>
        </w:rPr>
        <w:t xml:space="preserve">.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i/>
          <w:sz w:val="24"/>
          <w:szCs w:val="24"/>
        </w:rPr>
      </w:pPr>
      <w:r w:rsidRPr="004246B0">
        <w:rPr>
          <w:rFonts w:ascii="Garamond" w:hAnsi="Garamond"/>
          <w:sz w:val="24"/>
          <w:szCs w:val="24"/>
        </w:rPr>
        <w:t xml:space="preserve">For all of Rist's largely unexplained distaste for du Plessis and Zöller, there can be little doubt that he saw both as essential to the transnational campaign. He reluctantly </w:t>
      </w:r>
      <w:r w:rsidRPr="004246B0">
        <w:rPr>
          <w:rFonts w:ascii="Garamond" w:hAnsi="Garamond"/>
          <w:sz w:val="24"/>
          <w:szCs w:val="24"/>
        </w:rPr>
        <w:lastRenderedPageBreak/>
        <w:t xml:space="preserve">recognized the limitations of his position to implement critique, but was clearly uncomfortable with Zöller's highly critical approach towards European tourism to South Africa, and du </w:t>
      </w:r>
      <w:r>
        <w:rPr>
          <w:rFonts w:ascii="Garamond" w:hAnsi="Garamond"/>
          <w:sz w:val="24"/>
          <w:szCs w:val="24"/>
        </w:rPr>
        <w:t>Plessis'</w:t>
      </w:r>
      <w:r w:rsidRPr="004246B0">
        <w:rPr>
          <w:rFonts w:ascii="Garamond" w:hAnsi="Garamond"/>
          <w:sz w:val="24"/>
          <w:szCs w:val="24"/>
        </w:rPr>
        <w:t xml:space="preserve"> mitigating role with the South African liberation movements. But Rist's actual power to implement change was limited; he 'trusted' that Minty would deal with both Zöller's offending text and du Plessis' positioning as advisor to the South African liberation movements. That neither issue was addressed by Minty shows that either Rist's misgivings were not shared, or that Minty did not want to risk apprehending du Plessis or Zöller, who together by January 1975, were responsible for important sections of </w:t>
      </w:r>
      <w:r w:rsidRPr="004246B0">
        <w:rPr>
          <w:rFonts w:ascii="Garamond" w:hAnsi="Garamond"/>
          <w:i/>
          <w:sz w:val="24"/>
          <w:szCs w:val="24"/>
        </w:rPr>
        <w:t>White Migration.</w:t>
      </w:r>
    </w:p>
    <w:p w:rsidR="003F4A98" w:rsidRPr="004246B0" w:rsidRDefault="003F4A98" w:rsidP="003F4A98">
      <w:pPr>
        <w:autoSpaceDE w:val="0"/>
        <w:autoSpaceDN w:val="0"/>
        <w:adjustRightInd w:val="0"/>
        <w:spacing w:after="0" w:line="360" w:lineRule="auto"/>
        <w:jc w:val="both"/>
        <w:rPr>
          <w:rFonts w:ascii="Garamond" w:hAnsi="Garamond"/>
          <w:i/>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White migration to South Africa was an international phenomenon. The transnationalization of anti-emigration was a direct response to the expansion of the pro-apartheid lobby in the years following Sharpeville. The CETIM campaign was an attempt to understand how white migration to South Africa worked around Europe. It was the realization that emigration to South Africa worked differently in different places and was facilitated by European governments and corporations. A national study of white migration could only tell a fraction of the story, and it could not paint a picture of the international structures of white migration, links to international capital, and its use of apartheid funded international organizations.</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i/>
          <w:sz w:val="24"/>
          <w:szCs w:val="24"/>
        </w:rPr>
      </w:pPr>
      <w:r w:rsidRPr="004246B0">
        <w:rPr>
          <w:rFonts w:ascii="Garamond" w:hAnsi="Garamond"/>
          <w:sz w:val="24"/>
          <w:szCs w:val="24"/>
        </w:rPr>
        <w:t xml:space="preserve">The mobile apartheid apparatus demanded collaboration and the formation of political solidarities between different national AAMs as a form of resistance. This would not have been possible without the presence of supra-national organizations to organize and communicate between the different national AAMs. So the World Council of Churches, CETIM and the UN were essential to the structuring and formation of solidarity relationships between the different AAMs over white migration.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Through documenting and commenting on the letters between different anti-apartheid figures over white migration, I have shown how the solidarities of transnational anti-emigration were comprised and formed in 1973-75. The correspondence between Rist, the national AAMs and supra-national organizations demonstrates that the transnational anti-emigration campaign worked through a dialogue between, and a balancing of, multiple activist positions. Motivating grassroots activism and appealing to various organizations and people involved balancing militant particularisms and universalisms, global and local imaginaries of anti-apartheid to produce a unified vision. It meant hard </w:t>
      </w:r>
      <w:r w:rsidRPr="004246B0">
        <w:rPr>
          <w:rFonts w:ascii="Garamond" w:hAnsi="Garamond"/>
          <w:sz w:val="24"/>
          <w:szCs w:val="24"/>
        </w:rPr>
        <w:lastRenderedPageBreak/>
        <w:t xml:space="preserve">work through communication, organization, and persuasion. Understanding the nature of these relationships is important because transnational anti-emigration represented a form of global antiracism. By looking at transnational anti-emigration we can see how antiracist identities are comprised of multiple geographical imaginations and subjectivities.  </w:t>
      </w:r>
    </w:p>
    <w:p w:rsidR="003F4A98" w:rsidRPr="004246B0" w:rsidRDefault="003F4A98" w:rsidP="003F4A98">
      <w:pPr>
        <w:autoSpaceDE w:val="0"/>
        <w:autoSpaceDN w:val="0"/>
        <w:adjustRightInd w:val="0"/>
        <w:spacing w:after="0" w:line="360" w:lineRule="auto"/>
        <w:jc w:val="both"/>
        <w:rPr>
          <w:rFonts w:ascii="Garamond" w:hAnsi="Garamond"/>
          <w:sz w:val="24"/>
          <w:szCs w:val="24"/>
        </w:rPr>
      </w:pPr>
    </w:p>
    <w:p w:rsidR="003F4A98" w:rsidRDefault="003F4A98" w:rsidP="00E90398">
      <w:pPr>
        <w:spacing w:after="0" w:line="360" w:lineRule="auto"/>
        <w:rPr>
          <w:rFonts w:ascii="Garamond" w:hAnsi="Garamond"/>
          <w:b/>
          <w:sz w:val="24"/>
          <w:szCs w:val="24"/>
        </w:rPr>
      </w:pPr>
      <w:r w:rsidRPr="004246B0">
        <w:rPr>
          <w:rFonts w:ascii="Garamond" w:hAnsi="Garamond"/>
          <w:b/>
          <w:sz w:val="24"/>
          <w:szCs w:val="24"/>
        </w:rPr>
        <w:t>Conclusions: The BOA, fear and white migration in the 'war of imagination'</w:t>
      </w:r>
    </w:p>
    <w:p w:rsidR="003F4A98" w:rsidRPr="001E0944" w:rsidRDefault="003F4A98" w:rsidP="00E90398">
      <w:pPr>
        <w:spacing w:after="0" w:line="360" w:lineRule="auto"/>
        <w:rPr>
          <w:rFonts w:ascii="Garamond" w:hAnsi="Garamond"/>
          <w:b/>
          <w:sz w:val="24"/>
          <w:szCs w:val="24"/>
        </w:rPr>
      </w:pPr>
    </w:p>
    <w:p w:rsidR="00E90398" w:rsidRDefault="003F4A98" w:rsidP="00E90398">
      <w:pPr>
        <w:spacing w:after="0" w:line="360" w:lineRule="auto"/>
        <w:ind w:left="284" w:right="284"/>
        <w:jc w:val="both"/>
        <w:rPr>
          <w:rFonts w:ascii="Garamond" w:hAnsi="Garamond" w:cs="AdvP46190F"/>
          <w:sz w:val="20"/>
          <w:szCs w:val="20"/>
        </w:rPr>
      </w:pPr>
      <w:r w:rsidRPr="004246B0">
        <w:rPr>
          <w:rFonts w:ascii="Garamond" w:hAnsi="Garamond" w:cs="AdvP46190F"/>
          <w:sz w:val="20"/>
          <w:szCs w:val="20"/>
        </w:rPr>
        <w:t>The imagination is no longer a matter of individual genius, escapism from ordinary life, or just a dimension of aesthetics. It is a faculty that informs the daily lives of ordinary people in myriad ways: It allows people to consider migration, resist state violence, seek social redress, and design new forms of civic association and collaboration, often across national</w:t>
      </w:r>
      <w:r>
        <w:rPr>
          <w:rFonts w:ascii="Garamond" w:hAnsi="Garamond" w:cs="AdvP46190F"/>
          <w:sz w:val="20"/>
          <w:szCs w:val="20"/>
        </w:rPr>
        <w:t xml:space="preserve"> boundaries.</w:t>
      </w:r>
      <w:r w:rsidRPr="004246B0">
        <w:rPr>
          <w:rFonts w:ascii="Garamond" w:hAnsi="Garamond" w:cs="AdvP46190F"/>
          <w:sz w:val="20"/>
          <w:szCs w:val="20"/>
        </w:rPr>
        <w:t xml:space="preserve"> </w:t>
      </w:r>
      <w:r>
        <w:rPr>
          <w:rFonts w:ascii="Garamond" w:hAnsi="Garamond" w:cs="AdvP46190F"/>
          <w:sz w:val="20"/>
          <w:szCs w:val="20"/>
        </w:rPr>
        <w:t xml:space="preserve">(Appadurai, </w:t>
      </w:r>
      <w:r w:rsidRPr="004246B0">
        <w:rPr>
          <w:rFonts w:ascii="Garamond" w:hAnsi="Garamond" w:cs="AdvP46190F"/>
          <w:sz w:val="20"/>
          <w:szCs w:val="20"/>
        </w:rPr>
        <w:t>2000: 6)</w:t>
      </w:r>
    </w:p>
    <w:p w:rsidR="003F4A98" w:rsidRPr="00E90398" w:rsidRDefault="003F4A98" w:rsidP="00E90398">
      <w:pPr>
        <w:spacing w:after="0" w:line="360" w:lineRule="auto"/>
        <w:ind w:left="284" w:right="284"/>
        <w:jc w:val="both"/>
        <w:rPr>
          <w:rFonts w:ascii="Garamond" w:hAnsi="Garamond"/>
          <w:b/>
          <w:sz w:val="28"/>
          <w:szCs w:val="28"/>
        </w:rPr>
      </w:pPr>
    </w:p>
    <w:p w:rsidR="00E90398" w:rsidRDefault="003F4A98" w:rsidP="00E90398">
      <w:pPr>
        <w:spacing w:after="0" w:line="360" w:lineRule="auto"/>
        <w:jc w:val="both"/>
        <w:rPr>
          <w:rFonts w:ascii="Garamond" w:hAnsi="Garamond"/>
          <w:sz w:val="24"/>
          <w:szCs w:val="24"/>
        </w:rPr>
      </w:pPr>
      <w:r w:rsidRPr="004246B0">
        <w:rPr>
          <w:rFonts w:ascii="Garamond" w:hAnsi="Garamond"/>
          <w:sz w:val="24"/>
          <w:szCs w:val="24"/>
        </w:rPr>
        <w:t>In "Disjuncture and Difference in the Global Cultural Economy", Arjun Appadurai delineated five types of 'scapes' through which "current global flows occur" (1990: 327).</w:t>
      </w:r>
      <w:r w:rsidRPr="004246B0">
        <w:rPr>
          <w:rStyle w:val="FootnoteReference"/>
          <w:rFonts w:ascii="Garamond" w:hAnsi="Garamond"/>
          <w:sz w:val="24"/>
          <w:szCs w:val="24"/>
        </w:rPr>
        <w:footnoteReference w:id="233"/>
      </w:r>
      <w:r w:rsidRPr="004246B0">
        <w:rPr>
          <w:rFonts w:ascii="Garamond" w:hAnsi="Garamond"/>
          <w:sz w:val="24"/>
          <w:szCs w:val="24"/>
        </w:rPr>
        <w:t xml:space="preserve">  According to Appadurai, the "perspectival constructs" around mobile people, machinery, money, images and ideas form the building blocks of the imagined worlds endemic to situated survival and existence for societies operating in the globalized twentieth century. While the notions of these separate spheres is now somewhat outdated, what they usefully highlight is the contradictory imaginations of place (as relational or territorialized) that nation states in a globalized world produce. For example, apartheid South Africa produced imaginaries of openness, prosperity, wealth, profit and stability across 'financescapes' and 'ethnoscapes' in order to secure global investment and white immigration. And yet white South Africa also produced imaginaries of black insurgency, criminality and terrorism. And imaginaries of Communism and of hyper-vigilance across heavily censored 'mediascapes' and 'ideoscapes', to justify its racial politics and its racist transnational migration policy. The former produced imaginaries of a modern, interconnected, relational sense of place, and the latter produced a defensive interpretation of South Africa; close</w:t>
      </w:r>
      <w:r w:rsidR="00E90398">
        <w:rPr>
          <w:rFonts w:ascii="Garamond" w:hAnsi="Garamond"/>
          <w:sz w:val="24"/>
          <w:szCs w:val="24"/>
        </w:rPr>
        <w:t>d, resolute and fundamentalist.</w:t>
      </w:r>
    </w:p>
    <w:p w:rsidR="00E90398" w:rsidRDefault="00E90398" w:rsidP="00E90398">
      <w:pPr>
        <w:spacing w:after="0" w:line="360" w:lineRule="auto"/>
        <w:jc w:val="both"/>
        <w:rPr>
          <w:rFonts w:ascii="Garamond" w:hAnsi="Garamond"/>
          <w:sz w:val="24"/>
          <w:szCs w:val="24"/>
        </w:rPr>
      </w:pPr>
    </w:p>
    <w:p w:rsidR="00B66F92" w:rsidRDefault="003F4A98" w:rsidP="00E90398">
      <w:pPr>
        <w:spacing w:after="0" w:line="360" w:lineRule="auto"/>
        <w:jc w:val="both"/>
        <w:rPr>
          <w:rFonts w:ascii="Garamond" w:hAnsi="Garamond"/>
          <w:sz w:val="24"/>
          <w:szCs w:val="24"/>
        </w:rPr>
      </w:pPr>
      <w:r w:rsidRPr="004246B0">
        <w:rPr>
          <w:rFonts w:ascii="Garamond" w:hAnsi="Garamond"/>
          <w:sz w:val="24"/>
          <w:szCs w:val="24"/>
        </w:rPr>
        <w:t xml:space="preserve">The South African state saw white migration as a key to solving the apartheid conundrum of continued economic growth </w:t>
      </w:r>
      <w:r w:rsidRPr="004246B0">
        <w:rPr>
          <w:rFonts w:ascii="Garamond" w:hAnsi="Garamond"/>
          <w:i/>
          <w:sz w:val="24"/>
          <w:szCs w:val="24"/>
        </w:rPr>
        <w:t xml:space="preserve">while simultaneously </w:t>
      </w:r>
      <w:r w:rsidRPr="004246B0">
        <w:rPr>
          <w:rFonts w:ascii="Garamond" w:hAnsi="Garamond"/>
          <w:sz w:val="24"/>
          <w:szCs w:val="24"/>
        </w:rPr>
        <w:t xml:space="preserve">racially segregating work and domestic places and denying black populations economic and social capital. </w:t>
      </w:r>
      <w:r w:rsidRPr="004246B0">
        <w:rPr>
          <w:rFonts w:ascii="Garamond" w:hAnsi="Garamond"/>
          <w:i/>
          <w:sz w:val="24"/>
          <w:szCs w:val="24"/>
        </w:rPr>
        <w:t xml:space="preserve"> </w:t>
      </w:r>
      <w:r w:rsidRPr="004246B0">
        <w:rPr>
          <w:rFonts w:ascii="Garamond" w:hAnsi="Garamond"/>
          <w:sz w:val="24"/>
          <w:szCs w:val="24"/>
        </w:rPr>
        <w:t xml:space="preserve">White migrants also offered safety in numbers against the perceived swell in the black </w:t>
      </w:r>
      <w:r w:rsidRPr="004246B0">
        <w:rPr>
          <w:rFonts w:ascii="Garamond" w:hAnsi="Garamond"/>
          <w:sz w:val="24"/>
          <w:szCs w:val="24"/>
        </w:rPr>
        <w:lastRenderedPageBreak/>
        <w:t xml:space="preserve">population, and from 1948 onwards </w:t>
      </w:r>
      <w:r w:rsidRPr="004246B0">
        <w:rPr>
          <w:rFonts w:ascii="Garamond" w:hAnsi="Garamond"/>
          <w:i/>
          <w:sz w:val="24"/>
          <w:szCs w:val="24"/>
        </w:rPr>
        <w:t xml:space="preserve">die swart gevaar </w:t>
      </w:r>
      <w:r w:rsidRPr="004246B0">
        <w:rPr>
          <w:rFonts w:ascii="Garamond" w:hAnsi="Garamond"/>
          <w:sz w:val="24"/>
          <w:szCs w:val="24"/>
        </w:rPr>
        <w:t>(the black menace),</w:t>
      </w:r>
      <w:r w:rsidRPr="004246B0">
        <w:rPr>
          <w:rFonts w:ascii="Garamond" w:hAnsi="Garamond"/>
          <w:i/>
          <w:sz w:val="24"/>
          <w:szCs w:val="24"/>
        </w:rPr>
        <w:t xml:space="preserve"> </w:t>
      </w:r>
      <w:r w:rsidRPr="004246B0">
        <w:rPr>
          <w:rFonts w:ascii="Garamond" w:hAnsi="Garamond"/>
          <w:sz w:val="24"/>
          <w:szCs w:val="24"/>
        </w:rPr>
        <w:t xml:space="preserve">in its many fear-inducing guises, became an iconic tool for social engineering. Posel (2011) shows that </w:t>
      </w:r>
      <w:r w:rsidRPr="004246B0">
        <w:rPr>
          <w:rFonts w:ascii="Garamond" w:hAnsi="Garamond"/>
          <w:i/>
          <w:sz w:val="24"/>
          <w:szCs w:val="24"/>
        </w:rPr>
        <w:t xml:space="preserve">die swart gevaar </w:t>
      </w:r>
      <w:r w:rsidRPr="004246B0">
        <w:rPr>
          <w:rFonts w:ascii="Garamond" w:hAnsi="Garamond"/>
          <w:sz w:val="24"/>
          <w:szCs w:val="24"/>
        </w:rPr>
        <w:t>was a construct particular to the apartheid project between 1948 and 1994, but as a performative imaginative geography, its efficacy and its ease of acceptability into Western circuits of consumption and diplomacy</w:t>
      </w:r>
      <w:r w:rsidRPr="004246B0">
        <w:rPr>
          <w:rStyle w:val="FootnoteReference"/>
          <w:rFonts w:ascii="Garamond" w:hAnsi="Garamond"/>
          <w:sz w:val="24"/>
          <w:szCs w:val="24"/>
        </w:rPr>
        <w:footnoteReference w:id="234"/>
      </w:r>
      <w:r w:rsidRPr="004246B0">
        <w:rPr>
          <w:rFonts w:ascii="Garamond" w:hAnsi="Garamond"/>
          <w:sz w:val="24"/>
          <w:szCs w:val="24"/>
        </w:rPr>
        <w:t xml:space="preserve"> derived from the more u</w:t>
      </w:r>
      <w:r>
        <w:rPr>
          <w:rFonts w:ascii="Garamond" w:hAnsi="Garamond"/>
          <w:sz w:val="24"/>
          <w:szCs w:val="24"/>
        </w:rPr>
        <w:t>niversal workings of racism</w:t>
      </w:r>
      <w:r w:rsidRPr="004246B0">
        <w:rPr>
          <w:rFonts w:ascii="Garamond" w:hAnsi="Garamond"/>
          <w:sz w:val="24"/>
          <w:szCs w:val="24"/>
        </w:rPr>
        <w:t xml:space="preserve">. Entrenched opinions of white places representing truth and rationality, and black conurbations as othered places of violence and insecurity, have informed </w:t>
      </w:r>
      <w:r>
        <w:rPr>
          <w:rFonts w:ascii="Garamond" w:hAnsi="Garamond"/>
          <w:sz w:val="24"/>
          <w:szCs w:val="24"/>
        </w:rPr>
        <w:t>viol</w:t>
      </w:r>
      <w:r w:rsidRPr="004246B0">
        <w:rPr>
          <w:rFonts w:ascii="Garamond" w:hAnsi="Garamond"/>
          <w:sz w:val="24"/>
          <w:szCs w:val="24"/>
        </w:rPr>
        <w:t>ent geopolitical imaginaries for centuries. Political geographer Simon Springer writes:</w:t>
      </w:r>
    </w:p>
    <w:p w:rsidR="003F4A98" w:rsidRPr="004246B0" w:rsidRDefault="003F4A98" w:rsidP="00E90398">
      <w:pPr>
        <w:spacing w:after="0" w:line="360" w:lineRule="auto"/>
        <w:jc w:val="both"/>
        <w:rPr>
          <w:rFonts w:ascii="Garamond" w:hAnsi="Garamond"/>
          <w:sz w:val="24"/>
          <w:szCs w:val="24"/>
        </w:rPr>
      </w:pPr>
    </w:p>
    <w:p w:rsidR="003F4A98" w:rsidRPr="004246B0" w:rsidRDefault="003F4A98" w:rsidP="00B66F92">
      <w:pPr>
        <w:autoSpaceDE w:val="0"/>
        <w:autoSpaceDN w:val="0"/>
        <w:adjustRightInd w:val="0"/>
        <w:spacing w:after="0" w:line="360" w:lineRule="auto"/>
        <w:ind w:left="284" w:right="284"/>
        <w:jc w:val="both"/>
        <w:rPr>
          <w:rFonts w:ascii="Garamond" w:hAnsi="Garamond"/>
          <w:color w:val="000000"/>
        </w:rPr>
      </w:pPr>
      <w:r w:rsidRPr="004246B0">
        <w:rPr>
          <w:rFonts w:ascii="Garamond" w:hAnsi="Garamond"/>
          <w:color w:val="000000"/>
        </w:rPr>
        <w:t>So if violence is said to be the ‘truth’ of a particular culture, and ipso facto the places in which that culture sits, then power decorates this truth by ensuring its ongoing recapitulation in the virulent imaginative geographies it has created. In a very real sense then, violent geographies are often (re)produced and sustained by a cruel and violent Orientalism</w:t>
      </w:r>
      <w:r>
        <w:rPr>
          <w:rFonts w:ascii="Garamond" w:hAnsi="Garamond"/>
          <w:color w:val="000000"/>
        </w:rPr>
        <w:t>. (2011: 94)</w:t>
      </w:r>
    </w:p>
    <w:p w:rsidR="003F4A98" w:rsidRPr="004246B0" w:rsidRDefault="003F4A98"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White migration buttressed the white polity against insecurities over the "sprawling black mass - disaffected, restless and increasingly militant - threatening to swamp the white minority and contaminate its racial purity" (Posel, 2011: 323).  White migration also shared out a piece of the apartheid pie to global interests, so that they too would become complicit in the specific reproduction of apartheid geographies. Through the construction and performance of migrant imaginaries, apartheid racisms entered European cultures of circulation. White migrants to South Africa literally signed a social contract that helped bind the racial imaginaries of apartheid to transnational cultures of circulation and exchange, to circuits of money, information, people and commodities (LiPuma </w:t>
      </w:r>
      <w:r w:rsidR="00F152DB">
        <w:rPr>
          <w:rFonts w:ascii="Garamond" w:hAnsi="Garamond"/>
          <w:sz w:val="24"/>
          <w:szCs w:val="24"/>
        </w:rPr>
        <w:t>and</w:t>
      </w:r>
      <w:r w:rsidRPr="004246B0">
        <w:rPr>
          <w:rFonts w:ascii="Garamond" w:hAnsi="Garamond"/>
          <w:sz w:val="24"/>
          <w:szCs w:val="24"/>
        </w:rPr>
        <w:t xml:space="preserve"> Lee, 2002; Crang et al., 2003, Werry, 2005). </w:t>
      </w:r>
    </w:p>
    <w:p w:rsidR="003F4A98" w:rsidRPr="004246B0" w:rsidRDefault="003F4A98"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At its most basic form as sets of push and pull factors, migration-in-becoming is about geographical imaginations. In order to successfully migrate, potential migrants must be sold imaginations and the 'common-sense' rationalities of a new place to alter expectations, to emote human desires and wants which are hitherto unfulfilled. Selling geographical imaginations is at once representational, performative and social (Harvey, 2005) - as Benedict Anderson (1991) demonstrates on the national scale, it encourages the process of making sensible one's place in new communities. And crucial to this </w:t>
      </w:r>
      <w:r w:rsidRPr="004246B0">
        <w:rPr>
          <w:rFonts w:ascii="Garamond" w:hAnsi="Garamond"/>
          <w:sz w:val="24"/>
          <w:szCs w:val="24"/>
        </w:rPr>
        <w:lastRenderedPageBreak/>
        <w:t xml:space="preserve">process are migrant imaginations of their role in a new society, of new home-making, of potential for hospitality and homeliness. In </w:t>
      </w:r>
      <w:r w:rsidRPr="004246B0">
        <w:rPr>
          <w:rFonts w:ascii="Garamond" w:hAnsi="Garamond"/>
          <w:i/>
          <w:sz w:val="24"/>
          <w:szCs w:val="24"/>
        </w:rPr>
        <w:t>the war of representation</w:t>
      </w:r>
      <w:r w:rsidRPr="004246B0">
        <w:rPr>
          <w:rFonts w:ascii="Garamond" w:hAnsi="Garamond"/>
          <w:sz w:val="24"/>
          <w:szCs w:val="24"/>
        </w:rPr>
        <w:t xml:space="preserve"> I showed that the transnational pro-apartheid network targeted economically deprived skilled workers in Europe, and offered them the chance to take national pride in South Africa's modernization process. I have evidenced how these apartheid agencies sought legitimacy through advertising in quasi-academic publications, and through endorsement from the wealthy and famous.  I have traced out how white migration was used to displace the brutalities of Sharpeville and ratify 'positive' common-sense knowledges about South Africa. These knowledges, I argued, fed into global imaginaries (and capital) to create a more benevolent and marketable version</w:t>
      </w:r>
      <w:r w:rsidR="00B66F92">
        <w:rPr>
          <w:rFonts w:ascii="Garamond" w:hAnsi="Garamond"/>
          <w:sz w:val="24"/>
          <w:szCs w:val="24"/>
        </w:rPr>
        <w:t xml:space="preserve"> of South African whiteness.</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As a form of proxy warfare between the liberation movements and the apartheid state, I have evidenced that white migration to South Africa became a battle over imagination fought across all of Appadurai's 'scapes': across ethnoscapes (constitution and performance of mobile whiteness), technoscapes (mobile white labour and multinationals), financescapes (capitalist investment in South Africa), mediascapes (in the production of images and journalism) and ideoscapes (the production of knowledge). This chapter demonstrates that the globalization of white geographical imaginations of South Africa was integral to apartheid statecraft, and the content of these imaginary worlds became the fierce terrain over which apartheid was contested outside of the Republic during the 1970s. It also shows that the production of contradictory South African imaginaries in th</w:t>
      </w:r>
      <w:r w:rsidR="002706A8">
        <w:rPr>
          <w:rFonts w:ascii="Garamond" w:hAnsi="Garamond"/>
          <w:sz w:val="24"/>
          <w:szCs w:val="24"/>
        </w:rPr>
        <w:t>e media, by governments, by AAM</w:t>
      </w:r>
      <w:r w:rsidRPr="004246B0">
        <w:rPr>
          <w:rFonts w:ascii="Garamond" w:hAnsi="Garamond"/>
          <w:sz w:val="24"/>
          <w:szCs w:val="24"/>
        </w:rPr>
        <w:t xml:space="preserve">s, extends Sanders '(2000) apartheid 'war of representation' to a war of imagination. </w:t>
      </w:r>
    </w:p>
    <w:p w:rsidR="003F4A98" w:rsidRPr="004246B0" w:rsidRDefault="003F4A98"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This seemingly small shift of focus from representation to imagination is of crucial importance to understanding how anti-apartheid movements and the anti-migration campaigns of the 1970s worked. Imaginations are a protean element of 'being'; they belong to people and project into the future; they form the stuff of dreams, and the affective bonds of societies, markets and capital. Writing on South Pacific tourist imaginaries, Margaret Werry suggests that </w:t>
      </w:r>
      <w:r w:rsidRPr="004246B0">
        <w:rPr>
          <w:rFonts w:ascii="Garamond" w:eastAsia="Times New Roman" w:hAnsi="Garamond"/>
          <w:sz w:val="24"/>
          <w:szCs w:val="24"/>
        </w:rPr>
        <w:t>"imagination is the crucial term in this critical, and political, turn from representation to performativity" (2005: 257)</w:t>
      </w:r>
      <w:r w:rsidRPr="004246B0">
        <w:rPr>
          <w:rFonts w:ascii="Garamond" w:hAnsi="Garamond"/>
          <w:sz w:val="24"/>
          <w:szCs w:val="24"/>
        </w:rPr>
        <w:t xml:space="preserve">. So, imaginations of places and identities are realized through their performative recitation and re-signification (Nash, 2000; </w:t>
      </w:r>
      <w:r>
        <w:rPr>
          <w:rFonts w:ascii="Garamond" w:hAnsi="Garamond"/>
          <w:sz w:val="24"/>
          <w:szCs w:val="24"/>
        </w:rPr>
        <w:t xml:space="preserve">Bialasiewicz et </w:t>
      </w:r>
      <w:r w:rsidRPr="004246B0">
        <w:rPr>
          <w:rFonts w:ascii="Garamond" w:hAnsi="Garamond"/>
          <w:sz w:val="24"/>
          <w:szCs w:val="24"/>
        </w:rPr>
        <w:t>al</w:t>
      </w:r>
      <w:r>
        <w:rPr>
          <w:rFonts w:ascii="Garamond" w:hAnsi="Garamond"/>
          <w:sz w:val="24"/>
          <w:szCs w:val="24"/>
        </w:rPr>
        <w:t>.</w:t>
      </w:r>
      <w:r w:rsidRPr="004246B0">
        <w:rPr>
          <w:rFonts w:ascii="Garamond" w:hAnsi="Garamond"/>
          <w:sz w:val="24"/>
          <w:szCs w:val="24"/>
        </w:rPr>
        <w:t xml:space="preserve">, 2007). </w:t>
      </w:r>
      <w:r w:rsidRPr="004246B0">
        <w:rPr>
          <w:rStyle w:val="FootnoteReference"/>
          <w:rFonts w:ascii="Garamond" w:hAnsi="Garamond"/>
          <w:sz w:val="24"/>
          <w:szCs w:val="24"/>
        </w:rPr>
        <w:footnoteReference w:id="235"/>
      </w:r>
      <w:r w:rsidRPr="004246B0">
        <w:rPr>
          <w:rFonts w:ascii="Garamond" w:hAnsi="Garamond"/>
          <w:sz w:val="24"/>
          <w:szCs w:val="24"/>
        </w:rPr>
        <w:t xml:space="preserve"> Geographical imaginations of South Africa as a migrant destination fed into a normative whiteness that, as I have argued, was policed in </w:t>
      </w:r>
      <w:r w:rsidRPr="004246B0">
        <w:rPr>
          <w:rFonts w:ascii="Garamond" w:hAnsi="Garamond"/>
          <w:sz w:val="24"/>
          <w:szCs w:val="24"/>
        </w:rPr>
        <w:lastRenderedPageBreak/>
        <w:t>South Africa by 'assimilation aiding' families and through accepted cultural understandings of how whiteness should be acted out.  Whiteness was a collective imagined condition, made 'real' through actions, and measured through 'reading' performances:</w:t>
      </w:r>
    </w:p>
    <w:p w:rsidR="003F4A98" w:rsidRPr="004246B0" w:rsidRDefault="003F4A98" w:rsidP="00B66F92">
      <w:pPr>
        <w:spacing w:after="0" w:line="360" w:lineRule="auto"/>
        <w:jc w:val="both"/>
        <w:rPr>
          <w:rFonts w:ascii="Garamond" w:hAnsi="Garamond"/>
          <w:sz w:val="24"/>
          <w:szCs w:val="24"/>
        </w:rPr>
      </w:pPr>
    </w:p>
    <w:p w:rsidR="00B66F92" w:rsidRDefault="003F4A98" w:rsidP="00B66F92">
      <w:pPr>
        <w:spacing w:after="0" w:line="360" w:lineRule="auto"/>
        <w:ind w:left="284" w:right="284"/>
        <w:jc w:val="both"/>
        <w:rPr>
          <w:rFonts w:ascii="Garamond" w:hAnsi="Garamond"/>
        </w:rPr>
      </w:pPr>
      <w:r w:rsidRPr="004246B0">
        <w:rPr>
          <w:rFonts w:ascii="Garamond" w:hAnsi="Garamond"/>
        </w:rPr>
        <w:t>Ordinary white people - without any particular expertise or training - were considered appropriate judges of another's race, purely on the basis of everyday experiences, Did the person act, and look, like one widely 'known' to be a</w:t>
      </w:r>
      <w:r>
        <w:rPr>
          <w:rFonts w:ascii="Garamond" w:hAnsi="Garamond"/>
        </w:rPr>
        <w:t xml:space="preserve"> member of one race or another?</w:t>
      </w:r>
      <w:r w:rsidRPr="004246B0">
        <w:rPr>
          <w:rFonts w:ascii="Garamond" w:hAnsi="Garamond"/>
        </w:rPr>
        <w:t xml:space="preserve"> (Posel, 2011: 33)</w:t>
      </w:r>
      <w:r w:rsidRPr="004246B0">
        <w:rPr>
          <w:rStyle w:val="FootnoteReference"/>
          <w:rFonts w:ascii="Garamond" w:hAnsi="Garamond"/>
        </w:rPr>
        <w:footnoteReference w:id="236"/>
      </w:r>
    </w:p>
    <w:p w:rsidR="003F4A98" w:rsidRPr="004246B0" w:rsidRDefault="003F4A98" w:rsidP="00B66F92">
      <w:pPr>
        <w:spacing w:after="0" w:line="360" w:lineRule="auto"/>
        <w:ind w:left="284" w:right="284"/>
        <w:jc w:val="both"/>
        <w:rPr>
          <w:rFonts w:ascii="Garamond" w:hAnsi="Garamond"/>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Influenced by street theatre, performance arts and the Situationists, anti-apartheid movements across Europe during the early 1970s, increasingly took to performative modes of activism</w:t>
      </w:r>
      <w:r>
        <w:rPr>
          <w:rFonts w:ascii="Garamond" w:hAnsi="Garamond"/>
          <w:sz w:val="24"/>
          <w:szCs w:val="24"/>
        </w:rPr>
        <w:t xml:space="preserve"> (Thörn, 2007</w:t>
      </w:r>
      <w:r w:rsidRPr="004246B0">
        <w:rPr>
          <w:rFonts w:ascii="Garamond" w:hAnsi="Garamond"/>
          <w:sz w:val="24"/>
          <w:szCs w:val="24"/>
        </w:rPr>
        <w:t>). This wasn't simply a case of staging performances, but also entailed a reflexive understanding of performativity. To illustrate this, Håkan Thörn quotes from an interview with Ethel de Keyser, executive secretary of the British AAM during the 1960s:</w:t>
      </w:r>
    </w:p>
    <w:p w:rsidR="003F4A98" w:rsidRPr="004246B0" w:rsidRDefault="003F4A98" w:rsidP="00B66F92">
      <w:pPr>
        <w:spacing w:after="0" w:line="360" w:lineRule="auto"/>
        <w:jc w:val="both"/>
        <w:rPr>
          <w:rFonts w:ascii="Garamond" w:hAnsi="Garamond"/>
          <w:sz w:val="24"/>
          <w:szCs w:val="24"/>
        </w:rPr>
      </w:pPr>
    </w:p>
    <w:p w:rsidR="003F4A98" w:rsidRPr="004246B0" w:rsidRDefault="003F4A98" w:rsidP="00B66F92">
      <w:pPr>
        <w:autoSpaceDE w:val="0"/>
        <w:autoSpaceDN w:val="0"/>
        <w:adjustRightInd w:val="0"/>
        <w:spacing w:after="0" w:line="360" w:lineRule="auto"/>
        <w:ind w:left="284" w:right="284"/>
        <w:jc w:val="both"/>
        <w:rPr>
          <w:rFonts w:ascii="Garamond" w:hAnsi="Garamond"/>
        </w:rPr>
      </w:pPr>
      <w:r w:rsidRPr="004246B0">
        <w:rPr>
          <w:rFonts w:ascii="Garamond" w:hAnsi="Garamond" w:cs="StoneSerif"/>
        </w:rPr>
        <w:t xml:space="preserve">I think our main thrust was to try, if we demonstrated, to do it imaginatively, to think about the visual impact, which was quite new for us… We thought of </w:t>
      </w:r>
      <w:r w:rsidRPr="004246B0">
        <w:rPr>
          <w:rFonts w:ascii="Garamond" w:hAnsi="Garamond" w:cs="StoneSerif-Italic"/>
          <w:i/>
          <w:iCs/>
        </w:rPr>
        <w:t xml:space="preserve">how </w:t>
      </w:r>
      <w:r w:rsidRPr="004246B0">
        <w:rPr>
          <w:rFonts w:ascii="Garamond" w:hAnsi="Garamond" w:cs="StoneSerif"/>
        </w:rPr>
        <w:t xml:space="preserve">do to things, not just of </w:t>
      </w:r>
      <w:r w:rsidRPr="004246B0">
        <w:rPr>
          <w:rFonts w:ascii="Garamond" w:hAnsi="Garamond" w:cs="StoneSerif-Italic"/>
          <w:i/>
          <w:iCs/>
        </w:rPr>
        <w:t xml:space="preserve">what </w:t>
      </w:r>
      <w:r w:rsidRPr="004246B0">
        <w:rPr>
          <w:rFonts w:ascii="Garamond" w:hAnsi="Garamond" w:cs="StoneSerif"/>
        </w:rPr>
        <w:t xml:space="preserve">to do, and that became quite important during my time. So it was a question of </w:t>
      </w:r>
      <w:r w:rsidRPr="004246B0">
        <w:rPr>
          <w:rFonts w:ascii="Garamond" w:hAnsi="Garamond" w:cs="StoneSerif-Italic"/>
          <w:i/>
          <w:iCs/>
        </w:rPr>
        <w:t xml:space="preserve">how </w:t>
      </w:r>
      <w:r w:rsidRPr="004246B0">
        <w:rPr>
          <w:rFonts w:ascii="Garamond" w:hAnsi="Garamond" w:cs="StoneSerif"/>
        </w:rPr>
        <w:t>you looked, whether you stood outside South Africa house,</w:t>
      </w:r>
      <w:r>
        <w:rPr>
          <w:rFonts w:ascii="Garamond" w:hAnsi="Garamond" w:cs="StoneSerif"/>
        </w:rPr>
        <w:t xml:space="preserve"> you stood in a particular way. </w:t>
      </w:r>
      <w:r w:rsidRPr="004246B0">
        <w:rPr>
          <w:rFonts w:ascii="Garamond" w:hAnsi="Garamond" w:cs="StoneSerif"/>
        </w:rPr>
        <w:t xml:space="preserve">(de Keyser in </w:t>
      </w:r>
      <w:r>
        <w:rPr>
          <w:rFonts w:ascii="Garamond" w:hAnsi="Garamond"/>
        </w:rPr>
        <w:t>Thörn, 2006: 117)</w:t>
      </w:r>
    </w:p>
    <w:p w:rsidR="003F4A98" w:rsidRPr="004246B0" w:rsidRDefault="003F4A98" w:rsidP="00B66F92">
      <w:pPr>
        <w:autoSpaceDE w:val="0"/>
        <w:autoSpaceDN w:val="0"/>
        <w:adjustRightInd w:val="0"/>
        <w:spacing w:after="0" w:line="240" w:lineRule="auto"/>
        <w:rPr>
          <w:rFonts w:ascii="Garamond" w:hAnsi="Garamond" w:cs="StoneSerif"/>
          <w:sz w:val="18"/>
          <w:szCs w:val="18"/>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Questions of how you looked, how you comported, what you did and didn't say and when you said it were vital to the BOA's activisms from the Outspan boycott onwards. </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For the BOA, combating white migration was more than a matter of (re)presentation (although creating mediated versions of South Africa was key to countering white imaginaries); anti-emigration was performed with a great deal of reflexivity and foresight, and with attention to affect and </w:t>
      </w:r>
      <w:r w:rsidRPr="004246B0">
        <w:rPr>
          <w:rFonts w:ascii="Garamond" w:hAnsi="Garamond"/>
          <w:bCs/>
          <w:color w:val="000000"/>
          <w:sz w:val="24"/>
          <w:szCs w:val="24"/>
          <w:shd w:val="clear" w:color="auto" w:fill="FFFFFF"/>
        </w:rPr>
        <w:t>détournement</w:t>
      </w:r>
      <w:r w:rsidRPr="004246B0">
        <w:rPr>
          <w:rFonts w:ascii="Garamond" w:hAnsi="Garamond"/>
          <w:sz w:val="24"/>
          <w:szCs w:val="24"/>
        </w:rPr>
        <w:t xml:space="preserve">. In </w:t>
      </w:r>
      <w:r w:rsidRPr="004246B0">
        <w:rPr>
          <w:rFonts w:ascii="Garamond" w:hAnsi="Garamond"/>
          <w:i/>
          <w:sz w:val="24"/>
          <w:szCs w:val="24"/>
        </w:rPr>
        <w:t>dismantling the racial assemblages of white migration</w:t>
      </w:r>
      <w:r w:rsidRPr="004246B0">
        <w:rPr>
          <w:rFonts w:ascii="Garamond" w:hAnsi="Garamond"/>
          <w:sz w:val="24"/>
          <w:szCs w:val="24"/>
        </w:rPr>
        <w:t xml:space="preserve">, I showed how the BOA took great care in the staging of their national anti-emigration campaign so as to create an anti-apartheid narrative that would deliver maximum impact across print, television and radio platforms. The timing of each action, and the release of each piece of information, had to be precise. Events outside the South </w:t>
      </w:r>
      <w:r w:rsidRPr="004246B0">
        <w:rPr>
          <w:rFonts w:ascii="Garamond" w:hAnsi="Garamond"/>
          <w:sz w:val="24"/>
          <w:szCs w:val="24"/>
        </w:rPr>
        <w:lastRenderedPageBreak/>
        <w:t xml:space="preserve">African embassy in The Hague on 19/20th March 1975 unfolded synchronously; the embassy gates were locked at 3AM, three law students were handcuffed to the embassy before dawn, journalists had their curiosity aroused but kept their promise of discretion, police were co-opted and photograph opportunities were created. The question and answer booklets, the transnational publication of </w:t>
      </w:r>
      <w:r w:rsidRPr="004246B0">
        <w:rPr>
          <w:rFonts w:ascii="Garamond" w:hAnsi="Garamond"/>
          <w:i/>
          <w:sz w:val="24"/>
          <w:szCs w:val="24"/>
        </w:rPr>
        <w:t>White Migration</w:t>
      </w:r>
      <w:r w:rsidRPr="004246B0">
        <w:rPr>
          <w:rFonts w:ascii="Garamond" w:hAnsi="Garamond"/>
          <w:sz w:val="24"/>
          <w:szCs w:val="24"/>
        </w:rPr>
        <w:t xml:space="preserve"> and other activist materials and arguments were ready for the Nieuwspoort press conference, where du Plessis and Ben van Kaam answered questions of their own making (over issues that they had stoked up in the press over the previous week). Journalists were given the best part of a day to pen stories surrounding the BOA's demand that the Dutch government cease facilitating white migration to South Africa. The BOA turned the reflection and mourning of the 15th anniversary of Sharpeville into a </w:t>
      </w:r>
      <w:r w:rsidR="00B66F92">
        <w:rPr>
          <w:rFonts w:ascii="Garamond" w:hAnsi="Garamond"/>
          <w:sz w:val="24"/>
          <w:szCs w:val="24"/>
        </w:rPr>
        <w:t>day of current news and action.</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Regional and national newspapers carried the image of a policeman pointing at the BOA's anti-emigration sign and phone number on the South African embassy gates. As I have shown, several papers ran with substantial articles based on the information from the transnational publication of </w:t>
      </w:r>
      <w:r w:rsidRPr="004246B0">
        <w:rPr>
          <w:rFonts w:ascii="Garamond" w:hAnsi="Garamond"/>
          <w:i/>
          <w:sz w:val="24"/>
          <w:szCs w:val="24"/>
        </w:rPr>
        <w:t xml:space="preserve">White Migration </w:t>
      </w:r>
      <w:r w:rsidRPr="004246B0">
        <w:rPr>
          <w:rFonts w:ascii="Garamond" w:hAnsi="Garamond"/>
          <w:sz w:val="24"/>
          <w:szCs w:val="24"/>
        </w:rPr>
        <w:t xml:space="preserve">and the Dutch pamphlet, </w:t>
      </w:r>
      <w:r w:rsidRPr="004246B0">
        <w:rPr>
          <w:rFonts w:ascii="Garamond" w:hAnsi="Garamond"/>
          <w:i/>
          <w:sz w:val="24"/>
          <w:szCs w:val="24"/>
        </w:rPr>
        <w:t xml:space="preserve">Emigration to South Africa: is it in your best interests. </w:t>
      </w:r>
      <w:r w:rsidRPr="004246B0">
        <w:rPr>
          <w:rFonts w:ascii="Garamond" w:hAnsi="Garamond"/>
          <w:sz w:val="24"/>
          <w:szCs w:val="24"/>
        </w:rPr>
        <w:t>The mediated intervention gave potential migrants the chance to reach the BOA through speaking to 'black South Africa', on their migration hotline. But even this connection to the potential migrant was designed for affect. It showed the Dutch public that the BOA represented black South Africa, and that they would confront any Dutch who supported white South Africa.</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A well-documented element of the shift from using existing media channels to protest simulacra and performative anti-apartheid activism of the 1970s was the development of activist identity politics.</w:t>
      </w:r>
      <w:r w:rsidRPr="004246B0">
        <w:rPr>
          <w:rStyle w:val="FootnoteReference"/>
          <w:rFonts w:ascii="Garamond" w:hAnsi="Garamond"/>
          <w:sz w:val="24"/>
          <w:szCs w:val="24"/>
        </w:rPr>
        <w:footnoteReference w:id="237"/>
      </w:r>
      <w:r w:rsidRPr="004246B0">
        <w:rPr>
          <w:rFonts w:ascii="Garamond" w:hAnsi="Garamond"/>
          <w:sz w:val="24"/>
          <w:szCs w:val="24"/>
        </w:rPr>
        <w:t xml:space="preserve"> I contest that a second aspect of this intensification of performance was the staging of counter-geographical imaginaries as a means to elicit particular reflexive and 'moral' emotions. Geographical imaginations, in the mind's eye of individuals and collective groups, provide the affective and emotional bonds between people and places (Anderson, 1991). Places are transformed by the 'poetic process' of imaginative geographies, by fabrications that convey meaning through emoting landscapes of desire, comfort, fantasy and anxiety (Gregory, 1995; Said, 2003; Springer, 2011). Emotions clearly have function and give these topologies meaning (Miller, 1998); </w:t>
      </w:r>
      <w:r w:rsidRPr="004246B0">
        <w:rPr>
          <w:rFonts w:ascii="Garamond" w:hAnsi="Garamond"/>
          <w:sz w:val="24"/>
          <w:szCs w:val="24"/>
        </w:rPr>
        <w:lastRenderedPageBreak/>
        <w:t xml:space="preserve">embodied, and place-based meanings that I have described elsewhere as topoi. Emotions were the live ammunition for the apartheid war of imagination. But they had to be handled with care. Too much emotion, or too little, as CETIM's Gilbert Rist wrote in his letters to Abdul Minty, could produce negative impacts. In short, emotions had to be managed in conflict:  </w:t>
      </w:r>
    </w:p>
    <w:p w:rsidR="003F4A98" w:rsidRPr="004246B0" w:rsidRDefault="003F4A98" w:rsidP="00B66F92">
      <w:pPr>
        <w:spacing w:after="0" w:line="360" w:lineRule="auto"/>
        <w:jc w:val="both"/>
        <w:rPr>
          <w:rFonts w:ascii="Garamond" w:hAnsi="Garamond"/>
          <w:sz w:val="24"/>
          <w:szCs w:val="24"/>
        </w:rPr>
      </w:pPr>
    </w:p>
    <w:p w:rsidR="003F4A98" w:rsidRPr="004246B0" w:rsidRDefault="003F4A98" w:rsidP="00B66F92">
      <w:pPr>
        <w:autoSpaceDE w:val="0"/>
        <w:autoSpaceDN w:val="0"/>
        <w:adjustRightInd w:val="0"/>
        <w:spacing w:after="0" w:line="360" w:lineRule="auto"/>
        <w:ind w:left="284" w:right="284"/>
        <w:jc w:val="both"/>
        <w:rPr>
          <w:rFonts w:ascii="Garamond" w:hAnsi="Garamond"/>
        </w:rPr>
      </w:pPr>
      <w:r w:rsidRPr="004246B0">
        <w:rPr>
          <w:rFonts w:ascii="Garamond" w:hAnsi="Garamond"/>
        </w:rPr>
        <w:t>There is asymmetry to emotional management in conflicts. Your opponents are trying to frighten your supporters; you must defuse their efforts. They are trying to goad you into a mistake made out of anger, and you are trying to do the same to them. Each side works to surprise the other with an unexpected move. There is thus an element of psychological warfare – or emotio</w:t>
      </w:r>
      <w:r>
        <w:rPr>
          <w:rFonts w:ascii="Garamond" w:hAnsi="Garamond"/>
        </w:rPr>
        <w:t>nal warfare – in many conflicts.</w:t>
      </w:r>
      <w:r w:rsidRPr="004246B0">
        <w:rPr>
          <w:rFonts w:ascii="Garamond" w:hAnsi="Garamond"/>
        </w:rPr>
        <w:t xml:space="preserve"> (Goodwi</w:t>
      </w:r>
      <w:r>
        <w:rPr>
          <w:rFonts w:ascii="Garamond" w:hAnsi="Garamond"/>
        </w:rPr>
        <w:t>n, Jasper, Polletta, 2002: 317)</w:t>
      </w:r>
    </w:p>
    <w:p w:rsidR="003F4A98" w:rsidRPr="004246B0" w:rsidRDefault="003F4A98"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So, imaginations can be co-opted, altered and corrupted through making people feel differently; by creating and managing emotions. This was where the BOA were particularly proficient. As a boycott organization with prior experience in destabilizing and hijacking transnational circuits of apartheid capitalism for anti-apartheid publicity, the BOA used </w:t>
      </w:r>
      <w:r w:rsidRPr="004246B0">
        <w:rPr>
          <w:rFonts w:ascii="Garamond" w:hAnsi="Garamond"/>
          <w:bCs/>
          <w:color w:val="000000"/>
          <w:sz w:val="24"/>
          <w:szCs w:val="24"/>
          <w:shd w:val="clear" w:color="auto" w:fill="FFFFFF"/>
        </w:rPr>
        <w:t>détournement</w:t>
      </w:r>
      <w:r w:rsidRPr="004246B0">
        <w:rPr>
          <w:rFonts w:ascii="Garamond" w:hAnsi="Garamond"/>
          <w:sz w:val="24"/>
          <w:szCs w:val="24"/>
        </w:rPr>
        <w:t xml:space="preserve"> in their blood-citrus bodywork to turn Outspan imaginaries into avatars of embodied apartheid violence and induce shock, horror and disgust. For anti-emigration they cultivated fear as a reflex emotion to corrupt white migrant imaginaries. The organization deployed signifiers of racial violence to unmake the white migrant home and workplace in South Africa. The use of fear, I believe, had multiple advantages for the BOA. </w:t>
      </w:r>
    </w:p>
    <w:p w:rsidR="003F4A98" w:rsidRPr="004246B0" w:rsidRDefault="003F4A98" w:rsidP="00B66F92">
      <w:pPr>
        <w:spacing w:after="0" w:line="360" w:lineRule="auto"/>
        <w:jc w:val="both"/>
        <w:rPr>
          <w:rFonts w:ascii="Garamond" w:hAnsi="Garamond"/>
          <w:sz w:val="24"/>
          <w:szCs w:val="24"/>
        </w:rPr>
      </w:pPr>
    </w:p>
    <w:p w:rsidR="003F4A98" w:rsidRPr="004246B0" w:rsidRDefault="003F4A98" w:rsidP="003F4A98">
      <w:pPr>
        <w:autoSpaceDE w:val="0"/>
        <w:autoSpaceDN w:val="0"/>
        <w:adjustRightInd w:val="0"/>
        <w:spacing w:after="0" w:line="360" w:lineRule="auto"/>
        <w:jc w:val="both"/>
        <w:rPr>
          <w:rFonts w:ascii="Garamond" w:hAnsi="Garamond" w:cs="AdvP46190F"/>
          <w:sz w:val="20"/>
          <w:szCs w:val="20"/>
        </w:rPr>
      </w:pPr>
      <w:r w:rsidRPr="004246B0">
        <w:rPr>
          <w:rFonts w:ascii="Garamond" w:hAnsi="Garamond"/>
          <w:sz w:val="24"/>
          <w:szCs w:val="24"/>
        </w:rPr>
        <w:t xml:space="preserve">There are, according to </w:t>
      </w:r>
      <w:r w:rsidRPr="004246B0">
        <w:rPr>
          <w:rFonts w:ascii="Garamond" w:hAnsi="Garamond"/>
          <w:i/>
          <w:sz w:val="24"/>
          <w:szCs w:val="24"/>
        </w:rPr>
        <w:t>The Blackwell Social Movements Reader</w:t>
      </w:r>
      <w:r w:rsidRPr="004246B0">
        <w:rPr>
          <w:rFonts w:ascii="Garamond" w:hAnsi="Garamond"/>
          <w:sz w:val="24"/>
          <w:szCs w:val="24"/>
        </w:rPr>
        <w:t>, six 'reflex emotions' available to social movements:</w:t>
      </w:r>
    </w:p>
    <w:p w:rsidR="003F4A98" w:rsidRPr="004246B0" w:rsidRDefault="003F4A98" w:rsidP="003F4A98">
      <w:pPr>
        <w:autoSpaceDE w:val="0"/>
        <w:autoSpaceDN w:val="0"/>
        <w:adjustRightInd w:val="0"/>
        <w:spacing w:after="0" w:line="360" w:lineRule="auto"/>
        <w:ind w:left="284" w:right="284"/>
        <w:jc w:val="both"/>
        <w:rPr>
          <w:rFonts w:ascii="Garamond" w:hAnsi="Garamond"/>
          <w:sz w:val="24"/>
          <w:szCs w:val="24"/>
        </w:rPr>
      </w:pPr>
    </w:p>
    <w:p w:rsidR="003F4A98" w:rsidRPr="004246B0" w:rsidRDefault="003F4A98" w:rsidP="003F4A98">
      <w:pPr>
        <w:autoSpaceDE w:val="0"/>
        <w:autoSpaceDN w:val="0"/>
        <w:adjustRightInd w:val="0"/>
        <w:spacing w:after="0" w:line="360" w:lineRule="auto"/>
        <w:ind w:left="284" w:right="284"/>
        <w:jc w:val="both"/>
        <w:rPr>
          <w:rFonts w:ascii="Garamond" w:hAnsi="Garamond"/>
        </w:rPr>
      </w:pPr>
      <w:r w:rsidRPr="004246B0">
        <w:rPr>
          <w:rFonts w:ascii="Garamond" w:hAnsi="Garamond" w:cs="AdvP46190F"/>
        </w:rPr>
        <w:t xml:space="preserve">Certain emotions (six, to be precise: fear, surprise, anger, disgust, joy, and sadness) seem to arise suddenly, without conscious cognitive processing, in an involuntary fashion.... They are like muscle reflexes, only more coordinated and complex. They involve the processing of information through mechanisms different than our normal cognition: quicker, more primitive neurological routes that </w:t>
      </w:r>
      <w:r w:rsidR="00B66F92">
        <w:rPr>
          <w:rFonts w:ascii="Garamond" w:hAnsi="Garamond" w:cs="AdvP46190F"/>
        </w:rPr>
        <w:t xml:space="preserve">allow us to respond immediately. </w:t>
      </w:r>
      <w:r w:rsidRPr="004246B0">
        <w:rPr>
          <w:rFonts w:ascii="Garamond" w:hAnsi="Garamond" w:cs="AdvP46190F"/>
        </w:rPr>
        <w:t>(</w:t>
      </w:r>
      <w:r>
        <w:rPr>
          <w:rFonts w:ascii="Garamond" w:hAnsi="Garamond"/>
        </w:rPr>
        <w:t>Goodwin et</w:t>
      </w:r>
      <w:r w:rsidR="00B66F92">
        <w:rPr>
          <w:rFonts w:ascii="Garamond" w:hAnsi="Garamond"/>
        </w:rPr>
        <w:t xml:space="preserve"> al. 2004: 416)</w:t>
      </w:r>
    </w:p>
    <w:p w:rsidR="003F4A98" w:rsidRPr="004246B0" w:rsidRDefault="003F4A98" w:rsidP="003F4A98">
      <w:pPr>
        <w:autoSpaceDE w:val="0"/>
        <w:autoSpaceDN w:val="0"/>
        <w:adjustRightInd w:val="0"/>
        <w:spacing w:after="0" w:line="360" w:lineRule="auto"/>
        <w:ind w:left="284" w:right="284"/>
        <w:jc w:val="both"/>
        <w:rPr>
          <w:rFonts w:ascii="Garamond" w:hAnsi="Garamond"/>
          <w:sz w:val="24"/>
          <w:szCs w:val="24"/>
        </w:rPr>
      </w:pPr>
    </w:p>
    <w:p w:rsidR="003F4A98" w:rsidRPr="004246B0"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Reflex emotions can make people act in ways that they may regret in the future; emotions that might be better off hidden can emerge, fear can inhibit people from making decisions and doing actions they normally might, anger can cause people to say </w:t>
      </w:r>
      <w:r w:rsidRPr="004246B0">
        <w:rPr>
          <w:rFonts w:ascii="Garamond" w:hAnsi="Garamond"/>
          <w:sz w:val="24"/>
          <w:szCs w:val="24"/>
        </w:rPr>
        <w:lastRenderedPageBreak/>
        <w:t xml:space="preserve">things they later regret  (Goodwin et al., 2002; Flam </w:t>
      </w:r>
      <w:r w:rsidR="00F152DB">
        <w:rPr>
          <w:rFonts w:ascii="Garamond" w:hAnsi="Garamond"/>
          <w:sz w:val="24"/>
          <w:szCs w:val="24"/>
        </w:rPr>
        <w:t>and</w:t>
      </w:r>
      <w:r w:rsidRPr="004246B0">
        <w:rPr>
          <w:rFonts w:ascii="Garamond" w:hAnsi="Garamond"/>
          <w:sz w:val="24"/>
          <w:szCs w:val="24"/>
        </w:rPr>
        <w:t xml:space="preserve"> King, 2005). But the opposite is often true; fight or flight as a fear reflex sharpens our response to danger. According to Corey Robinson in an article on 'Fear in the Contemporary Imagination', fear can increase a person's perception of their surroundings, and increase their 'situatedness' in immediate landscapes: </w:t>
      </w:r>
    </w:p>
    <w:p w:rsidR="003F4A98" w:rsidRPr="004246B0" w:rsidRDefault="003F4A98" w:rsidP="00B66F92">
      <w:pPr>
        <w:autoSpaceDE w:val="0"/>
        <w:autoSpaceDN w:val="0"/>
        <w:adjustRightInd w:val="0"/>
        <w:spacing w:after="0" w:line="360" w:lineRule="auto"/>
        <w:jc w:val="both"/>
        <w:rPr>
          <w:rFonts w:ascii="Garamond" w:hAnsi="Garamond"/>
          <w:sz w:val="24"/>
          <w:szCs w:val="24"/>
        </w:rPr>
      </w:pPr>
    </w:p>
    <w:p w:rsidR="003F4A98" w:rsidRPr="004246B0" w:rsidRDefault="003F4A98" w:rsidP="00B66F92">
      <w:pPr>
        <w:autoSpaceDE w:val="0"/>
        <w:autoSpaceDN w:val="0"/>
        <w:adjustRightInd w:val="0"/>
        <w:spacing w:after="0" w:line="360" w:lineRule="auto"/>
        <w:ind w:left="284" w:right="284"/>
        <w:jc w:val="both"/>
        <w:rPr>
          <w:rFonts w:ascii="Garamond" w:hAnsi="Garamond"/>
        </w:rPr>
      </w:pPr>
      <w:r w:rsidRPr="004246B0">
        <w:rPr>
          <w:rFonts w:ascii="Garamond" w:hAnsi="Garamond"/>
        </w:rPr>
        <w:t>fear quickens our perceptions as no other emotion can, forcing us to see and to act in the world in new and more interesting ways, with greater moral discrimination and a more acute consciousness of our surroundings an</w:t>
      </w:r>
      <w:r w:rsidR="00B66F92">
        <w:rPr>
          <w:rFonts w:ascii="Garamond" w:hAnsi="Garamond"/>
        </w:rPr>
        <w:t>d ourselves.</w:t>
      </w:r>
      <w:r w:rsidR="00DA7195">
        <w:rPr>
          <w:rFonts w:ascii="Garamond" w:hAnsi="Garamond"/>
        </w:rPr>
        <w:t xml:space="preserve"> (Robinson, 2004: 928)</w:t>
      </w:r>
    </w:p>
    <w:p w:rsidR="003F4A98" w:rsidRPr="004246B0" w:rsidRDefault="003F4A98" w:rsidP="00B66F92">
      <w:pPr>
        <w:autoSpaceDE w:val="0"/>
        <w:autoSpaceDN w:val="0"/>
        <w:adjustRightInd w:val="0"/>
        <w:spacing w:after="0" w:line="360" w:lineRule="auto"/>
        <w:ind w:left="284" w:right="284"/>
        <w:jc w:val="both"/>
        <w:rPr>
          <w:rFonts w:ascii="Garamond" w:hAnsi="Garamond"/>
        </w:rPr>
      </w:pPr>
    </w:p>
    <w:p w:rsidR="00B66F92" w:rsidRDefault="003F4A98" w:rsidP="00B66F92">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The BOA used racialized fear to bring about two types of changes to the imaginative geographies of white migration to South Africa. These changes sought to dismantle the racial assemblage of the white migrant in imaginaries around home-making and selfhood.  Firstly, the BOA shattered imaginations of South Africa as a place to make a new home. White migration meant selling to a nurtured market. White homes, jobs and lifestyles were imagined, staged and sold to Europeans as insulated from and inoculated against their disputed and uneven surroundings. The BOA replaced home-like utopias of pro-apartheid advertisements with prison-like killing fields; they showed potential white migrants that their new homes would be built from black labour at the expense of black blood, atop a "volcano ready to erupt" (du Plessis </w:t>
      </w:r>
      <w:r w:rsidR="00F152DB">
        <w:rPr>
          <w:rFonts w:ascii="Garamond" w:hAnsi="Garamond"/>
          <w:sz w:val="24"/>
          <w:szCs w:val="24"/>
        </w:rPr>
        <w:t>and</w:t>
      </w:r>
      <w:r w:rsidRPr="004246B0">
        <w:rPr>
          <w:rFonts w:ascii="Garamond" w:hAnsi="Garamond"/>
          <w:sz w:val="24"/>
          <w:szCs w:val="24"/>
        </w:rPr>
        <w:t xml:space="preserve"> van Kaam, 1975). In this way, the goal of the anti-emigration campaign was to reconnect white home-making processes with their immediate landscapes and relational oppressions.</w:t>
      </w:r>
    </w:p>
    <w:p w:rsidR="00B66F92" w:rsidRDefault="00B66F92" w:rsidP="00B66F92">
      <w:pPr>
        <w:autoSpaceDE w:val="0"/>
        <w:autoSpaceDN w:val="0"/>
        <w:adjustRightInd w:val="0"/>
        <w:spacing w:after="0" w:line="360" w:lineRule="auto"/>
        <w:jc w:val="both"/>
        <w:rPr>
          <w:rFonts w:ascii="Garamond" w:hAnsi="Garamond"/>
          <w:sz w:val="24"/>
          <w:szCs w:val="24"/>
        </w:rPr>
      </w:pPr>
    </w:p>
    <w:p w:rsidR="00B66F92" w:rsidRDefault="003F4A98" w:rsidP="00B66F92">
      <w:pPr>
        <w:autoSpaceDE w:val="0"/>
        <w:autoSpaceDN w:val="0"/>
        <w:adjustRightInd w:val="0"/>
        <w:spacing w:after="0" w:line="360" w:lineRule="auto"/>
        <w:jc w:val="both"/>
        <w:rPr>
          <w:rFonts w:ascii="Garamond" w:hAnsi="Garamond"/>
          <w:sz w:val="24"/>
          <w:szCs w:val="24"/>
        </w:rPr>
      </w:pPr>
      <w:r w:rsidRPr="004246B0">
        <w:rPr>
          <w:rFonts w:ascii="Garamond" w:hAnsi="Garamond"/>
          <w:sz w:val="24"/>
          <w:szCs w:val="24"/>
        </w:rPr>
        <w:t xml:space="preserve">Secondly, they questioned the creation of the moral selfhood of the white migrant, and showed 'him' that should he emigrate, he would exist opposed to a black majority defined by pride and a burning desire for liberation. By justifying vengeful black violence, the BOA created the migrant-as-white-stranger; a stranger trespassing and stealing from the oppressed in a foreign land. This corrupted the process of transnational white interpellation of the pro-apartheid lobby. Interpellation, Louis Althusser (1971) writes, is the performative process that turns individuals into ideological subjects:  </w:t>
      </w:r>
    </w:p>
    <w:p w:rsidR="00B66F92" w:rsidRDefault="00B66F92" w:rsidP="00B66F92">
      <w:pPr>
        <w:autoSpaceDE w:val="0"/>
        <w:autoSpaceDN w:val="0"/>
        <w:adjustRightInd w:val="0"/>
        <w:spacing w:after="0" w:line="360" w:lineRule="auto"/>
        <w:jc w:val="both"/>
        <w:rPr>
          <w:rFonts w:ascii="Garamond" w:hAnsi="Garamond"/>
          <w:sz w:val="24"/>
          <w:szCs w:val="24"/>
        </w:rPr>
      </w:pPr>
    </w:p>
    <w:p w:rsidR="00B66F92" w:rsidRDefault="00B66F92" w:rsidP="00B66F92">
      <w:pPr>
        <w:spacing w:after="0" w:line="360" w:lineRule="auto"/>
        <w:ind w:left="284" w:right="284"/>
        <w:jc w:val="both"/>
        <w:rPr>
          <w:rFonts w:ascii="Garamond" w:hAnsi="Garamond"/>
          <w:color w:val="000000"/>
        </w:rPr>
      </w:pPr>
      <w:r w:rsidRPr="004246B0">
        <w:rPr>
          <w:rFonts w:ascii="Garamond" w:hAnsi="Garamond"/>
          <w:color w:val="000000"/>
        </w:rPr>
        <w:t>I shall then suggest that ideology 'acts' or 'functions' in such a way that it 'recruits' subjects among the individuals (it recruits them all), or 'transforms' the individuals into subjects (it transforms them all) by that v</w:t>
      </w:r>
      <w:r>
        <w:rPr>
          <w:rFonts w:ascii="Garamond" w:hAnsi="Garamond"/>
          <w:color w:val="000000"/>
        </w:rPr>
        <w:t>ery precise operation which I ha</w:t>
      </w:r>
      <w:r w:rsidRPr="004246B0">
        <w:rPr>
          <w:rFonts w:ascii="Garamond" w:hAnsi="Garamond"/>
          <w:color w:val="000000"/>
        </w:rPr>
        <w:t xml:space="preserve">ve called </w:t>
      </w:r>
      <w:r w:rsidRPr="004246B0">
        <w:rPr>
          <w:rFonts w:ascii="Garamond" w:hAnsi="Garamond"/>
          <w:i/>
          <w:iCs/>
          <w:color w:val="000000"/>
        </w:rPr>
        <w:t xml:space="preserve">interpellation </w:t>
      </w:r>
      <w:r w:rsidRPr="004246B0">
        <w:rPr>
          <w:rFonts w:ascii="Garamond" w:hAnsi="Garamond"/>
          <w:color w:val="000000"/>
        </w:rPr>
        <w:t xml:space="preserve">or </w:t>
      </w:r>
      <w:r w:rsidRPr="004246B0">
        <w:rPr>
          <w:rFonts w:ascii="Garamond" w:hAnsi="Garamond"/>
          <w:color w:val="000000"/>
        </w:rPr>
        <w:lastRenderedPageBreak/>
        <w:t>hailing, and which can be imagined along the lines of the most commonplace everyday police (or other) hailing: 'Hey, yo</w:t>
      </w:r>
      <w:r>
        <w:rPr>
          <w:rFonts w:ascii="Garamond" w:hAnsi="Garamond"/>
          <w:color w:val="000000"/>
        </w:rPr>
        <w:t>u there!'.</w:t>
      </w:r>
      <w:r w:rsidRPr="004246B0">
        <w:rPr>
          <w:rFonts w:ascii="Garamond" w:hAnsi="Garamond"/>
          <w:color w:val="000000"/>
        </w:rPr>
        <w:t xml:space="preserve"> (1971: 174)</w:t>
      </w:r>
      <w:r w:rsidRPr="004246B0">
        <w:rPr>
          <w:rStyle w:val="FootnoteReference"/>
          <w:rFonts w:ascii="Garamond" w:hAnsi="Garamond"/>
          <w:color w:val="000000"/>
        </w:rPr>
        <w:footnoteReference w:id="238"/>
      </w:r>
    </w:p>
    <w:p w:rsidR="00B66F92" w:rsidRDefault="00B66F92" w:rsidP="00B66F92">
      <w:pPr>
        <w:spacing w:after="0" w:line="360" w:lineRule="auto"/>
        <w:jc w:val="both"/>
        <w:rPr>
          <w:rFonts w:ascii="Garamond" w:hAnsi="Garamond"/>
          <w:color w:val="000000"/>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As Goldberg (2009) and Posel (2011) attest, the sociality of skin reproduced itself through the normative performance and recognition of cultural distinction between black and white behaviour. This was often a case of racial interpellation; enforcing self-identification as black, white or coloured. A process of realizing what your colour meant in terms of how and where you could work, live and reproduce. In </w:t>
      </w:r>
      <w:r w:rsidRPr="004246B0">
        <w:rPr>
          <w:rFonts w:ascii="Garamond" w:hAnsi="Garamond"/>
          <w:i/>
          <w:iCs/>
          <w:sz w:val="24"/>
          <w:szCs w:val="24"/>
        </w:rPr>
        <w:t xml:space="preserve">Black Skin, White Masks, </w:t>
      </w:r>
      <w:r w:rsidRPr="004246B0">
        <w:rPr>
          <w:rFonts w:ascii="Garamond" w:hAnsi="Garamond"/>
          <w:iCs/>
          <w:sz w:val="24"/>
          <w:szCs w:val="24"/>
        </w:rPr>
        <w:t>Franz Fanon unpicks</w:t>
      </w:r>
      <w:r w:rsidR="00DA7195">
        <w:rPr>
          <w:rFonts w:ascii="Garamond" w:hAnsi="Garamond"/>
          <w:iCs/>
          <w:sz w:val="24"/>
          <w:szCs w:val="24"/>
        </w:rPr>
        <w:t xml:space="preserve"> the</w:t>
      </w:r>
      <w:r w:rsidRPr="004246B0">
        <w:rPr>
          <w:rFonts w:ascii="Garamond" w:hAnsi="Garamond"/>
          <w:iCs/>
          <w:sz w:val="24"/>
          <w:szCs w:val="24"/>
        </w:rPr>
        <w:t xml:space="preserve"> 'fact of blackness'</w:t>
      </w:r>
      <w:r w:rsidRPr="004246B0">
        <w:rPr>
          <w:rFonts w:ascii="Garamond" w:hAnsi="Garamond"/>
          <w:sz w:val="24"/>
          <w:szCs w:val="24"/>
        </w:rPr>
        <w:t xml:space="preserve"> as an unrelenting process of performative recitation; as a series of white on black, and internalized black on black, interpellations. Fanon shows how through interactions with whites, a black person is forced to interpellate himself as 'negro', how across everyday spaces and social interactions he becomes "locked in his own body" (1968[1953]: 225), "sealed into crushing objectivity...an object amidst many other objects" (ibid: 109). He also explains that the drama of racialization extends to whites:</w:t>
      </w:r>
    </w:p>
    <w:p w:rsidR="003F4A98" w:rsidRPr="00B66F92" w:rsidRDefault="003F4A98" w:rsidP="00B66F92">
      <w:pPr>
        <w:spacing w:after="0" w:line="360" w:lineRule="auto"/>
        <w:jc w:val="both"/>
        <w:rPr>
          <w:rFonts w:ascii="Garamond" w:hAnsi="Garamond"/>
          <w:color w:val="000000"/>
        </w:rPr>
      </w:pPr>
    </w:p>
    <w:p w:rsidR="00B66F92" w:rsidRDefault="003F4A98" w:rsidP="00B66F92">
      <w:pPr>
        <w:spacing w:after="0" w:line="360" w:lineRule="auto"/>
        <w:ind w:left="284" w:right="284"/>
        <w:jc w:val="both"/>
        <w:rPr>
          <w:rFonts w:ascii="Garamond" w:hAnsi="Garamond"/>
        </w:rPr>
      </w:pPr>
      <w:r w:rsidRPr="004246B0">
        <w:rPr>
          <w:rFonts w:ascii="Garamond" w:hAnsi="Garamond"/>
        </w:rPr>
        <w:t>Before going any farther I find it necessary to say certain things. I am speaking here, on the one hand, of alienated (duped) blacks, and, on the other, of no less alie</w:t>
      </w:r>
      <w:r w:rsidR="00B66F92">
        <w:rPr>
          <w:rFonts w:ascii="Garamond" w:hAnsi="Garamond"/>
        </w:rPr>
        <w:t>nated (duping and duped) whites. (I</w:t>
      </w:r>
      <w:r w:rsidRPr="004246B0">
        <w:rPr>
          <w:rFonts w:ascii="Garamond" w:hAnsi="Garamond"/>
        </w:rPr>
        <w:t>bid</w:t>
      </w:r>
      <w:r w:rsidR="00B66F92">
        <w:rPr>
          <w:rFonts w:ascii="Garamond" w:hAnsi="Garamond"/>
        </w:rPr>
        <w:t>.: 29)</w:t>
      </w:r>
    </w:p>
    <w:p w:rsidR="003F4A98" w:rsidRPr="004246B0" w:rsidRDefault="003F4A98" w:rsidP="00B66F92">
      <w:pPr>
        <w:spacing w:after="0" w:line="360" w:lineRule="auto"/>
        <w:ind w:left="284" w:right="284"/>
        <w:jc w:val="both"/>
        <w:rPr>
          <w:rFonts w:ascii="Garamond" w:hAnsi="Garamond"/>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For Fanon, the process of white hailing is underpinned by Freudian phobias displaced onto an over-determined colonized 'other'. Racism towards black people, Fanon argues, is located in, and on, the black body,</w:t>
      </w:r>
      <w:r w:rsidRPr="004246B0">
        <w:rPr>
          <w:rStyle w:val="FootnoteReference"/>
          <w:rFonts w:ascii="Garamond" w:hAnsi="Garamond"/>
          <w:sz w:val="24"/>
          <w:szCs w:val="24"/>
        </w:rPr>
        <w:footnoteReference w:id="239"/>
      </w:r>
      <w:r w:rsidRPr="004246B0">
        <w:rPr>
          <w:rFonts w:ascii="Garamond" w:hAnsi="Garamond"/>
          <w:sz w:val="24"/>
          <w:szCs w:val="24"/>
        </w:rPr>
        <w:t xml:space="preserve"> which becomes the embodiment of physical and sexual provocation and danger. As such, he believed the process of white self-recognition often remained invisible and unintelligible to whites. White racialization is a form of 'cultural duping', in which the illusion becomes reality for individuals through reiteration and re-citation (1968: 20-23). Through the intervention of the revolutionary black body across the Dutch press, the BOA made white hailing visible for what Fanon believed it was: the performance and internalization of supremacy through the domination of the colonized body. But the black body the BOA presented to the Dutch </w:t>
      </w:r>
      <w:r w:rsidRPr="004246B0">
        <w:rPr>
          <w:rFonts w:ascii="Garamond" w:hAnsi="Garamond"/>
          <w:sz w:val="24"/>
          <w:szCs w:val="24"/>
        </w:rPr>
        <w:lastRenderedPageBreak/>
        <w:t>public was a liberation fighter. He encapsulated repressed white anxieties. Here was a black body freed from white domination. A justifiably angry body, proud of his freedom, and vengeful toward</w:t>
      </w:r>
      <w:r w:rsidR="00B66F92">
        <w:rPr>
          <w:rFonts w:ascii="Garamond" w:hAnsi="Garamond"/>
          <w:sz w:val="24"/>
          <w:szCs w:val="24"/>
        </w:rPr>
        <w:t>s former and potential captors.</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As the basis of white self-recognition was the assumption of supremacy (and a negation of the fear of the black body through dominance), the black revolutionary put a spanner in the works of transnational white interpellation. If white supremacy could not be guaranteed, then what was this ideology that was reputedly hailing them? More importantly, the very ontology of the white migrant was brought into question.</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The organization introduced uncertainty over whether </w:t>
      </w:r>
      <w:r>
        <w:rPr>
          <w:rFonts w:ascii="Garamond" w:hAnsi="Garamond"/>
          <w:sz w:val="24"/>
          <w:szCs w:val="24"/>
        </w:rPr>
        <w:t>the white migrant would recogniz</w:t>
      </w:r>
      <w:r w:rsidRPr="004246B0">
        <w:rPr>
          <w:rFonts w:ascii="Garamond" w:hAnsi="Garamond"/>
          <w:sz w:val="24"/>
          <w:szCs w:val="24"/>
        </w:rPr>
        <w:t xml:space="preserve">e (him)self from the person 'hailed' to be them in the transnational adverts for their labour. </w:t>
      </w:r>
      <w:r w:rsidRPr="004246B0">
        <w:rPr>
          <w:rFonts w:ascii="Garamond" w:hAnsi="Garamond"/>
          <w:color w:val="000000"/>
          <w:sz w:val="24"/>
          <w:szCs w:val="24"/>
          <w:shd w:val="clear" w:color="auto" w:fill="FFFFFF"/>
        </w:rPr>
        <w:t>Under the glare of vengeful anti-emigration, 'he' became a strange and vulnerable</w:t>
      </w:r>
      <w:r w:rsidRPr="004246B0">
        <w:rPr>
          <w:rFonts w:ascii="Garamond" w:hAnsi="Garamond"/>
          <w:sz w:val="24"/>
          <w:szCs w:val="24"/>
        </w:rPr>
        <w:t xml:space="preserve"> embodiment of the failure of apartheid ideology. Through making whiteness strange and unnatural, the BOA attempted to convince the migrant that they had been mis-interpellated; that they could not become subjects of apartheid white ideology once they had recognized black South Africa (at least through fear). Moral and environmental discourses of superiority underpinning 'his' whiteness were also subverted.</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t xml:space="preserve">By creating fear over the hyper-masculine and healthy revolutionary black body, the BOA's anti-emigration campaign worked to replace the dominant visceral emotion attached to the body-work of </w:t>
      </w:r>
      <w:r w:rsidRPr="004246B0">
        <w:rPr>
          <w:rFonts w:ascii="Garamond" w:hAnsi="Garamond"/>
          <w:i/>
          <w:sz w:val="24"/>
          <w:szCs w:val="24"/>
        </w:rPr>
        <w:t>die swart gevaar</w:t>
      </w:r>
      <w:r w:rsidRPr="004246B0">
        <w:rPr>
          <w:rFonts w:ascii="Garamond" w:hAnsi="Garamond"/>
          <w:sz w:val="24"/>
          <w:szCs w:val="24"/>
        </w:rPr>
        <w:t xml:space="preserve"> (interpreting the black body as phobogenic, arousing a combination of fears and revulsions - see Fanon, 1968). In its place they encouraged the fear of black superiority and physical violence. These two imaginations of South African blackness presented very different dangers. According to philosopher William Miller, "disgust evaluates (negatively) what it touches, proclaiming the meanness and inferiority of its object" (1998: 8). Disgust is often provoked by the "horrible and visceral intolerance of the tastes of others" (Bourdieu, 1984: 56, in Lupton, 1996: 35), and disgust emotes "ideas about a particular kind of danger, the danger inherent in pollution and contamination, the danger of defilement" (Miller, 1998: 9). Through disgust </w:t>
      </w:r>
      <w:r w:rsidRPr="004246B0">
        <w:rPr>
          <w:rFonts w:ascii="Garamond" w:hAnsi="Garamond"/>
          <w:i/>
          <w:sz w:val="24"/>
          <w:szCs w:val="24"/>
        </w:rPr>
        <w:t>die swart gevaar</w:t>
      </w:r>
      <w:r w:rsidRPr="004246B0">
        <w:rPr>
          <w:rFonts w:ascii="Garamond" w:hAnsi="Garamond"/>
          <w:sz w:val="24"/>
          <w:szCs w:val="24"/>
        </w:rPr>
        <w:t xml:space="preserve"> reproduced black inferiority and shamefulness, and fear of defilement and miscegenation. Through the militarized black body, the BOA performed black superiority and pride, and white fear of revenge and death.  The power coordinates produced by these two black-fear topoi were radically opposed.</w:t>
      </w:r>
    </w:p>
    <w:p w:rsidR="00B66F92" w:rsidRDefault="00B66F92" w:rsidP="00B66F92">
      <w:pPr>
        <w:spacing w:after="0" w:line="360" w:lineRule="auto"/>
        <w:jc w:val="both"/>
        <w:rPr>
          <w:rFonts w:ascii="Garamond" w:hAnsi="Garamond"/>
          <w:sz w:val="24"/>
          <w:szCs w:val="24"/>
        </w:rPr>
      </w:pPr>
    </w:p>
    <w:p w:rsidR="00B66F92" w:rsidRDefault="003F4A98" w:rsidP="00B66F92">
      <w:pPr>
        <w:spacing w:after="0" w:line="360" w:lineRule="auto"/>
        <w:jc w:val="both"/>
        <w:rPr>
          <w:rFonts w:ascii="Garamond" w:hAnsi="Garamond"/>
          <w:sz w:val="24"/>
          <w:szCs w:val="24"/>
        </w:rPr>
      </w:pPr>
      <w:r w:rsidRPr="004246B0">
        <w:rPr>
          <w:rFonts w:ascii="Garamond" w:hAnsi="Garamond"/>
          <w:sz w:val="24"/>
          <w:szCs w:val="24"/>
        </w:rPr>
        <w:lastRenderedPageBreak/>
        <w:t>The anti-emigration campaign showed how shifts in priorities between the grievances of proximate racisms and South African apartheid meant that in pra</w:t>
      </w:r>
      <w:r w:rsidR="00DA7195">
        <w:rPr>
          <w:rFonts w:ascii="Garamond" w:hAnsi="Garamond"/>
          <w:sz w:val="24"/>
          <w:szCs w:val="24"/>
        </w:rPr>
        <w:t>ctic</w:t>
      </w:r>
      <w:r w:rsidRPr="004246B0">
        <w:rPr>
          <w:rFonts w:ascii="Garamond" w:hAnsi="Garamond"/>
          <w:sz w:val="24"/>
          <w:szCs w:val="24"/>
        </w:rPr>
        <w:t>e the BOA deployed a pragmatic approach to outlining racial co-ordinates (the BOA utilized fear of militant black bodies in order to produce fear in people with already racist worldviews). While racialized fear was used as an anti-apartheid weapon, the BOA also used white migration as an educational tool to show publics how apartheid was theoretically and materially produced in Europe. The two approaches were tailored specifically for a type of demographic (the former for those with already racist worldviews, the latter for those whose actions were instructed by racial ignorance rather than a conscious racism). For both approaches the BOA shifted the implicating bodywork of the Outspan citrus boycott from the white consumer of citrus to the white migrant or tourist. The target became more focused (from consumers of oranges to potential consumers of apartheid imaginaries of the South African 'good life').</w:t>
      </w:r>
    </w:p>
    <w:p w:rsidR="00B66F92" w:rsidRDefault="00B66F92" w:rsidP="00B66F92">
      <w:pPr>
        <w:spacing w:after="0" w:line="360" w:lineRule="auto"/>
        <w:jc w:val="both"/>
        <w:rPr>
          <w:rFonts w:ascii="Garamond" w:hAnsi="Garamond"/>
          <w:sz w:val="24"/>
          <w:szCs w:val="24"/>
        </w:rPr>
      </w:pPr>
    </w:p>
    <w:p w:rsidR="00A371B8" w:rsidRDefault="003F4A98" w:rsidP="00B66F92">
      <w:pPr>
        <w:spacing w:after="0" w:line="360" w:lineRule="auto"/>
        <w:jc w:val="both"/>
        <w:rPr>
          <w:rFonts w:ascii="Garamond" w:hAnsi="Garamond"/>
          <w:sz w:val="24"/>
          <w:szCs w:val="24"/>
        </w:rPr>
      </w:pPr>
      <w:r w:rsidRPr="004246B0">
        <w:rPr>
          <w:rFonts w:ascii="Garamond" w:hAnsi="Garamond"/>
          <w:sz w:val="24"/>
          <w:szCs w:val="24"/>
        </w:rPr>
        <w:t>In her critique of Spivak's celebration of the negotiated subaltern positions of 'speechlessness' and 'structured inarticulacy', Benita Parry (2004) asserts that the oppositional discourses of anti-colonial and liberation movements have been incorrectly displaced from histor</w:t>
      </w:r>
      <w:r w:rsidR="000B6D76">
        <w:rPr>
          <w:rFonts w:ascii="Garamond" w:hAnsi="Garamond"/>
          <w:sz w:val="24"/>
          <w:szCs w:val="24"/>
        </w:rPr>
        <w:t>ies of resistance. As with the Inspan Girls</w:t>
      </w:r>
      <w:r w:rsidRPr="004246B0">
        <w:rPr>
          <w:rFonts w:ascii="Garamond" w:hAnsi="Garamond"/>
          <w:sz w:val="24"/>
          <w:szCs w:val="24"/>
        </w:rPr>
        <w:t xml:space="preserve"> campaign, the BOA's anti-emigration actions should be interpreted as a spatial extension of liberation movement resi</w:t>
      </w:r>
      <w:r w:rsidR="00DA7195">
        <w:rPr>
          <w:rFonts w:ascii="Garamond" w:hAnsi="Garamond"/>
          <w:sz w:val="24"/>
          <w:szCs w:val="24"/>
        </w:rPr>
        <w:t>stance to white immigration in</w:t>
      </w:r>
      <w:r w:rsidRPr="004246B0">
        <w:rPr>
          <w:rFonts w:ascii="Garamond" w:hAnsi="Garamond"/>
          <w:sz w:val="24"/>
          <w:szCs w:val="24"/>
        </w:rPr>
        <w:t xml:space="preserve"> Dutch places. The portraits of the black revolutionary were not simply avatars of white fear, but also expressions of solidarity with the South African liberation movements. As such, the BOA's use of militant black bodies to</w:t>
      </w:r>
      <w:r>
        <w:rPr>
          <w:rFonts w:ascii="Garamond" w:hAnsi="Garamond"/>
          <w:sz w:val="24"/>
          <w:szCs w:val="24"/>
        </w:rPr>
        <w:t xml:space="preserve"> induce fear was different from</w:t>
      </w:r>
      <w:r w:rsidRPr="004246B0">
        <w:rPr>
          <w:rFonts w:ascii="Garamond" w:hAnsi="Garamond"/>
          <w:sz w:val="24"/>
          <w:szCs w:val="24"/>
        </w:rPr>
        <w:t xml:space="preserve"> STT depictions of masculinized black violence to threaten idealized Western childhoods in recent antislavery cocoa activism</w:t>
      </w:r>
      <w:r>
        <w:rPr>
          <w:rFonts w:ascii="Garamond" w:hAnsi="Garamond"/>
          <w:sz w:val="24"/>
          <w:szCs w:val="24"/>
        </w:rPr>
        <w:t>, or from</w:t>
      </w:r>
      <w:r w:rsidRPr="004246B0">
        <w:rPr>
          <w:rFonts w:ascii="Garamond" w:hAnsi="Garamond"/>
          <w:sz w:val="24"/>
          <w:szCs w:val="24"/>
        </w:rPr>
        <w:t xml:space="preserve"> the representations of black violence used in the 'conflict diamond' commodity activism of Fatal Transactions (le Billon, 2006). </w:t>
      </w:r>
    </w:p>
    <w:p w:rsidR="00A371B8" w:rsidRDefault="00A371B8" w:rsidP="00B66F92">
      <w:pPr>
        <w:spacing w:after="0" w:line="360" w:lineRule="auto"/>
        <w:jc w:val="both"/>
        <w:rPr>
          <w:rFonts w:ascii="Garamond" w:hAnsi="Garamond"/>
          <w:sz w:val="24"/>
          <w:szCs w:val="24"/>
        </w:rPr>
        <w:sectPr w:rsidR="00A371B8">
          <w:pgSz w:w="11900" w:h="16840"/>
          <w:pgMar w:top="1440" w:right="1800" w:bottom="1134" w:left="1800" w:header="708" w:footer="708" w:gutter="0"/>
          <w:cols w:space="708"/>
        </w:sectPr>
      </w:pPr>
    </w:p>
    <w:p w:rsidR="00A371B8" w:rsidRPr="00B02DFB" w:rsidRDefault="00A371B8" w:rsidP="00A371B8">
      <w:pPr>
        <w:pStyle w:val="Heading1"/>
        <w:spacing w:before="0"/>
        <w:rPr>
          <w:rFonts w:ascii="Garamond" w:hAnsi="Garamond"/>
          <w:color w:val="auto"/>
        </w:rPr>
      </w:pPr>
      <w:r>
        <w:rPr>
          <w:rFonts w:ascii="Times New Roman" w:hAnsi="Times New Roman"/>
          <w:i/>
          <w:sz w:val="24"/>
          <w:szCs w:val="24"/>
        </w:rPr>
        <w:lastRenderedPageBreak/>
        <w:tab/>
      </w:r>
      <w:r w:rsidRPr="002650CB">
        <w:rPr>
          <w:i/>
          <w:sz w:val="24"/>
          <w:szCs w:val="24"/>
        </w:rPr>
        <w:tab/>
      </w:r>
      <w:r w:rsidRPr="002650CB">
        <w:rPr>
          <w:i/>
          <w:sz w:val="24"/>
          <w:szCs w:val="24"/>
        </w:rPr>
        <w:tab/>
      </w:r>
      <w:r w:rsidRPr="002650CB">
        <w:rPr>
          <w:i/>
          <w:sz w:val="24"/>
          <w:szCs w:val="24"/>
        </w:rPr>
        <w:tab/>
      </w:r>
      <w:r w:rsidRPr="002650CB">
        <w:rPr>
          <w:i/>
          <w:sz w:val="24"/>
          <w:szCs w:val="24"/>
        </w:rPr>
        <w:tab/>
      </w:r>
      <w:r w:rsidRPr="002650CB">
        <w:rPr>
          <w:i/>
          <w:sz w:val="24"/>
          <w:szCs w:val="24"/>
        </w:rPr>
        <w:tab/>
      </w:r>
      <w:r w:rsidRPr="002650CB">
        <w:rPr>
          <w:i/>
          <w:sz w:val="24"/>
          <w:szCs w:val="24"/>
        </w:rPr>
        <w:tab/>
      </w:r>
      <w:r w:rsidRPr="002650CB">
        <w:rPr>
          <w:i/>
          <w:sz w:val="24"/>
          <w:szCs w:val="24"/>
        </w:rPr>
        <w:tab/>
      </w:r>
      <w:bookmarkStart w:id="782" w:name="_Toc244578406"/>
      <w:bookmarkStart w:id="783" w:name="_Toc244578790"/>
      <w:bookmarkStart w:id="784" w:name="_Toc263452041"/>
      <w:bookmarkStart w:id="785" w:name="_Toc263510959"/>
      <w:r w:rsidRPr="00B02DFB">
        <w:rPr>
          <w:rFonts w:ascii="Garamond" w:hAnsi="Garamond"/>
          <w:color w:val="auto"/>
        </w:rPr>
        <w:t>Chapter Seven</w:t>
      </w:r>
      <w:bookmarkEnd w:id="782"/>
      <w:bookmarkEnd w:id="783"/>
      <w:bookmarkEnd w:id="784"/>
      <w:bookmarkEnd w:id="785"/>
    </w:p>
    <w:p w:rsidR="00A371B8" w:rsidRPr="00B02DFB" w:rsidRDefault="00A371B8" w:rsidP="00A371B8">
      <w:pPr>
        <w:pStyle w:val="Heading1"/>
        <w:spacing w:before="0"/>
        <w:rPr>
          <w:rFonts w:ascii="Garamond" w:hAnsi="Garamond"/>
          <w:i/>
          <w:color w:val="auto"/>
        </w:rPr>
      </w:pPr>
    </w:p>
    <w:p w:rsidR="00A371B8" w:rsidRPr="00B02DFB" w:rsidRDefault="00A371B8" w:rsidP="00A371B8">
      <w:pPr>
        <w:pStyle w:val="Heading1"/>
        <w:spacing w:before="0"/>
        <w:rPr>
          <w:rFonts w:ascii="Garamond" w:hAnsi="Garamond"/>
          <w:i/>
          <w:color w:val="auto"/>
        </w:rPr>
      </w:pPr>
    </w:p>
    <w:p w:rsidR="00A371B8" w:rsidRPr="00B02DFB" w:rsidRDefault="00A371B8" w:rsidP="00A371B8">
      <w:pPr>
        <w:pStyle w:val="Heading1"/>
        <w:spacing w:before="0"/>
        <w:rPr>
          <w:rFonts w:ascii="Garamond" w:hAnsi="Garamond"/>
          <w:color w:val="auto"/>
        </w:rPr>
      </w:pPr>
      <w:bookmarkStart w:id="786" w:name="_Toc244578407"/>
      <w:bookmarkStart w:id="787" w:name="_Toc244578791"/>
      <w:bookmarkStart w:id="788" w:name="_Toc263452042"/>
      <w:bookmarkStart w:id="789" w:name="_Toc263510960"/>
      <w:r w:rsidRPr="00B02DFB">
        <w:rPr>
          <w:rFonts w:ascii="Garamond" w:hAnsi="Garamond"/>
          <w:i/>
          <w:color w:val="auto"/>
        </w:rPr>
        <w:t>Racism here, apartheid there</w:t>
      </w:r>
      <w:r w:rsidRPr="00B02DFB">
        <w:rPr>
          <w:rFonts w:ascii="Garamond" w:hAnsi="Garamond"/>
          <w:color w:val="auto"/>
        </w:rPr>
        <w:t>:</w:t>
      </w:r>
      <w:bookmarkEnd w:id="786"/>
      <w:bookmarkEnd w:id="787"/>
      <w:bookmarkEnd w:id="788"/>
      <w:bookmarkEnd w:id="789"/>
      <w:r w:rsidRPr="00B02DFB">
        <w:rPr>
          <w:rFonts w:ascii="Garamond" w:hAnsi="Garamond"/>
          <w:color w:val="auto"/>
        </w:rPr>
        <w:t xml:space="preserve"> </w:t>
      </w:r>
    </w:p>
    <w:p w:rsidR="00A371B8" w:rsidRPr="00B02DFB" w:rsidRDefault="00A371B8" w:rsidP="00A371B8">
      <w:pPr>
        <w:pStyle w:val="Heading1"/>
        <w:spacing w:before="0"/>
        <w:rPr>
          <w:rFonts w:ascii="Garamond" w:hAnsi="Garamond"/>
          <w:color w:val="auto"/>
        </w:rPr>
      </w:pPr>
      <w:bookmarkStart w:id="790" w:name="_Toc244578408"/>
      <w:bookmarkStart w:id="791" w:name="_Toc244578792"/>
      <w:bookmarkStart w:id="792" w:name="_Toc263452043"/>
      <w:bookmarkStart w:id="793" w:name="_Toc263510961"/>
      <w:r w:rsidRPr="00B02DFB">
        <w:rPr>
          <w:rFonts w:ascii="Garamond" w:hAnsi="Garamond"/>
          <w:color w:val="auto"/>
        </w:rPr>
        <w:t>The BOA and contesting distanciated and proximate racisms (1977-1990)</w:t>
      </w:r>
      <w:bookmarkEnd w:id="790"/>
      <w:bookmarkEnd w:id="791"/>
      <w:bookmarkEnd w:id="792"/>
      <w:bookmarkEnd w:id="793"/>
    </w:p>
    <w:p w:rsidR="00A371B8" w:rsidRPr="00B02DFB" w:rsidRDefault="00A371B8" w:rsidP="00A371B8">
      <w:pPr>
        <w:pStyle w:val="Heading1"/>
        <w:spacing w:before="0"/>
        <w:rPr>
          <w:rFonts w:ascii="Garamond" w:hAnsi="Garamond"/>
          <w:color w:val="auto"/>
          <w:szCs w:val="24"/>
        </w:rPr>
      </w:pPr>
    </w:p>
    <w:p w:rsidR="00A371B8" w:rsidRPr="00B02DFB" w:rsidRDefault="00A371B8" w:rsidP="00A371B8">
      <w:pPr>
        <w:pStyle w:val="Heading1"/>
        <w:spacing w:before="0"/>
        <w:rPr>
          <w:rFonts w:ascii="Garamond" w:hAnsi="Garamond"/>
          <w:color w:val="auto"/>
          <w:szCs w:val="24"/>
        </w:rPr>
      </w:pPr>
    </w:p>
    <w:p w:rsidR="00A371B8" w:rsidRPr="00B02DFB" w:rsidRDefault="00A371B8" w:rsidP="00A371B8">
      <w:pPr>
        <w:pStyle w:val="Heading2"/>
      </w:pPr>
      <w:bookmarkStart w:id="794" w:name="_Toc244578409"/>
      <w:bookmarkStart w:id="795" w:name="_Toc244578793"/>
      <w:bookmarkStart w:id="796" w:name="_Toc263452044"/>
      <w:bookmarkStart w:id="797" w:name="_Toc263510962"/>
      <w:r w:rsidRPr="00B02DFB">
        <w:t>Introduction</w:t>
      </w:r>
      <w:bookmarkEnd w:id="794"/>
      <w:bookmarkEnd w:id="795"/>
      <w:bookmarkEnd w:id="796"/>
      <w:bookmarkEnd w:id="797"/>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Look also at yourself. The problem of South Africa is not determined geographically. No, South Africa is everywhere. (John Lilipaly, MP for PvdA 1987 in du Plessis, 2009)</w:t>
      </w:r>
      <w:r w:rsidRPr="002650CB">
        <w:rPr>
          <w:rStyle w:val="FootnoteReference"/>
          <w:rFonts w:ascii="Garamond" w:hAnsi="Garamond"/>
        </w:rPr>
        <w:footnoteReference w:id="240"/>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In Holland there is growing discrimination of people of a different colour and culture...in Holland people are set apart. Drugs users, the aged, the mentally handicapped, the Islam-phobia and hysteria that currently sweeps through the country. Apartheid is a mirror for Holland. It shows where it leads to when a society is built not on solidarity with the socially weak, but on hierarchy, feelings of supposed superiority and apartheid. Racism and intolerance are undoubtedly increasing by leaps and bounds in Holland...Having lived in Holland for thirty years, from 1965 to 1995, I am not in the least surprised. I have seen and experienced how superficial the so-called Dutch tolerance is. But I have also seen and experienced the tolerance, sacrifice and solidarity of Dutch people</w:t>
      </w:r>
      <w:r>
        <w:rPr>
          <w:rFonts w:ascii="Garamond" w:hAnsi="Garamond"/>
        </w:rPr>
        <w:t>.</w:t>
      </w:r>
      <w:r w:rsidRPr="002650CB">
        <w:rPr>
          <w:rFonts w:ascii="Garamond" w:hAnsi="Garamond"/>
        </w:rPr>
        <w:t xml:space="preserve"> (Open Letter to SADET, </w:t>
      </w:r>
      <w:r>
        <w:rPr>
          <w:rFonts w:ascii="Garamond" w:hAnsi="Garamond"/>
        </w:rPr>
        <w:t>du Plessis, 2009)</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former leader of the Dutch Association of Third World Shops, Hans Beerends, informed me that after Outspan oranges had disappeared from Dutch retailers, “the BOA was over in 1978, and that was it, they had won, they ha</w:t>
      </w:r>
      <w:r>
        <w:rPr>
          <w:rFonts w:ascii="Garamond" w:hAnsi="Garamond"/>
          <w:sz w:val="24"/>
          <w:szCs w:val="24"/>
        </w:rPr>
        <w:t>d nothing left to do” (Interview Beerends</w:t>
      </w:r>
      <w:r w:rsidRPr="002650CB">
        <w:rPr>
          <w:rFonts w:ascii="Garamond" w:hAnsi="Garamond"/>
          <w:sz w:val="24"/>
          <w:szCs w:val="24"/>
        </w:rPr>
        <w:t xml:space="preserve"> 2011).</w:t>
      </w:r>
      <w:r w:rsidRPr="002650CB">
        <w:rPr>
          <w:rFonts w:ascii="Garamond" w:hAnsi="Garamond"/>
        </w:rPr>
        <w:t xml:space="preserve"> </w:t>
      </w:r>
      <w:r w:rsidRPr="002650CB">
        <w:rPr>
          <w:rFonts w:ascii="Garamond" w:hAnsi="Garamond"/>
          <w:sz w:val="24"/>
          <w:szCs w:val="24"/>
        </w:rPr>
        <w:t>This is a narrow reading of the BOA as an activist organization. It is also a rather</w:t>
      </w:r>
      <w:r>
        <w:rPr>
          <w:rFonts w:ascii="Garamond" w:hAnsi="Garamond"/>
          <w:sz w:val="24"/>
          <w:szCs w:val="24"/>
        </w:rPr>
        <w:t xml:space="preserve"> constrictive</w:t>
      </w:r>
      <w:r w:rsidRPr="002650CB">
        <w:rPr>
          <w:rFonts w:ascii="Garamond" w:hAnsi="Garamond"/>
          <w:sz w:val="24"/>
          <w:szCs w:val="24"/>
        </w:rPr>
        <w:t xml:space="preserve"> interpretation of the workings of consumer boycotts. For the BOA, banishing Outspan oranges from Holland was a small but ta</w:t>
      </w:r>
      <w:r>
        <w:rPr>
          <w:rFonts w:ascii="Garamond" w:hAnsi="Garamond"/>
          <w:sz w:val="24"/>
          <w:szCs w:val="24"/>
        </w:rPr>
        <w:t>ngible victory in a wider</w:t>
      </w:r>
      <w:r w:rsidRPr="002650CB">
        <w:rPr>
          <w:rFonts w:ascii="Garamond" w:hAnsi="Garamond"/>
          <w:sz w:val="24"/>
          <w:szCs w:val="24"/>
        </w:rPr>
        <w:t>, deeper and abstracted war against racism. From their outset the BOA intended to activate boycotts in three broad areas; on trade, on companies associated with apartheid, a</w:t>
      </w:r>
      <w:r>
        <w:rPr>
          <w:rFonts w:ascii="Garamond" w:hAnsi="Garamond"/>
          <w:sz w:val="24"/>
          <w:szCs w:val="24"/>
        </w:rPr>
        <w:t xml:space="preserve">nd on migration to South Africa </w:t>
      </w:r>
      <w:r w:rsidRPr="002650CB">
        <w:rPr>
          <w:rFonts w:ascii="Garamond" w:hAnsi="Garamond"/>
          <w:sz w:val="24"/>
          <w:szCs w:val="24"/>
        </w:rPr>
        <w:t>(</w:t>
      </w:r>
      <w:r>
        <w:rPr>
          <w:rFonts w:ascii="Garamond" w:hAnsi="Garamond" w:cs="Garamond"/>
          <w:sz w:val="24"/>
          <w:szCs w:val="24"/>
        </w:rPr>
        <w:t xml:space="preserve">BOA Dokumentatiemap, </w:t>
      </w:r>
      <w:r>
        <w:rPr>
          <w:rFonts w:ascii="Garamond" w:hAnsi="Garamond"/>
          <w:sz w:val="24"/>
          <w:szCs w:val="24"/>
        </w:rPr>
        <w:t>1973).</w:t>
      </w:r>
      <w:r w:rsidRPr="002650CB">
        <w:rPr>
          <w:rFonts w:ascii="Garamond" w:hAnsi="Garamond"/>
          <w:sz w:val="24"/>
          <w:szCs w:val="24"/>
        </w:rPr>
        <w:t xml:space="preserve"> While the Outspan boycott was the most famous of the BOA's campaigns, the </w:t>
      </w:r>
      <w:r w:rsidR="00A6449D">
        <w:rPr>
          <w:rFonts w:ascii="Garamond" w:hAnsi="Garamond"/>
          <w:sz w:val="24"/>
          <w:szCs w:val="24"/>
        </w:rPr>
        <w:lastRenderedPageBreak/>
        <w:t>organization clearly was</w:t>
      </w:r>
      <w:r w:rsidRPr="002650CB">
        <w:rPr>
          <w:rFonts w:ascii="Garamond" w:hAnsi="Garamond"/>
          <w:sz w:val="24"/>
          <w:szCs w:val="24"/>
        </w:rPr>
        <w:t xml:space="preserve"> not the single item action group that Hans Beerends suggests they were. This chapter shows how Beerends' view is a product of the dominant nationalist framework for historicizing Dutch anti-apartheid. I argue that historicizing the BOA in this way requires the ongoing practice of spatially and culturally separating South African apartheid from European and Dutch racisms. It can also mean denying the relevance of Dutch racism, and discrediting the accounts of the racialized. In showing this, I untangle some of the complex tensions between antiracism and anti-apartheid.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opening of this chapter investigates the BOA's refusal to separate apartheid and racism, and emphasizes that the BOA's default antiracist position was their interpreta</w:t>
      </w:r>
      <w:r>
        <w:rPr>
          <w:rFonts w:ascii="Garamond" w:hAnsi="Garamond"/>
          <w:sz w:val="24"/>
          <w:szCs w:val="24"/>
        </w:rPr>
        <w:t>tion of the ANC's doctrine of Nonracial Internationalism</w:t>
      </w:r>
      <w:r w:rsidRPr="002650CB">
        <w:rPr>
          <w:rFonts w:ascii="Garamond" w:hAnsi="Garamond"/>
          <w:sz w:val="24"/>
          <w:szCs w:val="24"/>
        </w:rPr>
        <w:t>. I begin with a discussion on the wider relationship between anti-apartheid and antiracism. Using examples, I assert that both activist positions are not mutually affirming and were produced through place-based solidarities a</w:t>
      </w:r>
      <w:r w:rsidR="00DA7195">
        <w:rPr>
          <w:rFonts w:ascii="Garamond" w:hAnsi="Garamond"/>
          <w:sz w:val="24"/>
          <w:szCs w:val="24"/>
        </w:rPr>
        <w:t xml:space="preserve">nd antagonisms. This </w:t>
      </w:r>
      <w:r>
        <w:rPr>
          <w:rFonts w:ascii="Garamond" w:hAnsi="Garamond"/>
          <w:sz w:val="24"/>
          <w:szCs w:val="24"/>
        </w:rPr>
        <w:t>extends</w:t>
      </w:r>
      <w:r w:rsidRPr="002650CB">
        <w:rPr>
          <w:rFonts w:ascii="Garamond" w:hAnsi="Garamond"/>
          <w:sz w:val="24"/>
          <w:szCs w:val="24"/>
        </w:rPr>
        <w:t xml:space="preserve"> to an interrogation of the meaning, political implications and connective geographies of the BOA's philosophy</w:t>
      </w:r>
      <w:r w:rsidRPr="002650CB">
        <w:rPr>
          <w:rFonts w:ascii="Garamond" w:hAnsi="Garamond"/>
          <w:i/>
          <w:sz w:val="24"/>
          <w:szCs w:val="24"/>
        </w:rPr>
        <w:t xml:space="preserve"> </w:t>
      </w:r>
      <w:r>
        <w:rPr>
          <w:rFonts w:ascii="Garamond" w:hAnsi="Garamond"/>
          <w:i/>
          <w:sz w:val="24"/>
          <w:szCs w:val="24"/>
        </w:rPr>
        <w:t>racism here, apartheid there</w:t>
      </w:r>
      <w:r w:rsidRPr="002650CB">
        <w:rPr>
          <w:rFonts w:ascii="Garamond" w:hAnsi="Garamond"/>
          <w:sz w:val="24"/>
          <w:szCs w:val="24"/>
        </w:rPr>
        <w:t>. I propose that the campaigns following the Outspan boycott were attempts to materialize this philosophy.</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The </w:t>
      </w:r>
      <w:r>
        <w:rPr>
          <w:rFonts w:ascii="Garamond" w:hAnsi="Garamond"/>
          <w:sz w:val="24"/>
          <w:szCs w:val="24"/>
        </w:rPr>
        <w:t xml:space="preserve">final </w:t>
      </w:r>
      <w:r w:rsidRPr="002650CB">
        <w:rPr>
          <w:rFonts w:ascii="Garamond" w:hAnsi="Garamond"/>
          <w:sz w:val="24"/>
          <w:szCs w:val="24"/>
        </w:rPr>
        <w:t>section analyses the types of antiracist solidarities that emerged from the BOAs grassroots activities in engaging firstly</w:t>
      </w:r>
      <w:r>
        <w:rPr>
          <w:rFonts w:ascii="Garamond" w:hAnsi="Garamond"/>
          <w:sz w:val="24"/>
          <w:szCs w:val="24"/>
        </w:rPr>
        <w:t xml:space="preserve"> </w:t>
      </w:r>
      <w:r w:rsidRPr="002650CB">
        <w:rPr>
          <w:rFonts w:ascii="Garamond" w:hAnsi="Garamond"/>
          <w:sz w:val="24"/>
          <w:szCs w:val="24"/>
        </w:rPr>
        <w:t xml:space="preserve">'the lowest threshold' (the everyday consumer) during the bus caravan and town campaign, </w:t>
      </w:r>
      <w:r>
        <w:rPr>
          <w:rFonts w:ascii="Garamond" w:hAnsi="Garamond"/>
          <w:sz w:val="24"/>
          <w:szCs w:val="24"/>
        </w:rPr>
        <w:t>Leiden Against Apartheid, and secondly</w:t>
      </w:r>
      <w:r w:rsidRPr="002650CB">
        <w:rPr>
          <w:rFonts w:ascii="Garamond" w:hAnsi="Garamond"/>
          <w:sz w:val="24"/>
          <w:szCs w:val="24"/>
        </w:rPr>
        <w:t xml:space="preserve"> transnationa</w:t>
      </w:r>
      <w:r>
        <w:rPr>
          <w:rFonts w:ascii="Garamond" w:hAnsi="Garamond"/>
          <w:sz w:val="24"/>
          <w:szCs w:val="24"/>
        </w:rPr>
        <w:t>l labour movements</w:t>
      </w:r>
      <w:r w:rsidRPr="002650CB">
        <w:rPr>
          <w:rFonts w:ascii="Garamond" w:hAnsi="Garamond"/>
          <w:sz w:val="24"/>
          <w:szCs w:val="24"/>
        </w:rPr>
        <w:t xml:space="preserve">. The BOA practiced </w:t>
      </w:r>
      <w:r>
        <w:rPr>
          <w:rFonts w:ascii="Garamond" w:hAnsi="Garamond"/>
          <w:i/>
          <w:sz w:val="24"/>
          <w:szCs w:val="24"/>
        </w:rPr>
        <w:t>racism here, apartheid there</w:t>
      </w:r>
      <w:r w:rsidRPr="002650CB">
        <w:rPr>
          <w:rFonts w:ascii="Garamond" w:hAnsi="Garamond"/>
          <w:sz w:val="24"/>
          <w:szCs w:val="24"/>
        </w:rPr>
        <w:t xml:space="preserve"> through constructing local (consumer-activist) and international (labour) solidarities. Between 1979</w:t>
      </w:r>
      <w:r>
        <w:rPr>
          <w:rFonts w:ascii="Garamond" w:hAnsi="Garamond"/>
          <w:sz w:val="24"/>
          <w:szCs w:val="24"/>
        </w:rPr>
        <w:t xml:space="preserve"> and 1990 the BOA organized fortnight</w:t>
      </w:r>
      <w:r w:rsidRPr="002650CB">
        <w:rPr>
          <w:rFonts w:ascii="Garamond" w:hAnsi="Garamond"/>
          <w:sz w:val="24"/>
          <w:szCs w:val="24"/>
        </w:rPr>
        <w:t>-long anti-apartheid and anti-racist events in sixty towns across Holland. The aim was to set up autonomous antiracist organizations. Through an analysis of the bus caravans and the first campaign, Leiden Against Apartheid (1979), I argue that the urban campai</w:t>
      </w:r>
      <w:r>
        <w:rPr>
          <w:rFonts w:ascii="Garamond" w:hAnsi="Garamond"/>
          <w:sz w:val="24"/>
          <w:szCs w:val="24"/>
        </w:rPr>
        <w:t>gns went against the grain of the large-scale public spectacles</w:t>
      </w:r>
      <w:r w:rsidRPr="002650CB">
        <w:rPr>
          <w:rFonts w:ascii="Garamond" w:hAnsi="Garamond"/>
          <w:sz w:val="24"/>
          <w:szCs w:val="24"/>
        </w:rPr>
        <w:t xml:space="preserve"> that characterized</w:t>
      </w:r>
      <w:r>
        <w:rPr>
          <w:rFonts w:ascii="Garamond" w:hAnsi="Garamond"/>
          <w:sz w:val="24"/>
          <w:szCs w:val="24"/>
        </w:rPr>
        <w:t xml:space="preserve"> Dutch anti-apartheid during </w:t>
      </w:r>
      <w:r w:rsidRPr="002650CB">
        <w:rPr>
          <w:rFonts w:ascii="Garamond" w:hAnsi="Garamond"/>
          <w:sz w:val="24"/>
          <w:szCs w:val="24"/>
        </w:rPr>
        <w:t xml:space="preserve">the 1980s. For the BOA, the bus tours and urban campaigns simultaneously represented an escape from what they believed to be the tragedy of nationalist versions of anti-apartheid, and an opportunity to forge new spaces, practices and identities of antiracist practice. The trade union activism, I contest, sought transnational alliances against nationalist dismissals of antiracism and it was predicated on trust and shared </w:t>
      </w:r>
      <w:r>
        <w:rPr>
          <w:rFonts w:ascii="Garamond" w:hAnsi="Garamond"/>
          <w:sz w:val="24"/>
          <w:szCs w:val="24"/>
        </w:rPr>
        <w:t xml:space="preserve">antiracist </w:t>
      </w:r>
      <w:r w:rsidRPr="002650CB">
        <w:rPr>
          <w:rFonts w:ascii="Garamond" w:hAnsi="Garamond"/>
          <w:sz w:val="24"/>
          <w:szCs w:val="24"/>
        </w:rPr>
        <w:t>struggle.</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lastRenderedPageBreak/>
        <w:t xml:space="preserve">The chapter conjoins recent work on the maps of grievances of social movements (Featherstone, 2003), and geographies of antagonisms and solidarity (Featherstone, 2012), with </w:t>
      </w:r>
      <w:r>
        <w:rPr>
          <w:rFonts w:ascii="Garamond" w:hAnsi="Garamond"/>
          <w:sz w:val="24"/>
          <w:szCs w:val="24"/>
        </w:rPr>
        <w:t>scholarship</w:t>
      </w:r>
      <w:r w:rsidRPr="002650CB">
        <w:rPr>
          <w:rFonts w:ascii="Garamond" w:hAnsi="Garamond"/>
          <w:sz w:val="24"/>
          <w:szCs w:val="24"/>
        </w:rPr>
        <w:t xml:space="preserve"> on the ethics and problematizations of </w:t>
      </w:r>
      <w:r>
        <w:rPr>
          <w:rFonts w:ascii="Garamond" w:hAnsi="Garamond"/>
          <w:sz w:val="24"/>
          <w:szCs w:val="24"/>
        </w:rPr>
        <w:t>consumption (Barnett et al, 2011</w:t>
      </w:r>
      <w:r w:rsidRPr="002650CB">
        <w:rPr>
          <w:rFonts w:ascii="Garamond" w:hAnsi="Garamond"/>
          <w:sz w:val="24"/>
          <w:szCs w:val="24"/>
        </w:rPr>
        <w:t xml:space="preserve">; Goodman, 2013). Writing on </w:t>
      </w:r>
      <w:r>
        <w:rPr>
          <w:rFonts w:ascii="Garamond" w:hAnsi="Garamond"/>
          <w:sz w:val="24"/>
          <w:szCs w:val="24"/>
        </w:rPr>
        <w:t>contemporary processes of fair t</w:t>
      </w:r>
      <w:r w:rsidRPr="002650CB">
        <w:rPr>
          <w:rFonts w:ascii="Garamond" w:hAnsi="Garamond"/>
          <w:sz w:val="24"/>
          <w:szCs w:val="24"/>
        </w:rPr>
        <w:t xml:space="preserve">rade in </w:t>
      </w:r>
      <w:r w:rsidRPr="002650CB">
        <w:rPr>
          <w:rFonts w:ascii="Garamond" w:hAnsi="Garamond"/>
          <w:i/>
          <w:sz w:val="24"/>
          <w:szCs w:val="24"/>
        </w:rPr>
        <w:t>Globalizing Responsibility</w:t>
      </w:r>
      <w:r>
        <w:rPr>
          <w:rFonts w:ascii="Garamond" w:hAnsi="Garamond"/>
          <w:sz w:val="24"/>
          <w:szCs w:val="24"/>
        </w:rPr>
        <w:t>, Barnett et</w:t>
      </w:r>
      <w:r w:rsidRPr="002650CB">
        <w:rPr>
          <w:rFonts w:ascii="Garamond" w:hAnsi="Garamond"/>
          <w:sz w:val="24"/>
          <w:szCs w:val="24"/>
        </w:rPr>
        <w:t xml:space="preserve"> al. argue that “ethical consumption is indicative of strategies that seek to provoke new forms of global feeling which are helping to reinvent political participation and civic activism” (2010: 200</w:t>
      </w:r>
      <w:r>
        <w:rPr>
          <w:rFonts w:ascii="Garamond" w:hAnsi="Garamond"/>
          <w:sz w:val="24"/>
          <w:szCs w:val="24"/>
        </w:rPr>
        <w:t>). The authors also posit that fair t</w:t>
      </w:r>
      <w:r w:rsidRPr="002650CB">
        <w:rPr>
          <w:rFonts w:ascii="Garamond" w:hAnsi="Garamond"/>
          <w:sz w:val="24"/>
          <w:szCs w:val="24"/>
        </w:rPr>
        <w:t xml:space="preserve">rade in the UK has represented a growth in the types of 'protest repertoires' available to activists (boycotts, lobbies, rallies etc) who "seek to use everyday consumption as a surface of mobilization for wider, explicitly political aims and agendas" (2010:13). Precisely what is new about these consumption led structures of global feeling needs further explication; in </w:t>
      </w:r>
      <w:r>
        <w:rPr>
          <w:rFonts w:ascii="Garamond" w:hAnsi="Garamond"/>
          <w:sz w:val="24"/>
          <w:szCs w:val="24"/>
        </w:rPr>
        <w:t>Chapter Three I built on research by</w:t>
      </w:r>
      <w:r w:rsidRPr="002650CB">
        <w:rPr>
          <w:rFonts w:ascii="Garamond" w:hAnsi="Garamond"/>
          <w:sz w:val="24"/>
          <w:szCs w:val="24"/>
        </w:rPr>
        <w:t xml:space="preserve"> Trentmann (2006), Sassatelli (2008), and </w:t>
      </w:r>
      <w:r>
        <w:rPr>
          <w:rFonts w:ascii="Garamond" w:hAnsi="Garamond"/>
          <w:sz w:val="24"/>
          <w:szCs w:val="24"/>
        </w:rPr>
        <w:t>Richardson-</w:t>
      </w:r>
      <w:r w:rsidRPr="002650CB">
        <w:rPr>
          <w:rFonts w:ascii="Garamond" w:hAnsi="Garamond"/>
          <w:sz w:val="24"/>
          <w:szCs w:val="24"/>
        </w:rPr>
        <w:t>Ngwenya (2009</w:t>
      </w:r>
      <w:r>
        <w:rPr>
          <w:rFonts w:ascii="Garamond" w:hAnsi="Garamond"/>
          <w:sz w:val="24"/>
          <w:szCs w:val="24"/>
        </w:rPr>
        <w:t xml:space="preserve">) </w:t>
      </w:r>
      <w:r w:rsidRPr="002650CB">
        <w:rPr>
          <w:rFonts w:ascii="Garamond" w:hAnsi="Garamond"/>
          <w:sz w:val="24"/>
          <w:szCs w:val="24"/>
        </w:rPr>
        <w:t>that</w:t>
      </w:r>
      <w:r>
        <w:rPr>
          <w:rFonts w:ascii="Garamond" w:hAnsi="Garamond"/>
          <w:sz w:val="24"/>
          <w:szCs w:val="24"/>
        </w:rPr>
        <w:t xml:space="preserve"> shows how</w:t>
      </w:r>
      <w:r w:rsidRPr="002650CB">
        <w:rPr>
          <w:rFonts w:ascii="Garamond" w:hAnsi="Garamond"/>
          <w:sz w:val="24"/>
          <w:szCs w:val="24"/>
        </w:rPr>
        <w:t xml:space="preserve"> consumer protest repertoires have long histories antecede</w:t>
      </w:r>
      <w:r>
        <w:rPr>
          <w:rFonts w:ascii="Garamond" w:hAnsi="Garamond"/>
          <w:sz w:val="24"/>
          <w:szCs w:val="24"/>
        </w:rPr>
        <w:t>nt to the reinventions of fair trade.</w:t>
      </w:r>
      <w:r w:rsidRPr="002650CB">
        <w:rPr>
          <w:rFonts w:ascii="Garamond" w:hAnsi="Garamond"/>
          <w:sz w:val="24"/>
          <w:szCs w:val="24"/>
        </w:rPr>
        <w:t xml:space="preserve"> The mobilization of everyday consumption for wider political activism does not represent a 'new' growth in prot</w:t>
      </w:r>
      <w:r>
        <w:rPr>
          <w:rFonts w:ascii="Garamond" w:hAnsi="Garamond"/>
          <w:sz w:val="24"/>
          <w:szCs w:val="24"/>
        </w:rPr>
        <w:t>est politics, but instead Fairt</w:t>
      </w:r>
      <w:r w:rsidRPr="002650CB">
        <w:rPr>
          <w:rFonts w:ascii="Garamond" w:hAnsi="Garamond"/>
          <w:sz w:val="24"/>
          <w:szCs w:val="24"/>
        </w:rPr>
        <w:t>rade represents a neoliberal amendment or saturation of older cycles and processes</w:t>
      </w:r>
      <w:r>
        <w:rPr>
          <w:rFonts w:ascii="Garamond" w:hAnsi="Garamond"/>
          <w:sz w:val="24"/>
          <w:szCs w:val="24"/>
        </w:rPr>
        <w:t>. This chapter further historicizes this assertion by explaining</w:t>
      </w:r>
      <w:r w:rsidRPr="002650CB">
        <w:rPr>
          <w:rFonts w:ascii="Garamond" w:hAnsi="Garamond"/>
          <w:sz w:val="24"/>
          <w:szCs w:val="24"/>
        </w:rPr>
        <w:t xml:space="preserve"> how</w:t>
      </w:r>
      <w:r>
        <w:rPr>
          <w:rFonts w:ascii="Garamond" w:hAnsi="Garamond"/>
          <w:sz w:val="24"/>
          <w:szCs w:val="24"/>
        </w:rPr>
        <w:t xml:space="preserve"> during the BOA's 1979 urban campaign, Leiden Against Apartheid,</w:t>
      </w:r>
      <w:r w:rsidRPr="002650CB">
        <w:rPr>
          <w:rFonts w:ascii="Garamond" w:hAnsi="Garamond"/>
          <w:sz w:val="24"/>
          <w:szCs w:val="24"/>
        </w:rPr>
        <w:t xml:space="preserve"> Dutch </w:t>
      </w:r>
      <w:r>
        <w:rPr>
          <w:rFonts w:ascii="Garamond" w:hAnsi="Garamond"/>
          <w:sz w:val="24"/>
          <w:szCs w:val="24"/>
        </w:rPr>
        <w:t>anti-apartheid activists strategically mobilized everyday routines of consumption towards the aim of creating</w:t>
      </w:r>
      <w:r w:rsidRPr="002650CB">
        <w:rPr>
          <w:rFonts w:ascii="Garamond" w:hAnsi="Garamond"/>
          <w:sz w:val="24"/>
          <w:szCs w:val="24"/>
        </w:rPr>
        <w:t xml:space="preserve"> racial solidarity and civic act</w:t>
      </w:r>
      <w:r>
        <w:rPr>
          <w:rFonts w:ascii="Garamond" w:hAnsi="Garamond"/>
          <w:sz w:val="24"/>
          <w:szCs w:val="24"/>
        </w:rPr>
        <w:t>ivism.</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BOA's anti-apartheid and antiracism campaigns used boycotts and consumer repertoires as heuristic tools to create structures of 'global feeling' and forge solidarities. Critically, the BOA showed how apartheid was consumed and produced by Europeans (in eating oranges, through migration and tourism imaginaries, and in the separation of consumption and production imaginaries); remedial political action involved a politics of critical consumerism alongside other activisms and pedagogies. In their work on political antagonisms and political forms of consumption respectively, Featherston</w:t>
      </w:r>
      <w:r>
        <w:rPr>
          <w:rFonts w:ascii="Garamond" w:hAnsi="Garamond"/>
          <w:sz w:val="24"/>
          <w:szCs w:val="24"/>
        </w:rPr>
        <w:t>e (2003; 2012) and Goodman et al. (2010</w:t>
      </w:r>
      <w:r w:rsidRPr="002650CB">
        <w:rPr>
          <w:rFonts w:ascii="Garamond" w:hAnsi="Garamond"/>
          <w:sz w:val="24"/>
          <w:szCs w:val="24"/>
        </w:rPr>
        <w:t>) - nod to the importance of empirical work that investigates the specific contexts in which grievances are brought into question and problematized by activists. This chapter analyses how the anti-apartheid and antiracist framings of the BOA produced political identities.</w:t>
      </w:r>
      <w:r>
        <w:rPr>
          <w:rFonts w:ascii="Garamond" w:hAnsi="Garamond"/>
          <w:sz w:val="24"/>
          <w:szCs w:val="24"/>
        </w:rPr>
        <w:t xml:space="preserve"> </w:t>
      </w:r>
    </w:p>
    <w:p w:rsidR="001731AC" w:rsidRDefault="001731AC"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Pr="00B02DFB" w:rsidRDefault="00A371B8" w:rsidP="00A371B8">
      <w:pPr>
        <w:pStyle w:val="Heading2"/>
        <w:rPr>
          <w:szCs w:val="24"/>
        </w:rPr>
      </w:pPr>
      <w:bookmarkStart w:id="798" w:name="_Toc244578410"/>
      <w:bookmarkStart w:id="799" w:name="_Toc244578794"/>
      <w:bookmarkStart w:id="800" w:name="_Toc263452045"/>
      <w:bookmarkStart w:id="801" w:name="_Toc263510963"/>
      <w:r w:rsidRPr="00B02DFB">
        <w:lastRenderedPageBreak/>
        <w:t>Racism here, apartheid there</w:t>
      </w:r>
      <w:bookmarkEnd w:id="798"/>
      <w:bookmarkEnd w:id="799"/>
      <w:bookmarkEnd w:id="800"/>
      <w:bookmarkEnd w:id="801"/>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A371B8" w:rsidRDefault="00A371B8" w:rsidP="00A371B8">
      <w:pPr>
        <w:autoSpaceDE w:val="0"/>
        <w:autoSpaceDN w:val="0"/>
        <w:adjustRightInd w:val="0"/>
        <w:spacing w:after="0" w:line="360" w:lineRule="auto"/>
        <w:jc w:val="both"/>
        <w:rPr>
          <w:rFonts w:ascii="Garamond" w:hAnsi="Garamond"/>
          <w:b/>
          <w:i/>
          <w:szCs w:val="24"/>
        </w:rPr>
      </w:pPr>
      <w:r w:rsidRPr="00B02DFB">
        <w:rPr>
          <w:rFonts w:ascii="Garamond" w:hAnsi="Garamond"/>
          <w:b/>
          <w:i/>
          <w:szCs w:val="24"/>
        </w:rPr>
        <w:t xml:space="preserve">Antiracism and anti-apartheid </w:t>
      </w:r>
    </w:p>
    <w:p w:rsidR="00A371B8" w:rsidRDefault="00A371B8" w:rsidP="00A371B8">
      <w:pPr>
        <w:autoSpaceDE w:val="0"/>
        <w:autoSpaceDN w:val="0"/>
        <w:adjustRightInd w:val="0"/>
        <w:spacing w:after="0" w:line="360" w:lineRule="auto"/>
        <w:jc w:val="both"/>
        <w:rPr>
          <w:rFonts w:ascii="Garamond" w:hAnsi="Garamond"/>
          <w:b/>
          <w:i/>
          <w:szCs w:val="24"/>
        </w:rPr>
      </w:pPr>
    </w:p>
    <w:p w:rsidR="00A371B8" w:rsidRDefault="00A371B8" w:rsidP="00A371B8">
      <w:pPr>
        <w:autoSpaceDE w:val="0"/>
        <w:autoSpaceDN w:val="0"/>
        <w:adjustRightInd w:val="0"/>
        <w:spacing w:after="0" w:line="360" w:lineRule="auto"/>
        <w:jc w:val="both"/>
        <w:rPr>
          <w:rFonts w:ascii="Garamond" w:hAnsi="Garamond" w:cs="Minion-Regular"/>
          <w:sz w:val="24"/>
          <w:szCs w:val="24"/>
        </w:rPr>
      </w:pPr>
      <w:r w:rsidRPr="002650CB">
        <w:rPr>
          <w:rFonts w:ascii="Garamond" w:hAnsi="Garamond"/>
          <w:sz w:val="24"/>
          <w:szCs w:val="24"/>
        </w:rPr>
        <w:t>In a sweeping history on the development of antiracism, David Theo Goldberg writes that anti-apartheid represented a key point in global antiracism - "it made palpable the integral connection between antiracist commitments in one part of the world to a progressively transformative politics around race in all other societies marked by the weight of racist histories" (2006:14). In this chronology, anti-apartheid follows eighteenth century abolitionism, and twentieth century anti-colonial and American civil rights movements, "</w:t>
      </w:r>
      <w:r w:rsidRPr="002650CB">
        <w:rPr>
          <w:rFonts w:ascii="Garamond" w:hAnsi="Garamond" w:cs="Minion-Regular"/>
          <w:sz w:val="24"/>
          <w:szCs w:val="24"/>
        </w:rPr>
        <w:t>to constitute the third major historical moment of antiracist</w:t>
      </w:r>
      <w:r w:rsidRPr="002650CB">
        <w:rPr>
          <w:rFonts w:ascii="Garamond" w:hAnsi="Garamond"/>
          <w:sz w:val="24"/>
          <w:szCs w:val="24"/>
        </w:rPr>
        <w:t xml:space="preserve"> </w:t>
      </w:r>
      <w:r w:rsidRPr="002650CB">
        <w:rPr>
          <w:rFonts w:ascii="Garamond" w:hAnsi="Garamond" w:cs="Minion-Regular"/>
          <w:sz w:val="24"/>
          <w:szCs w:val="24"/>
        </w:rPr>
        <w:t>commitment and expression" (ibid:14). Anti-apartheid activists, Goldberg continues, were driven by the twin motivation of "moral and political outrage at apartheid's premises...and by the promise, if only symbolic, of securing racial justice in their own societies" (</w:t>
      </w:r>
      <w:r>
        <w:rPr>
          <w:rFonts w:ascii="Garamond" w:hAnsi="Garamond" w:cs="Minion-Regular"/>
          <w:sz w:val="24"/>
          <w:szCs w:val="24"/>
        </w:rPr>
        <w:t>ibid:15). While it is clearly sensible to argue</w:t>
      </w:r>
      <w:r w:rsidRPr="002650CB">
        <w:rPr>
          <w:rFonts w:ascii="Garamond" w:hAnsi="Garamond" w:cs="Minion-Regular"/>
          <w:sz w:val="24"/>
          <w:szCs w:val="24"/>
        </w:rPr>
        <w:t xml:space="preserve"> that anti-apartheid activism acted as inspiration for antiracis</w:t>
      </w:r>
      <w:r>
        <w:rPr>
          <w:rFonts w:ascii="Garamond" w:hAnsi="Garamond" w:cs="Minion-Regular"/>
          <w:sz w:val="24"/>
          <w:szCs w:val="24"/>
        </w:rPr>
        <w:t>t projects in the West,</w:t>
      </w:r>
      <w:r>
        <w:rPr>
          <w:rStyle w:val="FootnoteReference"/>
          <w:rFonts w:ascii="Garamond" w:hAnsi="Garamond" w:cs="Minion-Regular"/>
          <w:sz w:val="24"/>
          <w:szCs w:val="24"/>
        </w:rPr>
        <w:footnoteReference w:id="241"/>
      </w:r>
      <w:r w:rsidRPr="002650CB">
        <w:rPr>
          <w:rFonts w:ascii="Garamond" w:hAnsi="Garamond" w:cs="Minion-Regular"/>
          <w:sz w:val="24"/>
          <w:szCs w:val="24"/>
        </w:rPr>
        <w:t xml:space="preserve"> antiracism and anti-apartheid can be very different antagonistic conditions that produce variable identities. Although the 'symbol', or promise, of achieving proximate forms of racial justice through anti-apartheid rang true for many black American and British activists post Soweto in the 1970s and 80s, this was frequently mixed with a sense of disconnection and disenfranchisement with the AAMs. The  political agendas of white liberal anti-apartheid activists and black antiracists in the 1980s often didn't match. The separation between racism in the UK and apartheid South Africa within the British anti-apartheid is the subject of a fascinating recent study by Elizabeth Williams. She writes:</w:t>
      </w:r>
    </w:p>
    <w:p w:rsidR="00A371B8" w:rsidRPr="00B02DFB" w:rsidRDefault="00A371B8" w:rsidP="00A371B8">
      <w:pPr>
        <w:autoSpaceDE w:val="0"/>
        <w:autoSpaceDN w:val="0"/>
        <w:adjustRightInd w:val="0"/>
        <w:spacing w:after="0" w:line="360" w:lineRule="auto"/>
        <w:jc w:val="both"/>
        <w:rPr>
          <w:rFonts w:ascii="Garamond" w:hAnsi="Garamond"/>
          <w:b/>
          <w:i/>
          <w:szCs w:val="24"/>
        </w:rPr>
      </w:pPr>
    </w:p>
    <w:p w:rsidR="00A371B8" w:rsidRDefault="00A371B8" w:rsidP="00A371B8">
      <w:pPr>
        <w:spacing w:after="0" w:line="360" w:lineRule="auto"/>
        <w:ind w:left="284" w:right="284"/>
        <w:jc w:val="both"/>
        <w:rPr>
          <w:rFonts w:ascii="Garamond" w:hAnsi="Garamond"/>
          <w:shd w:val="clear" w:color="auto" w:fill="FFFFFF"/>
        </w:rPr>
      </w:pPr>
      <w:r>
        <w:rPr>
          <w:rFonts w:ascii="Garamond" w:hAnsi="Garamond"/>
        </w:rPr>
        <w:t xml:space="preserve"> </w:t>
      </w:r>
      <w:r w:rsidRPr="002650CB">
        <w:rPr>
          <w:rFonts w:ascii="Garamond" w:hAnsi="Garamond"/>
        </w:rPr>
        <w:t xml:space="preserve">Key members of the AAM </w:t>
      </w:r>
      <w:r w:rsidRPr="002650CB">
        <w:rPr>
          <w:rFonts w:ascii="Garamond" w:hAnsi="Garamond"/>
          <w:shd w:val="clear" w:color="auto" w:fill="FFFFFF"/>
        </w:rPr>
        <w:t xml:space="preserve">did not engage more fully with the racial politics of black Britain ...(because) they felt that the Movement would become ‘distracted’ with British black politics. Some individuals argued that British blacks and Africans in South Africa had nothing in common and did not share an affinity. For them the racism of South Africa </w:t>
      </w:r>
      <w:r>
        <w:rPr>
          <w:rFonts w:ascii="Garamond" w:hAnsi="Garamond"/>
          <w:shd w:val="clear" w:color="auto" w:fill="FFFFFF"/>
        </w:rPr>
        <w:t>and Britain were too dissimilar.</w:t>
      </w:r>
      <w:r w:rsidRPr="002650CB">
        <w:rPr>
          <w:rFonts w:ascii="Garamond" w:hAnsi="Garamond"/>
          <w:shd w:val="clear" w:color="auto" w:fill="FFFFFF"/>
        </w:rPr>
        <w:t xml:space="preserve"> (</w:t>
      </w:r>
      <w:r>
        <w:rPr>
          <w:rFonts w:ascii="Garamond" w:hAnsi="Garamond"/>
          <w:shd w:val="clear" w:color="auto" w:fill="FFFFFF"/>
        </w:rPr>
        <w:t>2012: 692)</w:t>
      </w:r>
    </w:p>
    <w:p w:rsidR="00A371B8" w:rsidRPr="002650CB" w:rsidRDefault="00A371B8" w:rsidP="00A371B8">
      <w:pPr>
        <w:spacing w:after="0" w:line="360" w:lineRule="auto"/>
        <w:ind w:left="284" w:right="284"/>
        <w:jc w:val="both"/>
        <w:rPr>
          <w:rFonts w:ascii="Garamond" w:hAnsi="Garamond"/>
          <w:shd w:val="clear" w:color="auto" w:fill="FFFFFF"/>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sz w:val="24"/>
          <w:szCs w:val="24"/>
          <w:shd w:val="clear" w:color="auto" w:fill="FFFFFF"/>
        </w:rPr>
        <w:t>Of particular interest is</w:t>
      </w:r>
      <w:r w:rsidRPr="002650CB">
        <w:rPr>
          <w:rFonts w:ascii="Garamond" w:hAnsi="Garamond" w:cs="Minion-Regular"/>
          <w:sz w:val="24"/>
          <w:szCs w:val="24"/>
        </w:rPr>
        <w:t xml:space="preserve"> a report by the Black and Ethnic Minority (BEM) Committee on black activist perceptions of the British AAM: </w:t>
      </w:r>
    </w:p>
    <w:p w:rsidR="00A371B8" w:rsidRPr="002650CB" w:rsidRDefault="00A371B8" w:rsidP="00A371B8">
      <w:pPr>
        <w:spacing w:after="0" w:line="360" w:lineRule="auto"/>
        <w:jc w:val="both"/>
        <w:rPr>
          <w:rStyle w:val="apple-converted-space"/>
        </w:rPr>
      </w:pPr>
    </w:p>
    <w:p w:rsidR="00A371B8" w:rsidRDefault="00A371B8" w:rsidP="00A371B8">
      <w:pPr>
        <w:spacing w:after="0" w:line="360" w:lineRule="auto"/>
        <w:ind w:left="284" w:right="284"/>
        <w:jc w:val="both"/>
        <w:rPr>
          <w:rFonts w:ascii="Garamond" w:hAnsi="Garamond"/>
          <w:shd w:val="clear" w:color="auto" w:fill="FFFFFF"/>
        </w:rPr>
      </w:pPr>
      <w:r w:rsidRPr="002650CB">
        <w:rPr>
          <w:rFonts w:ascii="Garamond" w:hAnsi="Garamond"/>
          <w:shd w:val="clear" w:color="auto" w:fill="FFFFFF"/>
        </w:rPr>
        <w:lastRenderedPageBreak/>
        <w:t>The report was used as a basis of discussion in a number of local Anti-Apartheid groups...</w:t>
      </w:r>
      <w:r w:rsidRPr="002650CB">
        <w:rPr>
          <w:rStyle w:val="apple-converted-space"/>
          <w:rFonts w:ascii="Garamond" w:hAnsi="Garamond"/>
          <w:shd w:val="clear" w:color="auto" w:fill="FFFFFF"/>
        </w:rPr>
        <w:t> </w:t>
      </w:r>
      <w:r w:rsidRPr="002650CB">
        <w:rPr>
          <w:rFonts w:ascii="Garamond" w:hAnsi="Garamond"/>
        </w:rPr>
        <w:br/>
      </w:r>
      <w:r w:rsidRPr="002650CB">
        <w:rPr>
          <w:rFonts w:ascii="Garamond" w:hAnsi="Garamond"/>
          <w:shd w:val="clear" w:color="auto" w:fill="FFFFFF"/>
        </w:rPr>
        <w:t>According to the report the AAM...[seemed] disinterested…uninvolved…and even unsympathetic to the anti-racist struggles in Britain, whilst shouting at the top of its voice how anti-racist it is in f</w:t>
      </w:r>
      <w:r>
        <w:rPr>
          <w:rFonts w:ascii="Garamond" w:hAnsi="Garamond"/>
          <w:shd w:val="clear" w:color="auto" w:fill="FFFFFF"/>
        </w:rPr>
        <w:t>ar-off South Africa and Namibia. (Williams, 2012: 694)</w:t>
      </w:r>
    </w:p>
    <w:p w:rsidR="00A371B8" w:rsidRPr="002650CB" w:rsidRDefault="00A371B8" w:rsidP="00A371B8">
      <w:pPr>
        <w:spacing w:after="0" w:line="360" w:lineRule="auto"/>
        <w:ind w:left="284" w:right="284"/>
        <w:jc w:val="both"/>
        <w:rPr>
          <w:rFonts w:ascii="Garamond" w:hAnsi="Garamond"/>
          <w:shd w:val="clear" w:color="auto" w:fill="FFFFFF"/>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The interview extracts from former BEM and AAM members complicate Goldberg's analytical framework.  It is clear that there were anti-apartheid activists not motivated by achieving proximate racial justice as either a symbolic or practical goal. More pertinently, for some activists this was not about an ambivalence or indifference towards British antiracism, but a consciously performed politics that dampened and denied the interrelatedness of apartheid and British racisms. In positioning anti-apartheid as the third stage of a global antiracism, Goldberg places anti-apartheid and antiracism as mutually affirming conditions rather than ideas, practices and identities of resistance to white supremacy that intersect each other in potentially fragmentary, contradictive and antagonistic ways. The key mute point is that antiracism and anti-apartheid produced proximate and distanciated imaginations of racisms, different spatial limitations, and relational and territorialized interpretations of the cut and thr</w:t>
      </w:r>
      <w:r>
        <w:rPr>
          <w:rFonts w:ascii="Garamond" w:hAnsi="Garamond" w:cs="Minion-Regular"/>
          <w:sz w:val="24"/>
          <w:szCs w:val="24"/>
        </w:rPr>
        <w:t>ust of racisms.</w:t>
      </w:r>
    </w:p>
    <w:p w:rsidR="00A371B8"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Style w:val="Strong"/>
        </w:rPr>
      </w:pPr>
      <w:r w:rsidRPr="002650CB">
        <w:rPr>
          <w:rFonts w:ascii="Garamond" w:hAnsi="Garamond" w:cs="Minion-Regular"/>
          <w:sz w:val="24"/>
          <w:szCs w:val="24"/>
        </w:rPr>
        <w:t xml:space="preserve">There are few comparable studies in Holland to Williams' work on British anti-apartheid and antiracism. </w:t>
      </w:r>
      <w:r w:rsidRPr="002650CB">
        <w:rPr>
          <w:rFonts w:ascii="Garamond" w:hAnsi="Garamond"/>
          <w:sz w:val="24"/>
          <w:szCs w:val="24"/>
        </w:rPr>
        <w:t xml:space="preserve">Wertheim's (1991) paper entitled </w:t>
      </w:r>
      <w:r w:rsidRPr="002650CB">
        <w:rPr>
          <w:rFonts w:ascii="Garamond" w:hAnsi="Garamond"/>
          <w:b/>
          <w:sz w:val="24"/>
          <w:szCs w:val="24"/>
        </w:rPr>
        <w:t>"</w:t>
      </w:r>
      <w:r w:rsidRPr="002650CB">
        <w:rPr>
          <w:rStyle w:val="Strong"/>
          <w:rFonts w:ascii="Garamond" w:hAnsi="Garamond"/>
          <w:b w:val="0"/>
          <w:color w:val="000000"/>
          <w:sz w:val="24"/>
          <w:szCs w:val="24"/>
          <w:shd w:val="clear" w:color="auto" w:fill="FFFFFF"/>
        </w:rPr>
        <w:t>Koloniaal racisme in Indonesië : ons onverwerkt verleden?" ("Colonial racism in Indonesia: our unprocessed past?"), traces a comparison between colonial racism in Indonesia and cultural racism in Holland. But subsequent to the controversial publication of this work, postcolonial work on racism in Holland has tended to focus on either colonial Indonesia or contemporary Islamophobia. It has entirely abstained from studying the relationship between race, antiracisms and anti-apartheid activism. Instead,</w:t>
      </w:r>
      <w:r>
        <w:rPr>
          <w:rStyle w:val="Strong"/>
          <w:rFonts w:ascii="Garamond" w:hAnsi="Garamond"/>
          <w:b w:val="0"/>
          <w:color w:val="000000"/>
          <w:sz w:val="24"/>
          <w:szCs w:val="24"/>
          <w:shd w:val="clear" w:color="auto" w:fill="FFFFFF"/>
        </w:rPr>
        <w:t xml:space="preserve"> as I showed in Chapter Three</w:t>
      </w:r>
      <w:r w:rsidRPr="002650CB">
        <w:rPr>
          <w:rStyle w:val="Strong"/>
          <w:rFonts w:ascii="Garamond" w:hAnsi="Garamond"/>
          <w:b w:val="0"/>
          <w:color w:val="000000"/>
          <w:sz w:val="24"/>
          <w:szCs w:val="24"/>
          <w:shd w:val="clear" w:color="auto" w:fill="FFFFFF"/>
        </w:rPr>
        <w:t xml:space="preserve"> popular anti-apartheid histories tend to reflect an atavistic denial of the role of race and racializations.</w:t>
      </w:r>
    </w:p>
    <w:p w:rsidR="00A371B8" w:rsidRPr="00B02DFB" w:rsidRDefault="00A371B8" w:rsidP="00A371B8">
      <w:pPr>
        <w:spacing w:after="0" w:line="360" w:lineRule="auto"/>
        <w:jc w:val="both"/>
        <w:rPr>
          <w:rStyle w:val="Strong"/>
        </w:rPr>
      </w:pPr>
    </w:p>
    <w:p w:rsidR="00A371B8" w:rsidRDefault="00A371B8" w:rsidP="00A371B8">
      <w:pPr>
        <w:spacing w:after="0" w:line="360" w:lineRule="auto"/>
        <w:jc w:val="both"/>
        <w:rPr>
          <w:rFonts w:ascii="Garamond" w:hAnsi="Garamond" w:cs="Minion-Regular"/>
          <w:sz w:val="24"/>
          <w:szCs w:val="24"/>
        </w:rPr>
      </w:pPr>
      <w:r>
        <w:rPr>
          <w:rFonts w:ascii="Garamond" w:hAnsi="Garamond" w:cs="Minion-Regular"/>
          <w:sz w:val="24"/>
          <w:szCs w:val="24"/>
        </w:rPr>
        <w:t xml:space="preserve">Let me briefly return to </w:t>
      </w:r>
      <w:r w:rsidRPr="002650CB">
        <w:rPr>
          <w:rFonts w:ascii="Garamond" w:hAnsi="Garamond" w:cs="Minion-Regular"/>
          <w:sz w:val="24"/>
          <w:szCs w:val="24"/>
        </w:rPr>
        <w:t>histories of Dutch anti-apartheid</w:t>
      </w:r>
      <w:r>
        <w:rPr>
          <w:rFonts w:ascii="Garamond" w:hAnsi="Garamond" w:cs="Minion-Regular"/>
          <w:sz w:val="24"/>
          <w:szCs w:val="24"/>
        </w:rPr>
        <w:t xml:space="preserve"> I mentioned in Chapter Three. These histories</w:t>
      </w:r>
      <w:r w:rsidRPr="002650CB">
        <w:rPr>
          <w:rFonts w:ascii="Garamond" w:hAnsi="Garamond" w:cs="Minion-Regular"/>
          <w:sz w:val="24"/>
          <w:szCs w:val="24"/>
        </w:rPr>
        <w:t xml:space="preserve"> written by Sietse Bosgra in SADET</w:t>
      </w:r>
      <w:r w:rsidRPr="002650CB">
        <w:rPr>
          <w:rStyle w:val="FootnoteReference"/>
          <w:rFonts w:ascii="Garamond" w:hAnsi="Garamond" w:cs="Minion-Regular"/>
          <w:sz w:val="24"/>
          <w:szCs w:val="24"/>
        </w:rPr>
        <w:footnoteReference w:id="242"/>
      </w:r>
      <w:r w:rsidRPr="002650CB">
        <w:rPr>
          <w:rFonts w:ascii="Garamond" w:hAnsi="Garamond" w:cs="Minion-Regular"/>
          <w:sz w:val="24"/>
          <w:szCs w:val="24"/>
        </w:rPr>
        <w:t xml:space="preserve"> and on the IISH</w:t>
      </w:r>
      <w:r w:rsidRPr="002650CB">
        <w:rPr>
          <w:rStyle w:val="FootnoteReference"/>
          <w:rFonts w:ascii="Garamond" w:hAnsi="Garamond" w:cs="Minion-Regular"/>
          <w:sz w:val="24"/>
          <w:szCs w:val="24"/>
        </w:rPr>
        <w:footnoteReference w:id="243"/>
      </w:r>
      <w:r>
        <w:rPr>
          <w:rFonts w:ascii="Garamond" w:hAnsi="Garamond" w:cs="Minion-Regular"/>
          <w:sz w:val="24"/>
          <w:szCs w:val="24"/>
        </w:rPr>
        <w:t xml:space="preserve"> website are not defined by a commitment to antiracism but instead by a patriotic sense of achievement, an</w:t>
      </w:r>
      <w:r w:rsidRPr="002650CB">
        <w:rPr>
          <w:rFonts w:ascii="Garamond" w:hAnsi="Garamond" w:cs="Minion-Regular"/>
          <w:sz w:val="24"/>
          <w:szCs w:val="24"/>
        </w:rPr>
        <w:t xml:space="preserve"> avowal of apartheid's Fascist roots, and a commitment to historicizing the cultural separation between apartheid and Dutch coloniali</w:t>
      </w:r>
      <w:r>
        <w:rPr>
          <w:rFonts w:ascii="Garamond" w:hAnsi="Garamond" w:cs="Minion-Regular"/>
          <w:sz w:val="24"/>
          <w:szCs w:val="24"/>
        </w:rPr>
        <w:t>sm. To open the chapter Bosgra dismisses claims that</w:t>
      </w:r>
      <w:r w:rsidRPr="002650CB">
        <w:rPr>
          <w:rFonts w:ascii="Garamond" w:hAnsi="Garamond" w:cs="Minion-Regular"/>
          <w:sz w:val="24"/>
          <w:szCs w:val="24"/>
        </w:rPr>
        <w:t xml:space="preserve"> aparthei</w:t>
      </w:r>
      <w:r>
        <w:rPr>
          <w:rFonts w:ascii="Garamond" w:hAnsi="Garamond" w:cs="Minion-Regular"/>
          <w:sz w:val="24"/>
          <w:szCs w:val="24"/>
        </w:rPr>
        <w:t>d and</w:t>
      </w:r>
      <w:r w:rsidRPr="002650CB">
        <w:rPr>
          <w:rFonts w:ascii="Garamond" w:hAnsi="Garamond" w:cs="Minion-Regular"/>
          <w:sz w:val="24"/>
          <w:szCs w:val="24"/>
        </w:rPr>
        <w:t xml:space="preserve"> Dutch colonialism</w:t>
      </w:r>
      <w:r>
        <w:rPr>
          <w:rFonts w:ascii="Garamond" w:hAnsi="Garamond" w:cs="Minion-Regular"/>
          <w:sz w:val="24"/>
          <w:szCs w:val="24"/>
        </w:rPr>
        <w:t xml:space="preserve"> were linked</w:t>
      </w:r>
      <w:r w:rsidRPr="002650CB">
        <w:rPr>
          <w:rFonts w:ascii="Garamond" w:hAnsi="Garamond" w:cs="Minion-Regular"/>
          <w:sz w:val="24"/>
          <w:szCs w:val="24"/>
        </w:rPr>
        <w:t xml:space="preserve">: "yes, apartheid is a </w:t>
      </w:r>
      <w:r w:rsidRPr="002650CB">
        <w:rPr>
          <w:rFonts w:ascii="Garamond" w:hAnsi="Garamond" w:cs="Minion-Regular"/>
          <w:sz w:val="24"/>
          <w:szCs w:val="24"/>
        </w:rPr>
        <w:lastRenderedPageBreak/>
        <w:t xml:space="preserve">Dutch- </w:t>
      </w:r>
      <w:r w:rsidRPr="00D16EA1">
        <w:rPr>
          <w:rFonts w:ascii="Garamond" w:hAnsi="Garamond" w:cs="Minion-Regular"/>
          <w:sz w:val="24"/>
          <w:szCs w:val="24"/>
        </w:rPr>
        <w:t xml:space="preserve">sounding </w:t>
      </w:r>
      <w:r w:rsidRPr="002650CB">
        <w:rPr>
          <w:rFonts w:ascii="Garamond" w:hAnsi="Garamond" w:cs="Minion-Regular"/>
          <w:sz w:val="24"/>
          <w:szCs w:val="24"/>
        </w:rPr>
        <w:t>word,</w:t>
      </w:r>
      <w:r w:rsidRPr="002650CB">
        <w:rPr>
          <w:rFonts w:ascii="Garamond" w:hAnsi="Garamond"/>
          <w:sz w:val="24"/>
          <w:szCs w:val="24"/>
        </w:rPr>
        <w:t xml:space="preserve"> </w:t>
      </w:r>
      <w:r w:rsidRPr="002650CB">
        <w:rPr>
          <w:rFonts w:ascii="Garamond" w:hAnsi="Garamond" w:cs="Minion-Regular"/>
          <w:sz w:val="24"/>
          <w:szCs w:val="24"/>
        </w:rPr>
        <w:t>but it only has meaning in connection with Sou</w:t>
      </w:r>
      <w:r>
        <w:rPr>
          <w:rFonts w:ascii="Garamond" w:hAnsi="Garamond" w:cs="Minion-Regular"/>
          <w:sz w:val="24"/>
          <w:szCs w:val="24"/>
        </w:rPr>
        <w:t>th Africa"</w:t>
      </w:r>
      <w:r w:rsidRPr="002650CB">
        <w:rPr>
          <w:rFonts w:ascii="Garamond" w:hAnsi="Garamond" w:cs="Minion-Regular"/>
          <w:sz w:val="24"/>
          <w:szCs w:val="24"/>
        </w:rPr>
        <w:t>.</w:t>
      </w:r>
      <w:r w:rsidRPr="002650CB">
        <w:rPr>
          <w:rStyle w:val="FootnoteReference"/>
          <w:rFonts w:ascii="Garamond" w:hAnsi="Garamond"/>
          <w:sz w:val="24"/>
          <w:szCs w:val="24"/>
        </w:rPr>
        <w:footnoteReference w:id="244"/>
      </w:r>
      <w:r w:rsidRPr="002650CB">
        <w:rPr>
          <w:rFonts w:ascii="Garamond" w:hAnsi="Garamond" w:cs="Minion-Regular"/>
          <w:sz w:val="24"/>
          <w:szCs w:val="24"/>
        </w:rPr>
        <w:t xml:space="preserve"> Briefly giving over his authorial voice to an imagined  dissenter, he adds, "but Henrik Verwoerd, the man who introduced formal apartheid policies in South Africa, was a Dutchman?" Bosgra returns to himself with, "yes, he was born in Amsterdam in 1901, but left Holland for South Africa at the age of two".</w:t>
      </w:r>
      <w:r w:rsidRPr="002650CB">
        <w:rPr>
          <w:rStyle w:val="FootnoteReference"/>
          <w:rFonts w:ascii="Garamond" w:hAnsi="Garamond"/>
          <w:sz w:val="24"/>
          <w:szCs w:val="24"/>
        </w:rPr>
        <w:footnoteReference w:id="245"/>
      </w:r>
      <w:r w:rsidRPr="002650CB">
        <w:rPr>
          <w:rFonts w:ascii="Garamond" w:hAnsi="Garamond" w:cs="Minion-Regular"/>
          <w:sz w:val="24"/>
          <w:szCs w:val="24"/>
        </w:rPr>
        <w:t xml:space="preserve"> These contextualizing refutations align Bosgra's anti-apartheid narrative with nationalist public discourse. </w:t>
      </w:r>
      <w:r>
        <w:rPr>
          <w:rFonts w:ascii="Garamond" w:hAnsi="Garamond" w:cs="Minion-Regular"/>
          <w:sz w:val="24"/>
          <w:szCs w:val="24"/>
        </w:rPr>
        <w:t>I show that t</w:t>
      </w:r>
      <w:r w:rsidRPr="002650CB">
        <w:rPr>
          <w:rFonts w:ascii="Garamond" w:hAnsi="Garamond" w:cs="Minion-Regular"/>
          <w:sz w:val="24"/>
          <w:szCs w:val="24"/>
        </w:rPr>
        <w:t>his discourse produces an imagination of racism as limited to both the extraordinary landscapes of South African apartheid, and to the extremism of fascist racisms. The failure to see everyday racism in Holland, and the attempt to neatly fit racism into spatial containers, runs counter to CRT assertions that there is no outside to race and racialization, and to the assertion by critical geographers that racialization inhabits normalized and banal landscapes.</w:t>
      </w:r>
      <w:r w:rsidRPr="002650CB">
        <w:rPr>
          <w:rStyle w:val="FootnoteReference"/>
          <w:rFonts w:ascii="Garamond" w:hAnsi="Garamond" w:cs="Minion-Regular"/>
          <w:sz w:val="24"/>
          <w:szCs w:val="24"/>
        </w:rPr>
        <w:footnoteReference w:id="246"/>
      </w:r>
    </w:p>
    <w:p w:rsidR="00A371B8"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The sometimes contradictory politics of antiracism and anti-apartheid were played out across and within AAM organizations and networks. For Dutch anti-apartheid in the 1970s, local antiracist commitment by AAMs was the exception and not the rule</w:t>
      </w:r>
      <w:r w:rsidRPr="002650CB">
        <w:rPr>
          <w:rFonts w:ascii="Garamond" w:hAnsi="Garamond"/>
          <w:sz w:val="24"/>
          <w:szCs w:val="24"/>
        </w:rPr>
        <w:t xml:space="preserve">. During this period the BOA were the sole AAM in Holland explicitly claiming to be both anti-apartheid </w:t>
      </w:r>
      <w:r w:rsidRPr="002650CB">
        <w:rPr>
          <w:rFonts w:ascii="Garamond" w:hAnsi="Garamond"/>
          <w:i/>
          <w:sz w:val="24"/>
          <w:szCs w:val="24"/>
        </w:rPr>
        <w:t>and</w:t>
      </w:r>
      <w:r w:rsidRPr="002650CB">
        <w:rPr>
          <w:rFonts w:ascii="Garamond" w:hAnsi="Garamond"/>
          <w:sz w:val="24"/>
          <w:szCs w:val="24"/>
        </w:rPr>
        <w:t xml:space="preserve"> antiracist</w:t>
      </w:r>
      <w:r>
        <w:rPr>
          <w:rFonts w:ascii="Garamond" w:hAnsi="Garamond"/>
          <w:sz w:val="24"/>
          <w:szCs w:val="24"/>
        </w:rPr>
        <w:t xml:space="preserve"> (Muskens, 2013 forthcoming)</w:t>
      </w:r>
      <w:r w:rsidRPr="002650CB">
        <w:rPr>
          <w:rFonts w:ascii="Garamond" w:hAnsi="Garamond"/>
          <w:sz w:val="24"/>
          <w:szCs w:val="24"/>
        </w:rPr>
        <w:t>. At times, for the BOA, these two activist identities produ</w:t>
      </w:r>
      <w:r>
        <w:rPr>
          <w:rFonts w:ascii="Garamond" w:hAnsi="Garamond"/>
          <w:sz w:val="24"/>
          <w:szCs w:val="24"/>
        </w:rPr>
        <w:t>ced contradictory racial imaginaries</w:t>
      </w:r>
      <w:r w:rsidRPr="002650CB">
        <w:rPr>
          <w:rFonts w:ascii="Garamond" w:hAnsi="Garamond"/>
          <w:sz w:val="24"/>
          <w:szCs w:val="24"/>
        </w:rPr>
        <w:t xml:space="preserve"> </w:t>
      </w:r>
      <w:r>
        <w:rPr>
          <w:rFonts w:ascii="Garamond" w:hAnsi="Garamond"/>
          <w:sz w:val="24"/>
          <w:szCs w:val="24"/>
        </w:rPr>
        <w:t xml:space="preserve">(as with the migration boycott's vengeful black revolutionary and the ideal of Nonracial Internationalism), </w:t>
      </w:r>
      <w:r w:rsidRPr="002650CB">
        <w:rPr>
          <w:rFonts w:ascii="Garamond" w:hAnsi="Garamond"/>
          <w:sz w:val="24"/>
          <w:szCs w:val="24"/>
        </w:rPr>
        <w:t xml:space="preserve">and unique challenges for the organization (within the context of Dutch anti-apartheid). </w:t>
      </w:r>
      <w:r w:rsidRPr="002650CB">
        <w:rPr>
          <w:rFonts w:ascii="Garamond" w:hAnsi="Garamond" w:cs="Minion-Regular"/>
          <w:sz w:val="24"/>
          <w:szCs w:val="24"/>
        </w:rPr>
        <w:t>So, instead of viewing anti-apartheid as a stage of global antiracism it is vital to harness a more context specific and material framework for investigating the place-based social relations between antiracisms and anti-apartheid. One of the means for doing this is to look at the types of solidarities that were formed between different organizations and individuals.</w:t>
      </w:r>
    </w:p>
    <w:p w:rsidR="001731AC" w:rsidRDefault="001731AC"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cs="Minion-Regular"/>
          <w:sz w:val="24"/>
          <w:szCs w:val="24"/>
        </w:rPr>
      </w:pPr>
    </w:p>
    <w:p w:rsidR="00A371B8" w:rsidRPr="00B02DFB" w:rsidRDefault="00A371B8" w:rsidP="00A371B8">
      <w:pPr>
        <w:spacing w:after="0" w:line="360" w:lineRule="auto"/>
        <w:jc w:val="both"/>
        <w:rPr>
          <w:rFonts w:ascii="Garamond" w:hAnsi="Garamond" w:cs="Minion-Regular"/>
          <w:b/>
          <w:i/>
          <w:szCs w:val="24"/>
        </w:rPr>
      </w:pPr>
      <w:r w:rsidRPr="00B02DFB">
        <w:rPr>
          <w:rFonts w:ascii="Garamond" w:hAnsi="Garamond" w:cs="Minion-Regular"/>
          <w:b/>
          <w:i/>
          <w:szCs w:val="24"/>
        </w:rPr>
        <w:lastRenderedPageBreak/>
        <w:t>Some solidarity politics</w:t>
      </w:r>
    </w:p>
    <w:p w:rsidR="00A371B8" w:rsidRDefault="00A371B8" w:rsidP="00A371B8">
      <w:pPr>
        <w:spacing w:after="0" w:line="360" w:lineRule="auto"/>
        <w:jc w:val="both"/>
        <w:rPr>
          <w:rFonts w:ascii="Garamond" w:hAnsi="Garamond" w:cs="Minion-Regular"/>
          <w:i/>
          <w:sz w:val="24"/>
          <w:szCs w:val="24"/>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In the main, Dutch AAMs were explicit in publicizing a politics of solidarity as a guarantee of their own credibility. Genevieve Klein's (2001) thesis on Dutch AAMs (1960-1995) reads as a celebration of Dutch solidarity 'shown' and 'formed' towards South Africa.</w:t>
      </w:r>
      <w:r>
        <w:rPr>
          <w:rFonts w:ascii="Garamond" w:hAnsi="Garamond" w:cs="Minion-Regular"/>
          <w:sz w:val="24"/>
          <w:szCs w:val="24"/>
        </w:rPr>
        <w:t xml:space="preserve"> Solidarity in her account is an</w:t>
      </w:r>
      <w:r w:rsidRPr="002650CB">
        <w:rPr>
          <w:rFonts w:ascii="Garamond" w:hAnsi="Garamond" w:cs="Minion-Regular"/>
          <w:sz w:val="24"/>
          <w:szCs w:val="24"/>
        </w:rPr>
        <w:t xml:space="preserve"> essentialized condition. The Dutch AAMs are described as 'solidarity movements', they show solidarity to South Africa as a whole or to the liberation movements. Although solidarity clearly defines the AAMs actions, Klein does not unpack what solidarity is, and how it differed. </w:t>
      </w:r>
      <w:r>
        <w:rPr>
          <w:rFonts w:ascii="Garamond" w:hAnsi="Garamond" w:cs="Minion-Regular"/>
          <w:sz w:val="24"/>
          <w:szCs w:val="24"/>
        </w:rPr>
        <w:t xml:space="preserve">Through the lens of their empirical study on the City Group's non-stop anti-apartheid picket of the 1980s, geographers Brown </w:t>
      </w:r>
      <w:r w:rsidR="00F152DB">
        <w:rPr>
          <w:rFonts w:ascii="Garamond" w:hAnsi="Garamond" w:cs="Minion-Regular"/>
          <w:sz w:val="24"/>
          <w:szCs w:val="24"/>
        </w:rPr>
        <w:t>and</w:t>
      </w:r>
      <w:r>
        <w:rPr>
          <w:rFonts w:ascii="Garamond" w:hAnsi="Garamond" w:cs="Minion-Regular"/>
          <w:sz w:val="24"/>
          <w:szCs w:val="24"/>
        </w:rPr>
        <w:t xml:space="preserve"> Yaffe (2013) draw from Massey (2008), to argue that solidarities were deployed by the City Group through mutual identifications, reflexive relationalities and shared egregious concerns:</w:t>
      </w:r>
    </w:p>
    <w:p w:rsidR="00A371B8" w:rsidRDefault="00A371B8" w:rsidP="00A371B8">
      <w:pPr>
        <w:spacing w:after="0" w:line="360" w:lineRule="auto"/>
        <w:jc w:val="both"/>
        <w:rPr>
          <w:rFonts w:ascii="Garamond" w:hAnsi="Garamond" w:cs="Minion-Regular"/>
          <w:sz w:val="24"/>
          <w:szCs w:val="24"/>
        </w:rPr>
      </w:pPr>
    </w:p>
    <w:p w:rsidR="00A371B8" w:rsidRPr="00E00B00" w:rsidRDefault="00A371B8" w:rsidP="00A371B8">
      <w:pPr>
        <w:autoSpaceDE w:val="0"/>
        <w:autoSpaceDN w:val="0"/>
        <w:adjustRightInd w:val="0"/>
        <w:spacing w:after="0" w:line="360" w:lineRule="auto"/>
        <w:ind w:left="284" w:right="284"/>
        <w:jc w:val="both"/>
        <w:rPr>
          <w:rFonts w:ascii="Garamond" w:hAnsi="Garamond" w:cs="AdvOT681422bb"/>
        </w:rPr>
      </w:pPr>
      <w:r w:rsidRPr="00E00B00">
        <w:rPr>
          <w:rFonts w:ascii="Garamond" w:hAnsi="Garamond" w:cs="AdvOT681422bb"/>
        </w:rPr>
        <w:t>In fact, the group deployed aspects of each of Massey's three approaches to fostering solidarity</w:t>
      </w:r>
      <w:r w:rsidRPr="00E00B00">
        <w:rPr>
          <w:rFonts w:ascii="Garamond" w:hAnsi="Garamond" w:cs="AdvOT681422bb+20"/>
        </w:rPr>
        <w:t>—</w:t>
      </w:r>
      <w:r w:rsidRPr="00E00B00">
        <w:rPr>
          <w:rFonts w:ascii="Garamond" w:hAnsi="Garamond" w:cs="AdvOT681422bb"/>
        </w:rPr>
        <w:t>it identi</w:t>
      </w:r>
      <w:r w:rsidRPr="00E00B00">
        <w:rPr>
          <w:rFonts w:ascii="Garamond" w:hAnsi="Garamond" w:cs="AdvOT681422bb+fb"/>
        </w:rPr>
        <w:t>fi</w:t>
      </w:r>
      <w:r w:rsidRPr="00E00B00">
        <w:rPr>
          <w:rFonts w:ascii="Garamond" w:hAnsi="Garamond" w:cs="AdvOT681422bb"/>
        </w:rPr>
        <w:t xml:space="preserve">ed British political and economic support for South Africa as a key issue (the material </w:t>
      </w:r>
      <w:r w:rsidRPr="00E00B00">
        <w:rPr>
          <w:rFonts w:ascii="Garamond" w:hAnsi="Garamond" w:cs="AdvOT681422bb+fb"/>
        </w:rPr>
        <w:t>fl</w:t>
      </w:r>
      <w:r w:rsidRPr="00E00B00">
        <w:rPr>
          <w:rFonts w:ascii="Garamond" w:hAnsi="Garamond" w:cs="AdvOT681422bb"/>
        </w:rPr>
        <w:t>ows</w:t>
      </w:r>
    </w:p>
    <w:p w:rsidR="00A371B8" w:rsidRPr="00E00B00" w:rsidRDefault="00A371B8" w:rsidP="00A371B8">
      <w:pPr>
        <w:autoSpaceDE w:val="0"/>
        <w:autoSpaceDN w:val="0"/>
        <w:adjustRightInd w:val="0"/>
        <w:spacing w:after="0" w:line="360" w:lineRule="auto"/>
        <w:ind w:left="284" w:right="284"/>
        <w:jc w:val="both"/>
        <w:rPr>
          <w:rFonts w:ascii="Garamond" w:hAnsi="Garamond" w:cs="AdvOT681422bb"/>
        </w:rPr>
      </w:pPr>
      <w:r w:rsidRPr="00E00B00">
        <w:rPr>
          <w:rFonts w:ascii="Garamond" w:hAnsi="Garamond" w:cs="AdvOT681422bb"/>
        </w:rPr>
        <w:t>between the two nations); it identi</w:t>
      </w:r>
      <w:r w:rsidRPr="00E00B00">
        <w:rPr>
          <w:rFonts w:ascii="Garamond" w:hAnsi="Garamond" w:cs="AdvOT681422bb+fb"/>
        </w:rPr>
        <w:t>fi</w:t>
      </w:r>
      <w:r w:rsidRPr="00E00B00">
        <w:rPr>
          <w:rFonts w:ascii="Garamond" w:hAnsi="Garamond" w:cs="AdvOT681422bb"/>
        </w:rPr>
        <w:t>ed common experiences of racism and oppression in both countries; and it identi</w:t>
      </w:r>
      <w:r w:rsidRPr="00E00B00">
        <w:rPr>
          <w:rFonts w:ascii="Garamond" w:hAnsi="Garamond" w:cs="AdvOT681422bb+fb"/>
        </w:rPr>
        <w:t>fi</w:t>
      </w:r>
      <w:r w:rsidRPr="00E00B00">
        <w:rPr>
          <w:rFonts w:ascii="Garamond" w:hAnsi="Garamond" w:cs="AdvOT681422bb"/>
        </w:rPr>
        <w:t>ed a common enemy in the form of the capitalist class. (2013: 6)</w:t>
      </w:r>
    </w:p>
    <w:p w:rsidR="00A371B8"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cs="Minion-Regular"/>
          <w:sz w:val="24"/>
          <w:szCs w:val="24"/>
        </w:rPr>
      </w:pPr>
      <w:r>
        <w:rPr>
          <w:rFonts w:ascii="Garamond" w:hAnsi="Garamond" w:cs="Minion-Regular"/>
          <w:sz w:val="24"/>
          <w:szCs w:val="24"/>
        </w:rPr>
        <w:t xml:space="preserve">As discussed in Chapter Five, my thinking around solidarity is based on the idea </w:t>
      </w:r>
      <w:r w:rsidRPr="00D663DF">
        <w:rPr>
          <w:rFonts w:ascii="Garamond" w:hAnsi="Garamond" w:cs="Minion-Regular"/>
          <w:sz w:val="24"/>
          <w:szCs w:val="24"/>
        </w:rPr>
        <w:t>delegating a degree of power and knowledge to those which care, empathy and mutual</w:t>
      </w:r>
      <w:r>
        <w:rPr>
          <w:rFonts w:ascii="Garamond" w:hAnsi="Garamond" w:cs="Minion-Regular"/>
          <w:sz w:val="24"/>
          <w:szCs w:val="24"/>
        </w:rPr>
        <w:t xml:space="preserve"> identification is directed towards. Far </w:t>
      </w:r>
      <w:r w:rsidRPr="002650CB">
        <w:rPr>
          <w:rFonts w:ascii="Garamond" w:hAnsi="Garamond" w:cs="Minion-Regular"/>
          <w:sz w:val="24"/>
          <w:szCs w:val="24"/>
        </w:rPr>
        <w:t xml:space="preserve">from being a clear-cut guarantee of a politics or a worldview, solidarity as Gilmore (2006) and Featherstone (2012) write, is a transformative political relation that comes with no guarantees. Scratch under </w:t>
      </w:r>
      <w:r>
        <w:rPr>
          <w:rFonts w:ascii="Garamond" w:hAnsi="Garamond" w:cs="Minion-Regular"/>
          <w:sz w:val="24"/>
          <w:szCs w:val="24"/>
        </w:rPr>
        <w:t>its</w:t>
      </w:r>
      <w:r w:rsidRPr="002650CB">
        <w:rPr>
          <w:rFonts w:ascii="Garamond" w:hAnsi="Garamond" w:cs="Minion-Regular"/>
          <w:sz w:val="24"/>
          <w:szCs w:val="24"/>
        </w:rPr>
        <w:t xml:space="preserve"> vaunted polish and protean and uneven qualities are evident. The possibility of </w:t>
      </w:r>
      <w:r>
        <w:rPr>
          <w:rFonts w:ascii="Garamond" w:hAnsi="Garamond" w:cs="Minion-Regular"/>
          <w:sz w:val="24"/>
          <w:szCs w:val="24"/>
        </w:rPr>
        <w:t xml:space="preserve">anti-apartheid </w:t>
      </w:r>
      <w:r w:rsidRPr="002650CB">
        <w:rPr>
          <w:rFonts w:ascii="Garamond" w:hAnsi="Garamond" w:cs="Minion-Regular"/>
          <w:sz w:val="24"/>
          <w:szCs w:val="24"/>
        </w:rPr>
        <w:t>activists reproducing uneven geographies of race a</w:t>
      </w:r>
      <w:r>
        <w:rPr>
          <w:rFonts w:ascii="Garamond" w:hAnsi="Garamond" w:cs="Minion-Regular"/>
          <w:sz w:val="24"/>
          <w:szCs w:val="24"/>
        </w:rPr>
        <w:t xml:space="preserve">nd class is considered in Brown </w:t>
      </w:r>
      <w:r w:rsidR="00F152DB">
        <w:rPr>
          <w:rFonts w:ascii="Garamond" w:hAnsi="Garamond" w:cs="Minion-Regular"/>
          <w:sz w:val="24"/>
          <w:szCs w:val="24"/>
        </w:rPr>
        <w:t>and</w:t>
      </w:r>
      <w:r>
        <w:rPr>
          <w:rFonts w:ascii="Garamond" w:hAnsi="Garamond" w:cs="Minion-Regular"/>
          <w:sz w:val="24"/>
          <w:szCs w:val="24"/>
        </w:rPr>
        <w:t xml:space="preserve"> Yaffe's</w:t>
      </w:r>
      <w:r w:rsidRPr="002650CB">
        <w:rPr>
          <w:rFonts w:ascii="Garamond" w:hAnsi="Garamond" w:cs="Minion-Regular"/>
          <w:sz w:val="24"/>
          <w:szCs w:val="24"/>
        </w:rPr>
        <w:t xml:space="preserve"> </w:t>
      </w:r>
      <w:r>
        <w:rPr>
          <w:rFonts w:ascii="Garamond" w:hAnsi="Garamond" w:cs="Minion-Regular"/>
          <w:sz w:val="24"/>
          <w:szCs w:val="24"/>
        </w:rPr>
        <w:t>wider empirical project published on their website.</w:t>
      </w:r>
      <w:r>
        <w:rPr>
          <w:rStyle w:val="FootnoteReference"/>
          <w:rFonts w:ascii="Garamond" w:hAnsi="Garamond" w:cs="Minion-Regular"/>
          <w:sz w:val="24"/>
          <w:szCs w:val="24"/>
        </w:rPr>
        <w:footnoteReference w:id="247"/>
      </w:r>
      <w:r>
        <w:rPr>
          <w:rFonts w:ascii="Garamond" w:hAnsi="Garamond" w:cs="Minion-Regular"/>
          <w:sz w:val="24"/>
          <w:szCs w:val="24"/>
        </w:rPr>
        <w:t xml:space="preserve"> </w:t>
      </w:r>
      <w:r w:rsidRPr="002650CB">
        <w:rPr>
          <w:rFonts w:ascii="Garamond" w:hAnsi="Garamond" w:cs="Minion-Regular"/>
          <w:sz w:val="24"/>
          <w:szCs w:val="24"/>
        </w:rPr>
        <w:t xml:space="preserve">The use of solidarity by geographers Massey (2004), Featherstone (2012) and Brown </w:t>
      </w:r>
      <w:r w:rsidR="00F152DB">
        <w:rPr>
          <w:rFonts w:ascii="Garamond" w:hAnsi="Garamond" w:cs="Minion-Regular"/>
          <w:sz w:val="24"/>
          <w:szCs w:val="24"/>
        </w:rPr>
        <w:t>and</w:t>
      </w:r>
      <w:r w:rsidRPr="002650CB">
        <w:rPr>
          <w:rFonts w:ascii="Garamond" w:hAnsi="Garamond" w:cs="Minion-Regular"/>
          <w:sz w:val="24"/>
          <w:szCs w:val="24"/>
        </w:rPr>
        <w:t xml:space="preserve"> Yaffe (2013) seems to me well suited for thinking through how anti-apartheid and antiracism are generative conditions that are materially and socially produced, while Klein's </w:t>
      </w:r>
      <w:r>
        <w:rPr>
          <w:rFonts w:ascii="Garamond" w:hAnsi="Garamond" w:cs="Minion-Regular"/>
          <w:sz w:val="24"/>
          <w:szCs w:val="24"/>
        </w:rPr>
        <w:t>(2001) work on Dutch anti-apartheid</w:t>
      </w:r>
      <w:r w:rsidRPr="002650CB">
        <w:rPr>
          <w:rFonts w:ascii="Garamond" w:hAnsi="Garamond" w:cs="Minion-Regular"/>
          <w:sz w:val="24"/>
          <w:szCs w:val="24"/>
        </w:rPr>
        <w:t xml:space="preserve"> appears to push analyses of solidarity towards its utility for AAMs as anti-apartheid social capital. </w:t>
      </w:r>
    </w:p>
    <w:p w:rsidR="00A371B8" w:rsidRPr="002650CB"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Featherstone's work on black internationalisms provides useful ways to think about how Dutch anti-apartheid produced (racialized) identities. Solidarity was</w:t>
      </w:r>
      <w:r w:rsidRPr="002650CB">
        <w:rPr>
          <w:rFonts w:ascii="Garamond" w:hAnsi="Garamond"/>
          <w:color w:val="111111"/>
          <w:sz w:val="24"/>
          <w:szCs w:val="24"/>
          <w:shd w:val="clear" w:color="auto" w:fill="FFFFFF"/>
        </w:rPr>
        <w:t xml:space="preserve"> "worked through and constructed in and between different sites" (Featherstone, 2012: 30),</w:t>
      </w:r>
      <w:r w:rsidRPr="002650CB">
        <w:rPr>
          <w:rFonts w:ascii="Garamond" w:hAnsi="Garamond" w:cs="Minion-Regular"/>
          <w:sz w:val="24"/>
          <w:szCs w:val="24"/>
        </w:rPr>
        <w:t xml:space="preserve"> and comprises of relational activities of exchange over uneven geographies. Below, I make the case that different solidarities constructed by Dutch AAMs with South African liberation movements created divisionary political identities between the AAMs in Holland that are still played out today. On the subject of the BOAs urban campaigns, du Plessis mentions a particular conflict with the Breda Azania Committee:</w:t>
      </w:r>
    </w:p>
    <w:p w:rsidR="00A371B8" w:rsidRPr="002650CB" w:rsidRDefault="00A371B8" w:rsidP="00A371B8">
      <w:pPr>
        <w:spacing w:after="0" w:line="360" w:lineRule="auto"/>
        <w:jc w:val="both"/>
        <w:rPr>
          <w:rFonts w:ascii="Garamond" w:hAnsi="Garamond" w:cs="Minion-Regular"/>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We had confrontations in Breda with the Azania Committee. They were a Maoist group supporting the PAC. They had other ideas, but in Rotterdam we found enough common ground for them to be part of the town campaign 'Rotterdam against Apartheid'. They behaved well and they were free to support the PAC</w:t>
      </w:r>
      <w:r w:rsidRPr="002650CB">
        <w:rPr>
          <w:rStyle w:val="FootnoteReference"/>
          <w:rFonts w:ascii="Garamond" w:hAnsi="Garamond"/>
        </w:rPr>
        <w:footnoteReference w:id="248"/>
      </w:r>
      <w:r w:rsidRPr="002650CB">
        <w:rPr>
          <w:rFonts w:ascii="Garamond" w:hAnsi="Garamond"/>
        </w:rPr>
        <w:t xml:space="preserve"> and we supported the ANC, no problem. But in Breda they were an issue.</w:t>
      </w: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What was the nature of the conflict between the Azania Breda and the BOA?</w:t>
      </w: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xml:space="preserve">: The Azania committee were a one item group- they only supported the PAC- that was too limited for an antiracist and anti-apartheid urban campaign, and was unacceptable to us. Because, you see, activism to us is something inclusive and not exclusive, especially in combating racism. We asked the participants what we should do, and then the majority said we should go it alone. And what happened was every meeting we had, the Azania Committee  had a little demonstration outside the building with their message. But they didn't come into the meetings - and that was not pleasant. </w:t>
      </w:r>
      <w:r>
        <w:rPr>
          <w:rFonts w:ascii="Garamond" w:hAnsi="Garamond"/>
        </w:rPr>
        <w:t>(Interview du Plessis 2013)</w:t>
      </w:r>
    </w:p>
    <w:p w:rsidR="00A371B8"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According to du Plessis, the conflict between the BOA and Breda Azania Committee was centred around inclusive and exclusive practices of solidarity. The BOA were a non-sectarian solidarity movement; they were willing to cooperate with organizations outside of South Africa who forged solidarities different to their own (with the ANC and SACTU). In contrast, the Breda Azania Committee are described</w:t>
      </w:r>
      <w:r>
        <w:rPr>
          <w:rFonts w:ascii="Garamond" w:hAnsi="Garamond" w:cs="Minion-Regular"/>
          <w:sz w:val="24"/>
          <w:szCs w:val="24"/>
        </w:rPr>
        <w:t xml:space="preserve"> by du Plessis</w:t>
      </w:r>
      <w:r w:rsidRPr="002650CB">
        <w:rPr>
          <w:rFonts w:ascii="Garamond" w:hAnsi="Garamond" w:cs="Minion-Regular"/>
          <w:sz w:val="24"/>
          <w:szCs w:val="24"/>
        </w:rPr>
        <w:t xml:space="preserve"> as a</w:t>
      </w:r>
      <w:r>
        <w:rPr>
          <w:rFonts w:ascii="Garamond" w:hAnsi="Garamond" w:cs="Minion-Regular"/>
          <w:sz w:val="24"/>
          <w:szCs w:val="24"/>
        </w:rPr>
        <w:t xml:space="preserve"> </w:t>
      </w:r>
      <w:r w:rsidRPr="002650CB">
        <w:rPr>
          <w:rFonts w:ascii="Garamond" w:hAnsi="Garamond" w:cs="Minion-Regular"/>
          <w:sz w:val="24"/>
          <w:szCs w:val="24"/>
        </w:rPr>
        <w:t>sectarian solidarity organization, "a one action group"</w:t>
      </w:r>
      <w:r>
        <w:rPr>
          <w:rFonts w:ascii="Garamond" w:hAnsi="Garamond" w:cs="Minion-Regular"/>
          <w:sz w:val="24"/>
          <w:szCs w:val="24"/>
        </w:rPr>
        <w:t xml:space="preserve"> (interview du Plessis, 2013)</w:t>
      </w:r>
      <w:r w:rsidRPr="002650CB">
        <w:rPr>
          <w:rFonts w:ascii="Garamond" w:hAnsi="Garamond" w:cs="Minion-Regular"/>
          <w:sz w:val="24"/>
          <w:szCs w:val="24"/>
        </w:rPr>
        <w:t>. In du Plessis</w:t>
      </w:r>
      <w:r>
        <w:rPr>
          <w:rFonts w:ascii="Garamond" w:hAnsi="Garamond" w:cs="Minion-Regular"/>
          <w:sz w:val="24"/>
          <w:szCs w:val="24"/>
        </w:rPr>
        <w:t>'</w:t>
      </w:r>
      <w:r w:rsidRPr="002650CB">
        <w:rPr>
          <w:rFonts w:ascii="Garamond" w:hAnsi="Garamond" w:cs="Minion-Regular"/>
          <w:sz w:val="24"/>
          <w:szCs w:val="24"/>
        </w:rPr>
        <w:t xml:space="preserve"> account, during the town campaign they would not permit fundraising activities for the ANC and SACTU alongside their own for the PAC.</w:t>
      </w:r>
      <w:r w:rsidRPr="002650CB">
        <w:rPr>
          <w:rStyle w:val="FootnoteReference"/>
          <w:rFonts w:ascii="Garamond" w:hAnsi="Garamond" w:cs="Minion-Regular"/>
          <w:sz w:val="24"/>
          <w:szCs w:val="24"/>
        </w:rPr>
        <w:footnoteReference w:id="249"/>
      </w:r>
      <w:r w:rsidRPr="002650CB">
        <w:rPr>
          <w:rFonts w:ascii="Garamond" w:hAnsi="Garamond" w:cs="Minion-Regular"/>
          <w:sz w:val="24"/>
          <w:szCs w:val="24"/>
        </w:rPr>
        <w:t xml:space="preserve"> The episode il</w:t>
      </w:r>
      <w:r>
        <w:rPr>
          <w:rFonts w:ascii="Garamond" w:hAnsi="Garamond" w:cs="Minion-Regular"/>
          <w:sz w:val="24"/>
          <w:szCs w:val="24"/>
        </w:rPr>
        <w:t xml:space="preserve">lustrates </w:t>
      </w:r>
      <w:r>
        <w:rPr>
          <w:rFonts w:ascii="Garamond" w:hAnsi="Garamond" w:cs="Minion-Regular"/>
          <w:sz w:val="24"/>
          <w:szCs w:val="24"/>
        </w:rPr>
        <w:lastRenderedPageBreak/>
        <w:t>how Breda became a micro</w:t>
      </w:r>
      <w:r w:rsidRPr="002650CB">
        <w:rPr>
          <w:rFonts w:ascii="Garamond" w:hAnsi="Garamond" w:cs="Minion-Regular"/>
          <w:sz w:val="24"/>
          <w:szCs w:val="24"/>
        </w:rPr>
        <w:t xml:space="preserve"> site of grievance for the conflict in South Africa between the ANC and the PAC/AZAPO (Azanian People's Organization). At its heart were different types of antiracist and activist identities. Following the ANC, the BOA largely</w:t>
      </w:r>
      <w:r w:rsidRPr="002650CB">
        <w:rPr>
          <w:rStyle w:val="FootnoteReference"/>
          <w:rFonts w:ascii="Garamond" w:hAnsi="Garamond" w:cs="Minion-Regular"/>
          <w:sz w:val="24"/>
          <w:szCs w:val="24"/>
        </w:rPr>
        <w:footnoteReference w:id="250"/>
      </w:r>
      <w:r w:rsidRPr="002650CB">
        <w:rPr>
          <w:rFonts w:ascii="Garamond" w:hAnsi="Garamond" w:cs="Minion-Regular"/>
          <w:sz w:val="24"/>
          <w:szCs w:val="24"/>
        </w:rPr>
        <w:t xml:space="preserve"> subscribed to the doctrine of nonracial internationalism</w:t>
      </w:r>
      <w:r w:rsidRPr="002650CB">
        <w:rPr>
          <w:rStyle w:val="FootnoteReference"/>
          <w:rFonts w:ascii="Garamond" w:hAnsi="Garamond" w:cs="Minion-Regular"/>
          <w:sz w:val="24"/>
          <w:szCs w:val="24"/>
        </w:rPr>
        <w:footnoteReference w:id="251"/>
      </w:r>
      <w:r w:rsidRPr="002650CB">
        <w:rPr>
          <w:rFonts w:ascii="Garamond" w:hAnsi="Garamond" w:cs="Minion-Regular"/>
          <w:sz w:val="24"/>
          <w:szCs w:val="24"/>
        </w:rPr>
        <w:t xml:space="preserve"> (an inclusive position that the ANC adopted to maximise support from whites) - "when we chose our friends and enemies we were colour-blind" (interview du Plessis, 2011)</w:t>
      </w:r>
      <w:r>
        <w:rPr>
          <w:rFonts w:ascii="Garamond" w:hAnsi="Garamond" w:cs="Minion-Regular"/>
          <w:sz w:val="24"/>
          <w:szCs w:val="24"/>
        </w:rPr>
        <w:t>.</w:t>
      </w:r>
      <w:r w:rsidRPr="002650CB">
        <w:rPr>
          <w:rStyle w:val="FootnoteReference"/>
          <w:rFonts w:ascii="Garamond" w:hAnsi="Garamond" w:cs="Minion-Regular"/>
          <w:sz w:val="24"/>
          <w:szCs w:val="24"/>
        </w:rPr>
        <w:footnoteReference w:id="252"/>
      </w:r>
      <w:r w:rsidRPr="002650CB">
        <w:rPr>
          <w:rFonts w:ascii="Garamond" w:hAnsi="Garamond" w:cs="Minion-Regular"/>
          <w:sz w:val="24"/>
          <w:szCs w:val="24"/>
        </w:rPr>
        <w:t xml:space="preserve"> The BOA's non-racial internationalism informed the recruitment policy of the organization, and the overall messages of their campaigns. For example, since 1972 du Plessis has been very careful to state that the Inspan Girls were a multi-ethnic group, and not an embodied black binary opposite of the white Outspan Girls. The organization was also committed to nonviolence, although they saw "violence as an inevitable consequence of continued racial oppression" (</w:t>
      </w:r>
      <w:r>
        <w:rPr>
          <w:rFonts w:ascii="Garamond" w:hAnsi="Garamond" w:cs="Minion-Regular"/>
          <w:sz w:val="24"/>
          <w:szCs w:val="24"/>
        </w:rPr>
        <w:t>interview du Plessis 2013</w:t>
      </w:r>
      <w:r w:rsidRPr="002650CB">
        <w:rPr>
          <w:rFonts w:ascii="Garamond" w:hAnsi="Garamond" w:cs="Minion-Regular"/>
          <w:sz w:val="24"/>
          <w:szCs w:val="24"/>
        </w:rPr>
        <w:t xml:space="preserve">). In contradistinction, </w:t>
      </w:r>
      <w:r>
        <w:rPr>
          <w:rFonts w:ascii="Garamond" w:hAnsi="Garamond" w:cs="Minion-Regular"/>
          <w:sz w:val="24"/>
          <w:szCs w:val="24"/>
        </w:rPr>
        <w:t>Azania solidarity groups</w:t>
      </w:r>
      <w:r w:rsidRPr="002650CB">
        <w:rPr>
          <w:rFonts w:ascii="Garamond" w:hAnsi="Garamond" w:cs="Minion-Regular"/>
          <w:sz w:val="24"/>
          <w:szCs w:val="24"/>
        </w:rPr>
        <w:t xml:space="preserve"> based their antiracist identity on the rejection of the ANC's nonracial internationalism, instead forwarding the antiracism of t</w:t>
      </w:r>
      <w:r>
        <w:rPr>
          <w:rFonts w:ascii="Garamond" w:hAnsi="Garamond" w:cs="Minion-Regular"/>
          <w:sz w:val="24"/>
          <w:szCs w:val="24"/>
        </w:rPr>
        <w:t>he black consciousness movement (Sizwe, 1979).</w:t>
      </w:r>
      <w:r w:rsidRPr="002650CB">
        <w:rPr>
          <w:rFonts w:ascii="Garamond" w:hAnsi="Garamond" w:cs="Minion-Regular"/>
          <w:sz w:val="24"/>
          <w:szCs w:val="24"/>
        </w:rPr>
        <w:t xml:space="preserve"> Both solidarities were important; my point is not that one was more appropriate than the other, but instead is that the </w:t>
      </w:r>
      <w:r>
        <w:rPr>
          <w:rFonts w:ascii="Garamond" w:hAnsi="Garamond" w:cs="Minion-Regular"/>
          <w:sz w:val="24"/>
          <w:szCs w:val="24"/>
        </w:rPr>
        <w:t xml:space="preserve">minor </w:t>
      </w:r>
      <w:r w:rsidRPr="002650CB">
        <w:rPr>
          <w:rFonts w:ascii="Garamond" w:hAnsi="Garamond" w:cs="Minion-Regular"/>
          <w:sz w:val="24"/>
          <w:szCs w:val="24"/>
        </w:rPr>
        <w:t>contestation emerged from a disagreement over inclusive and exclusive forms of solidarity, and that divide was itself based on the fracturing of anti-apartheid resistance from inside South Africa.</w:t>
      </w:r>
    </w:p>
    <w:p w:rsidR="00A371B8" w:rsidRDefault="00A371B8" w:rsidP="00A371B8">
      <w:pPr>
        <w:spacing w:after="0"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cs="Minion-Regular"/>
          <w:sz w:val="24"/>
          <w:szCs w:val="24"/>
        </w:rPr>
        <w:t>The antagonisms produced in Breda through the placed conflict between non-sectarian and sectarian solidarities, are historicized by Bosgra as a failure of the BOA to co-operate with AAMs during their town campaigns. In the initial copy of the SADET chapter sent to different AAMs, Bosgra wrote</w:t>
      </w:r>
      <w:r w:rsidRPr="002650CB">
        <w:rPr>
          <w:rFonts w:ascii="Garamond" w:hAnsi="Garamond"/>
          <w:sz w:val="24"/>
          <w:szCs w:val="24"/>
        </w:rPr>
        <w:t>: “when BOA organised an action week in Rotterdam, it had to accept co-operation with the Azania Komitee but in other cities BOA e</w:t>
      </w:r>
      <w:r>
        <w:rPr>
          <w:rFonts w:ascii="Garamond" w:hAnsi="Garamond"/>
          <w:sz w:val="24"/>
          <w:szCs w:val="24"/>
        </w:rPr>
        <w:t>xcluded them" (Open Letter, 200</w:t>
      </w:r>
      <w:r w:rsidRPr="002650CB">
        <w:rPr>
          <w:rFonts w:ascii="Garamond" w:hAnsi="Garamond"/>
          <w:sz w:val="24"/>
          <w:szCs w:val="24"/>
        </w:rPr>
        <w:t>: 4).</w:t>
      </w:r>
      <w:r w:rsidRPr="002650CB">
        <w:rPr>
          <w:rStyle w:val="FootnoteReference"/>
          <w:rFonts w:ascii="Garamond" w:hAnsi="Garamond"/>
          <w:sz w:val="24"/>
          <w:szCs w:val="24"/>
        </w:rPr>
        <w:footnoteReference w:id="253"/>
      </w:r>
      <w:r w:rsidRPr="002650CB">
        <w:rPr>
          <w:rFonts w:ascii="Garamond" w:hAnsi="Garamond"/>
          <w:sz w:val="24"/>
          <w:szCs w:val="24"/>
        </w:rPr>
        <w:t xml:space="preserve"> </w:t>
      </w:r>
      <w:r>
        <w:rPr>
          <w:rFonts w:ascii="Garamond" w:hAnsi="Garamond"/>
          <w:sz w:val="24"/>
          <w:szCs w:val="24"/>
        </w:rPr>
        <w:t xml:space="preserve">The BOA believe this to be factually incorrect; according to du Plessis, </w:t>
      </w:r>
      <w:r w:rsidRPr="002650CB">
        <w:rPr>
          <w:rFonts w:ascii="Garamond" w:hAnsi="Garamond"/>
          <w:sz w:val="24"/>
          <w:szCs w:val="24"/>
        </w:rPr>
        <w:t>Breda was the only site of this antagonism</w:t>
      </w:r>
      <w:r>
        <w:rPr>
          <w:rFonts w:ascii="Garamond" w:hAnsi="Garamond"/>
          <w:sz w:val="24"/>
          <w:szCs w:val="24"/>
        </w:rPr>
        <w:t>. In</w:t>
      </w:r>
      <w:r w:rsidRPr="002650CB">
        <w:rPr>
          <w:rFonts w:ascii="Garamond" w:hAnsi="Garamond"/>
          <w:sz w:val="24"/>
          <w:szCs w:val="24"/>
        </w:rPr>
        <w:t xml:space="preserve"> this sentence Bosgra suggest</w:t>
      </w:r>
      <w:r>
        <w:rPr>
          <w:rFonts w:ascii="Garamond" w:hAnsi="Garamond"/>
          <w:sz w:val="24"/>
          <w:szCs w:val="24"/>
        </w:rPr>
        <w:t>s</w:t>
      </w:r>
      <w:r w:rsidRPr="002650CB">
        <w:rPr>
          <w:rFonts w:ascii="Garamond" w:hAnsi="Garamond"/>
          <w:sz w:val="24"/>
          <w:szCs w:val="24"/>
        </w:rPr>
        <w:t xml:space="preserve"> that the BOA were partisan and sectarian in the formation of solidarities. It seems that the assertion is meant pejoratively, and as a consequence the BOA are marginalized in </w:t>
      </w:r>
      <w:r w:rsidRPr="002650CB">
        <w:rPr>
          <w:rFonts w:ascii="Garamond" w:hAnsi="Garamond"/>
          <w:sz w:val="24"/>
          <w:szCs w:val="24"/>
        </w:rPr>
        <w:lastRenderedPageBreak/>
        <w:t xml:space="preserve">the narrative. Interestingly, the sentence has been removed from the current edition of SADET. </w:t>
      </w:r>
    </w:p>
    <w:p w:rsidR="00A371B8" w:rsidRDefault="00A371B8" w:rsidP="00A371B8">
      <w:pPr>
        <w:spacing w:after="0" w:line="360" w:lineRule="auto"/>
        <w:jc w:val="both"/>
        <w:rPr>
          <w:rFonts w:ascii="Garamond" w:hAnsi="Garamond"/>
          <w:sz w:val="24"/>
          <w:szCs w:val="24"/>
        </w:rPr>
      </w:pPr>
    </w:p>
    <w:p w:rsidR="00A371B8" w:rsidRPr="00517366" w:rsidRDefault="00A371B8" w:rsidP="00A371B8">
      <w:pPr>
        <w:spacing w:after="0" w:line="360" w:lineRule="auto"/>
        <w:jc w:val="both"/>
        <w:rPr>
          <w:rFonts w:ascii="Garamond" w:hAnsi="Garamond" w:cs="Minion-Regular"/>
          <w:sz w:val="24"/>
          <w:szCs w:val="24"/>
        </w:rPr>
      </w:pPr>
      <w:r w:rsidRPr="002650CB">
        <w:rPr>
          <w:rFonts w:ascii="Garamond" w:hAnsi="Garamond" w:cs="Minion-Regular"/>
          <w:sz w:val="24"/>
          <w:szCs w:val="24"/>
        </w:rPr>
        <w:t xml:space="preserve">To adapt a sentence from David Featherstone's (2003) work on anti-globalization movements, the variable motivations to engage in anti-apartheid matter; the terms on which apartheid was brought into contestation have effects on the kinds of political identities produced through anti-apartheid politics. So, how apartheid is raised as an issue, the types of grievances that are articulated, and the types of counter-imaginaries raised by AAMs (be them militant, non-violent, Marxist, democratic etc), have effects on the production of political identities, and critically, the production of race as a key component of the political identities within anti-apartheid. </w:t>
      </w:r>
    </w:p>
    <w:p w:rsidR="00A371B8" w:rsidRDefault="00A371B8" w:rsidP="00A371B8">
      <w:pPr>
        <w:spacing w:line="360" w:lineRule="auto"/>
        <w:jc w:val="both"/>
        <w:rPr>
          <w:rFonts w:ascii="Garamond" w:hAnsi="Garamond" w:cs="Minion-Regular"/>
          <w:sz w:val="24"/>
          <w:szCs w:val="24"/>
        </w:rPr>
      </w:pPr>
    </w:p>
    <w:p w:rsidR="00A371B8" w:rsidRDefault="00A371B8" w:rsidP="00A371B8">
      <w:pPr>
        <w:spacing w:after="0" w:line="360" w:lineRule="auto"/>
        <w:jc w:val="both"/>
        <w:rPr>
          <w:rFonts w:ascii="Garamond" w:hAnsi="Garamond"/>
          <w:b/>
          <w:i/>
          <w:szCs w:val="24"/>
          <w:shd w:val="clear" w:color="auto" w:fill="FFFFFF"/>
        </w:rPr>
      </w:pPr>
      <w:r w:rsidRPr="00517366">
        <w:rPr>
          <w:rFonts w:ascii="Garamond" w:hAnsi="Garamond"/>
          <w:b/>
          <w:i/>
          <w:szCs w:val="24"/>
          <w:shd w:val="clear" w:color="auto" w:fill="FFFFFF"/>
        </w:rPr>
        <w:t>Racism here, apartheid there</w:t>
      </w:r>
    </w:p>
    <w:p w:rsidR="00A371B8" w:rsidRPr="00517366" w:rsidRDefault="00A371B8" w:rsidP="00A371B8">
      <w:pPr>
        <w:spacing w:after="0" w:line="360" w:lineRule="auto"/>
        <w:jc w:val="both"/>
        <w:rPr>
          <w:rFonts w:ascii="Garamond" w:hAnsi="Garamond" w:cs="Minion-Regular"/>
          <w:b/>
          <w:i/>
          <w:szCs w:val="24"/>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xml:space="preserve">: When and why did you develop the phrase </w:t>
      </w:r>
      <w:r>
        <w:rPr>
          <w:rFonts w:ascii="Garamond" w:hAnsi="Garamond"/>
        </w:rPr>
        <w:t>racism here,</w:t>
      </w:r>
      <w:r w:rsidRPr="002650CB">
        <w:rPr>
          <w:rFonts w:ascii="Garamond" w:hAnsi="Garamond"/>
        </w:rPr>
        <w:t xml:space="preserve"> apartheid there?</w:t>
      </w:r>
    </w:p>
    <w:p w:rsidR="00A371B8" w:rsidRPr="002650CB" w:rsidRDefault="00A371B8" w:rsidP="00A371B8">
      <w:pPr>
        <w:spacing w:after="0" w:line="360" w:lineRule="auto"/>
        <w:ind w:left="284" w:right="284"/>
        <w:jc w:val="both"/>
        <w:rPr>
          <w:rFonts w:ascii="Garamond" w:hAnsi="Garamond"/>
        </w:rPr>
      </w:pPr>
      <w:r>
        <w:rPr>
          <w:rFonts w:ascii="Garamond" w:hAnsi="Garamond"/>
        </w:rPr>
        <w:t>ESAU</w:t>
      </w:r>
      <w:r w:rsidRPr="002650CB">
        <w:rPr>
          <w:rFonts w:ascii="Garamond" w:hAnsi="Garamond"/>
        </w:rPr>
        <w:t xml:space="preserve">: You see, I didn't keep a record of all my speeches, and tragically, existing records were taken from our archive. But I've mentioned it ever since I arrived in Holland [1965]. And because that was to me the living reality: apartheid made in Europe. And I think most oppressed people in South Africa saw it that way too. The link is obvious - but the report of Sietse Bosgra was so offensive, when he tried to defend the Dutch. By saying that apartheid is a Dutch </w:t>
      </w:r>
      <w:r w:rsidRPr="002650CB">
        <w:rPr>
          <w:rFonts w:ascii="Garamond" w:hAnsi="Garamond"/>
          <w:i/>
        </w:rPr>
        <w:t>sounding</w:t>
      </w:r>
      <w:r w:rsidRPr="002650CB">
        <w:rPr>
          <w:rFonts w:ascii="Garamond" w:hAnsi="Garamond"/>
        </w:rPr>
        <w:t xml:space="preserve"> word. And he tried to distance Holland from the history of South Africa since 1652. He tried to deny history. But that's not only denying history...</w:t>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A371B8" w:rsidRPr="002650CB" w:rsidRDefault="00A371B8" w:rsidP="00A371B8">
      <w:pPr>
        <w:spacing w:after="0" w:line="360" w:lineRule="auto"/>
        <w:jc w:val="both"/>
        <w:rPr>
          <w:rFonts w:ascii="Garamond" w:hAnsi="Garamond"/>
          <w:sz w:val="24"/>
          <w:szCs w:val="24"/>
        </w:rPr>
      </w:pPr>
      <w:r>
        <w:rPr>
          <w:rFonts w:ascii="Garamond" w:hAnsi="Garamond"/>
          <w:sz w:val="24"/>
          <w:szCs w:val="24"/>
        </w:rPr>
        <w:t>Since the disappearance</w:t>
      </w:r>
      <w:r w:rsidRPr="002650CB">
        <w:rPr>
          <w:rFonts w:ascii="Garamond" w:hAnsi="Garamond"/>
          <w:sz w:val="24"/>
          <w:szCs w:val="24"/>
        </w:rPr>
        <w:t xml:space="preserve"> of </w:t>
      </w:r>
      <w:r>
        <w:rPr>
          <w:rFonts w:ascii="Garamond" w:hAnsi="Garamond"/>
          <w:sz w:val="24"/>
          <w:szCs w:val="24"/>
        </w:rPr>
        <w:t xml:space="preserve">items from </w:t>
      </w:r>
      <w:r w:rsidRPr="002650CB">
        <w:rPr>
          <w:rFonts w:ascii="Garamond" w:hAnsi="Garamond"/>
          <w:sz w:val="24"/>
          <w:szCs w:val="24"/>
        </w:rPr>
        <w:t>the BOA archives</w:t>
      </w:r>
      <w:r>
        <w:rPr>
          <w:rFonts w:ascii="Garamond" w:hAnsi="Garamond"/>
          <w:sz w:val="24"/>
          <w:szCs w:val="24"/>
        </w:rPr>
        <w:t xml:space="preserve"> during transit between Holland and South Africa</w:t>
      </w:r>
      <w:r w:rsidRPr="002650CB">
        <w:rPr>
          <w:rStyle w:val="FootnoteReference"/>
          <w:rFonts w:ascii="Garamond" w:hAnsi="Garamond"/>
          <w:sz w:val="24"/>
          <w:szCs w:val="24"/>
        </w:rPr>
        <w:footnoteReference w:id="254"/>
      </w:r>
      <w:r w:rsidRPr="002650CB">
        <w:rPr>
          <w:rFonts w:ascii="Garamond" w:hAnsi="Garamond"/>
          <w:sz w:val="24"/>
          <w:szCs w:val="24"/>
        </w:rPr>
        <w:t xml:space="preserve"> in 1994/95 only one of du Plessis' speeches remains documented. It has been kept privately among his personal belongings and is an English translation of a thirty minute lecture entitled </w:t>
      </w:r>
      <w:r>
        <w:rPr>
          <w:rFonts w:ascii="Garamond" w:hAnsi="Garamond"/>
          <w:i/>
          <w:sz w:val="24"/>
          <w:szCs w:val="24"/>
        </w:rPr>
        <w:t>Racism here,</w:t>
      </w:r>
      <w:r w:rsidRPr="002650CB">
        <w:rPr>
          <w:rFonts w:ascii="Garamond" w:hAnsi="Garamond"/>
          <w:i/>
          <w:sz w:val="24"/>
          <w:szCs w:val="24"/>
        </w:rPr>
        <w:t xml:space="preserve"> apartheid there. </w:t>
      </w:r>
      <w:r w:rsidRPr="002650CB">
        <w:rPr>
          <w:rFonts w:ascii="Garamond" w:hAnsi="Garamond"/>
          <w:sz w:val="24"/>
          <w:szCs w:val="24"/>
        </w:rPr>
        <w:t>The lecture was given on February 11th 1988 at a conference on racism for secondary schools in Dordrecht</w:t>
      </w:r>
      <w:r>
        <w:rPr>
          <w:rFonts w:ascii="Garamond" w:hAnsi="Garamond"/>
          <w:sz w:val="24"/>
          <w:szCs w:val="24"/>
        </w:rPr>
        <w:t>, and it represents du Plessis'</w:t>
      </w:r>
      <w:r w:rsidRPr="002650CB">
        <w:rPr>
          <w:rFonts w:ascii="Garamond" w:hAnsi="Garamond"/>
          <w:sz w:val="24"/>
          <w:szCs w:val="24"/>
        </w:rPr>
        <w:t xml:space="preserve"> antiracism at its most radical and phenomenological, after "the dam had burst" (interview du Plessis, 2013) over speaking explicitly about Dutch racism. </w:t>
      </w:r>
    </w:p>
    <w:p w:rsidR="001731AC" w:rsidRDefault="001731AC" w:rsidP="00A371B8">
      <w:pPr>
        <w:spacing w:after="0" w:line="360" w:lineRule="auto"/>
        <w:jc w:val="both"/>
        <w:rPr>
          <w:rFonts w:ascii="Garamond" w:hAnsi="Garamond"/>
          <w:i/>
          <w:sz w:val="24"/>
          <w:szCs w:val="24"/>
        </w:rPr>
      </w:pPr>
    </w:p>
    <w:p w:rsidR="001731AC" w:rsidRDefault="001731AC" w:rsidP="00A371B8">
      <w:pPr>
        <w:spacing w:after="0" w:line="360" w:lineRule="auto"/>
        <w:jc w:val="both"/>
        <w:rPr>
          <w:rFonts w:ascii="Garamond" w:hAnsi="Garamond"/>
          <w:i/>
          <w:sz w:val="24"/>
          <w:szCs w:val="24"/>
        </w:rPr>
      </w:pPr>
    </w:p>
    <w:p w:rsidR="00A371B8" w:rsidRPr="002650CB" w:rsidRDefault="00A371B8" w:rsidP="00A371B8">
      <w:pPr>
        <w:spacing w:after="0" w:line="360" w:lineRule="auto"/>
        <w:jc w:val="both"/>
        <w:rPr>
          <w:rFonts w:ascii="Garamond" w:hAnsi="Garamond"/>
          <w:i/>
          <w:sz w:val="24"/>
          <w:szCs w:val="24"/>
        </w:rPr>
      </w:pPr>
    </w:p>
    <w:p w:rsidR="00A371B8" w:rsidRDefault="00A371B8" w:rsidP="00A371B8">
      <w:pPr>
        <w:spacing w:after="0" w:line="360" w:lineRule="auto"/>
        <w:jc w:val="both"/>
        <w:rPr>
          <w:rFonts w:ascii="Garamond" w:hAnsi="Garamond"/>
          <w:b/>
          <w:i/>
          <w:szCs w:val="24"/>
        </w:rPr>
      </w:pPr>
      <w:r w:rsidRPr="00517366">
        <w:rPr>
          <w:rFonts w:ascii="Garamond" w:hAnsi="Garamond"/>
          <w:b/>
          <w:i/>
          <w:szCs w:val="24"/>
        </w:rPr>
        <w:lastRenderedPageBreak/>
        <w:t>Dordrecht lecture and the spectre of fascism</w:t>
      </w:r>
    </w:p>
    <w:p w:rsidR="00A371B8" w:rsidRDefault="00A371B8" w:rsidP="00A371B8">
      <w:pPr>
        <w:spacing w:after="0" w:line="360" w:lineRule="auto"/>
        <w:jc w:val="both"/>
        <w:rPr>
          <w:rFonts w:ascii="Garamond" w:hAnsi="Garamond"/>
          <w:b/>
          <w:i/>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Speaking to a room filled with secondary school teachers and local politicians, du Plessis castigated the state of Dutch anti-apartheid as he saw it: "...they are against racism and apartheid in another, remote place. When mounting campaigns they often choose others as their targets. But all of us belong to the present, unsound racist society, and many of us support it too" (1988</w:t>
      </w:r>
      <w:r>
        <w:rPr>
          <w:rFonts w:ascii="Garamond" w:hAnsi="Garamond"/>
          <w:sz w:val="24"/>
          <w:szCs w:val="24"/>
        </w:rPr>
        <w:t>b</w:t>
      </w:r>
      <w:r w:rsidRPr="002650CB">
        <w:rPr>
          <w:rFonts w:ascii="Garamond" w:hAnsi="Garamond"/>
          <w:sz w:val="24"/>
          <w:szCs w:val="24"/>
        </w:rPr>
        <w:t xml:space="preserve">: 2). On the topic of comparable racisms he was unequivocal: "apartheid is legalized racism whereas the Dutch variety is authorized racism". Using the example of the political left's attempts to "reach for the weapon of censorship" over the publication of Wim Wertheim's </w:t>
      </w:r>
      <w:r w:rsidRPr="002650CB">
        <w:rPr>
          <w:rFonts w:ascii="Garamond" w:hAnsi="Garamond"/>
          <w:i/>
          <w:sz w:val="24"/>
          <w:szCs w:val="24"/>
        </w:rPr>
        <w:t>Colonial racism in Indonesia - Our unresolved past,</w:t>
      </w:r>
      <w:r w:rsidRPr="002650CB">
        <w:rPr>
          <w:rStyle w:val="FootnoteReference"/>
          <w:rFonts w:ascii="Garamond" w:hAnsi="Garamond"/>
          <w:sz w:val="24"/>
          <w:szCs w:val="24"/>
        </w:rPr>
        <w:footnoteReference w:id="255"/>
      </w:r>
      <w:r w:rsidRPr="002650CB">
        <w:rPr>
          <w:rFonts w:ascii="Garamond" w:hAnsi="Garamond"/>
          <w:i/>
          <w:sz w:val="24"/>
          <w:szCs w:val="24"/>
        </w:rPr>
        <w:t xml:space="preserve"> </w:t>
      </w:r>
      <w:r w:rsidRPr="002650CB">
        <w:rPr>
          <w:rFonts w:ascii="Garamond" w:hAnsi="Garamond"/>
          <w:sz w:val="24"/>
          <w:szCs w:val="24"/>
        </w:rPr>
        <w:t xml:space="preserve">du Plessis argued that Dutch politicians on the right and left were content to "treat the symptoms, and not the causes of racism". Racism, du Plessis continued, was in the process of going underground, of becoming less visible. Faced with a post Cold War world order, du Plessis argued that time was running out - "a peace movement in Europe devoting itself to the cause of </w:t>
      </w:r>
      <w:r w:rsidRPr="002650CB">
        <w:rPr>
          <w:rFonts w:ascii="Garamond" w:hAnsi="Garamond"/>
          <w:bCs/>
          <w:color w:val="000000"/>
          <w:sz w:val="24"/>
          <w:szCs w:val="24"/>
          <w:shd w:val="clear" w:color="auto" w:fill="FFFFFF"/>
        </w:rPr>
        <w:t>détente</w:t>
      </w:r>
      <w:r w:rsidRPr="002650CB">
        <w:rPr>
          <w:rFonts w:ascii="Garamond" w:hAnsi="Garamond"/>
          <w:sz w:val="24"/>
          <w:szCs w:val="24"/>
        </w:rPr>
        <w:t xml:space="preserve"> between East and West while failing to see the evil of the North-South divide may do more harm than good". The situation was urgent, "the complacency of the Western man incomprehensible". The lecture concluded with two action plans for combating racism. The first,</w:t>
      </w:r>
      <w:r w:rsidRPr="002650CB">
        <w:rPr>
          <w:rStyle w:val="FootnoteReference"/>
          <w:rFonts w:ascii="Garamond" w:hAnsi="Garamond"/>
          <w:sz w:val="24"/>
          <w:szCs w:val="24"/>
        </w:rPr>
        <w:footnoteReference w:id="256"/>
      </w:r>
      <w:r w:rsidRPr="002650CB">
        <w:rPr>
          <w:rFonts w:ascii="Garamond" w:hAnsi="Garamond"/>
          <w:sz w:val="24"/>
          <w:szCs w:val="24"/>
        </w:rPr>
        <w:t xml:space="preserve"> outlined the phenomenological sensitivity required to perform antiracism: "be ready to keep learning, one never becomes a past-master in anything", and, "instinctive and emotional racism should be taken into consideration, it is advisable to let the victims of racism speak for themselves". Du Plessis borrowed the second action plan from Mohammed Rabbae,</w:t>
      </w:r>
      <w:r w:rsidRPr="002650CB">
        <w:rPr>
          <w:rStyle w:val="FootnoteReference"/>
          <w:rFonts w:ascii="Garamond" w:hAnsi="Garamond"/>
          <w:sz w:val="24"/>
          <w:szCs w:val="24"/>
        </w:rPr>
        <w:footnoteReference w:id="257"/>
      </w:r>
      <w:r w:rsidRPr="002650CB">
        <w:rPr>
          <w:rFonts w:ascii="Garamond" w:hAnsi="Garamond"/>
          <w:sz w:val="24"/>
          <w:szCs w:val="24"/>
        </w:rPr>
        <w:t xml:space="preserve"> the leader of the Nederland Centrum Buitenlanders (Dutch Centre for Foreigners). Here, by committing to reflexive direct action against the marginalization of racialized groups, du Plessis outlined several aphorisms that are today considered tenets of critical race theory.</w:t>
      </w:r>
      <w:r w:rsidRPr="002650CB">
        <w:rPr>
          <w:rStyle w:val="FootnoteReference"/>
          <w:rFonts w:ascii="Garamond" w:hAnsi="Garamond"/>
          <w:sz w:val="24"/>
          <w:szCs w:val="24"/>
        </w:rPr>
        <w:footnoteReference w:id="258"/>
      </w:r>
      <w:r w:rsidRPr="002650CB">
        <w:rPr>
          <w:rFonts w:ascii="Garamond" w:hAnsi="Garamond"/>
          <w:sz w:val="24"/>
          <w:szCs w:val="24"/>
        </w:rPr>
        <w:t xml:space="preserve"> In similarity to CRT, </w:t>
      </w:r>
      <w:r w:rsidRPr="002650CB">
        <w:rPr>
          <w:rFonts w:ascii="Garamond" w:hAnsi="Garamond"/>
          <w:sz w:val="24"/>
          <w:szCs w:val="24"/>
        </w:rPr>
        <w:lastRenderedPageBreak/>
        <w:t xml:space="preserve">he argued that antiracism should always focus on alleviating the conditions of the disadvantaged and deprived:  </w:t>
      </w:r>
    </w:p>
    <w:p w:rsidR="00A371B8" w:rsidRPr="00517366" w:rsidRDefault="00A371B8" w:rsidP="00A371B8">
      <w:pPr>
        <w:spacing w:after="0" w:line="360" w:lineRule="auto"/>
        <w:jc w:val="both"/>
        <w:rPr>
          <w:rFonts w:ascii="Garamond" w:hAnsi="Garamond"/>
          <w:b/>
          <w:i/>
          <w:szCs w:val="24"/>
        </w:rPr>
      </w:pPr>
    </w:p>
    <w:p w:rsidR="00A371B8" w:rsidRDefault="00A371B8" w:rsidP="00A371B8">
      <w:pPr>
        <w:spacing w:after="0" w:line="360" w:lineRule="auto"/>
        <w:ind w:left="284" w:right="284"/>
        <w:jc w:val="both"/>
        <w:rPr>
          <w:rFonts w:ascii="Garamond" w:hAnsi="Garamond"/>
        </w:rPr>
      </w:pPr>
      <w:r w:rsidRPr="002650CB">
        <w:rPr>
          <w:rFonts w:ascii="Garamond" w:hAnsi="Garamond"/>
        </w:rPr>
        <w:t>the struggle against racism should at all times imply a struggle against the disadvantaged and deprived of ethnic groups...fighting racism takes the form, on one hand, of fighting against assimilation and the suppression of identity, and on the other hand, of fighting for the preservation of</w:t>
      </w:r>
      <w:r>
        <w:rPr>
          <w:rFonts w:ascii="Garamond" w:hAnsi="Garamond"/>
        </w:rPr>
        <w:t xml:space="preserve"> one's own language and culture. (ibid.;7)</w:t>
      </w:r>
      <w:r w:rsidRPr="002650CB">
        <w:rPr>
          <w:rFonts w:ascii="Garamond" w:hAnsi="Garamond"/>
        </w:rPr>
        <w:t xml:space="preserve">  </w:t>
      </w:r>
    </w:p>
    <w:p w:rsidR="00A371B8" w:rsidRPr="002650CB" w:rsidRDefault="00A371B8" w:rsidP="00A371B8">
      <w:pPr>
        <w:spacing w:after="0" w:line="360" w:lineRule="auto"/>
        <w:ind w:left="284" w:right="284"/>
        <w:jc w:val="both"/>
        <w:rPr>
          <w:rFonts w:ascii="Garamond" w:hAnsi="Garamond"/>
        </w:rPr>
      </w:pPr>
    </w:p>
    <w:p w:rsidR="00A371B8" w:rsidRPr="001731AC" w:rsidRDefault="00A371B8" w:rsidP="00A371B8">
      <w:pPr>
        <w:pStyle w:val="NormalWeb"/>
        <w:shd w:val="clear" w:color="auto" w:fill="FFFFFF"/>
        <w:spacing w:before="0" w:beforeAutospacing="0" w:after="0" w:afterAutospacing="0" w:line="360" w:lineRule="auto"/>
        <w:jc w:val="both"/>
        <w:textAlignment w:val="baseline"/>
        <w:rPr>
          <w:rFonts w:ascii="Garamond" w:hAnsi="Garamond"/>
        </w:rPr>
      </w:pPr>
      <w:r w:rsidRPr="002650CB">
        <w:rPr>
          <w:rFonts w:ascii="Garamond" w:hAnsi="Garamond"/>
        </w:rPr>
        <w:t xml:space="preserve">The Dordrecht lecture also rallies against Fascist explanations of apartheid. Du Plessis recalls some </w:t>
      </w:r>
      <w:r w:rsidRPr="001731AC">
        <w:rPr>
          <w:rFonts w:ascii="Garamond" w:hAnsi="Garamond"/>
        </w:rPr>
        <w:t>of the argument on liberal humanism’s complicity with Nazism made by</w:t>
      </w:r>
      <w:r w:rsidRPr="001731AC">
        <w:rPr>
          <w:rStyle w:val="apple-converted-space"/>
          <w:rFonts w:ascii="Garamond" w:eastAsiaTheme="majorEastAsia" w:hAnsi="Garamond"/>
        </w:rPr>
        <w:t> </w:t>
      </w:r>
      <w:r w:rsidRPr="001731AC">
        <w:rPr>
          <w:rFonts w:ascii="Garamond" w:eastAsia="Calibri" w:hAnsi="Garamond"/>
          <w:bdr w:val="none" w:sz="0" w:space="0" w:color="auto" w:frame="1"/>
        </w:rPr>
        <w:t>Aimé Césaire</w:t>
      </w:r>
      <w:r w:rsidRPr="001731AC">
        <w:rPr>
          <w:rFonts w:ascii="Garamond" w:hAnsi="Garamond"/>
        </w:rPr>
        <w:t>, who thirty years earlier in </w:t>
      </w:r>
      <w:r w:rsidRPr="001731AC">
        <w:rPr>
          <w:rFonts w:ascii="Garamond" w:eastAsia="Calibri" w:hAnsi="Garamond"/>
          <w:i/>
          <w:iCs/>
          <w:bdr w:val="none" w:sz="0" w:space="0" w:color="auto" w:frame="1"/>
        </w:rPr>
        <w:t>Discours sur le colonialisme</w:t>
      </w:r>
      <w:r w:rsidRPr="001731AC">
        <w:rPr>
          <w:rStyle w:val="Emphasis"/>
          <w:rFonts w:ascii="Garamond" w:hAnsi="Garamond"/>
          <w:bdr w:val="none" w:sz="0" w:space="0" w:color="auto" w:frame="1"/>
        </w:rPr>
        <w:t> (Discourse on colonialism)</w:t>
      </w:r>
      <w:r w:rsidRPr="001731AC">
        <w:rPr>
          <w:rFonts w:ascii="Garamond" w:hAnsi="Garamond"/>
        </w:rPr>
        <w:t> argued:</w:t>
      </w:r>
    </w:p>
    <w:p w:rsidR="00A371B8" w:rsidRPr="002650CB" w:rsidRDefault="00A371B8" w:rsidP="00A371B8">
      <w:pPr>
        <w:pStyle w:val="NormalWeb"/>
        <w:shd w:val="clear" w:color="auto" w:fill="FFFFFF"/>
        <w:spacing w:before="0" w:beforeAutospacing="0" w:after="0" w:afterAutospacing="0" w:line="360" w:lineRule="auto"/>
        <w:jc w:val="both"/>
        <w:textAlignment w:val="baseline"/>
        <w:rPr>
          <w:rStyle w:val="Emphasis"/>
        </w:rPr>
      </w:pPr>
    </w:p>
    <w:p w:rsidR="00A371B8" w:rsidRPr="002650CB" w:rsidRDefault="00A371B8" w:rsidP="00A371B8">
      <w:pPr>
        <w:pStyle w:val="NormalWeb"/>
        <w:shd w:val="clear" w:color="auto" w:fill="FFFFFF"/>
        <w:spacing w:before="0" w:beforeAutospacing="0" w:after="0" w:afterAutospacing="0" w:line="360" w:lineRule="auto"/>
        <w:ind w:left="284" w:right="284"/>
        <w:jc w:val="both"/>
        <w:textAlignment w:val="baseline"/>
        <w:rPr>
          <w:rFonts w:ascii="Garamond" w:hAnsi="Garamond"/>
          <w:i/>
          <w:sz w:val="22"/>
          <w:szCs w:val="22"/>
        </w:rPr>
      </w:pPr>
      <w:r w:rsidRPr="002650CB">
        <w:rPr>
          <w:rStyle w:val="Emphasis"/>
          <w:rFonts w:ascii="Garamond" w:hAnsi="Garamond"/>
          <w:i w:val="0"/>
          <w:sz w:val="22"/>
          <w:szCs w:val="22"/>
          <w:bdr w:val="none" w:sz="0" w:space="0" w:color="auto" w:frame="1"/>
        </w:rPr>
        <w:t>Whether one likes it or not, at the end of the blind alley that is Europe, I mean the Europe of Adenauer, Schuman,  Bidault, and a few others, there is Hitler. At the end of capitalism, which is eager to outlive its day, there is Hitler. At the end of formal humanism and philosophi</w:t>
      </w:r>
      <w:r>
        <w:rPr>
          <w:rStyle w:val="Emphasis"/>
          <w:rFonts w:ascii="Garamond" w:hAnsi="Garamond"/>
          <w:i w:val="0"/>
          <w:sz w:val="22"/>
          <w:szCs w:val="22"/>
          <w:bdr w:val="none" w:sz="0" w:space="0" w:color="auto" w:frame="1"/>
        </w:rPr>
        <w:t>c renunciation, there is Hitler.</w:t>
      </w:r>
      <w:r w:rsidRPr="002650CB">
        <w:rPr>
          <w:rStyle w:val="Emphasis"/>
          <w:rFonts w:ascii="Garamond" w:hAnsi="Garamond"/>
          <w:i w:val="0"/>
          <w:sz w:val="22"/>
          <w:szCs w:val="22"/>
          <w:bdr w:val="none" w:sz="0" w:space="0" w:color="auto" w:frame="1"/>
        </w:rPr>
        <w:t xml:space="preserve"> (1972: 4)</w:t>
      </w:r>
    </w:p>
    <w:p w:rsidR="00A371B8" w:rsidRPr="002650CB" w:rsidRDefault="00A371B8" w:rsidP="00A371B8">
      <w:pPr>
        <w:pStyle w:val="NormalWeb"/>
        <w:shd w:val="clear" w:color="auto" w:fill="FFFFFF"/>
        <w:spacing w:before="0" w:beforeAutospacing="0" w:after="0" w:afterAutospacing="0" w:line="360" w:lineRule="auto"/>
        <w:jc w:val="both"/>
        <w:textAlignment w:val="baseline"/>
        <w:rPr>
          <w:rFonts w:ascii="Garamond" w:hAnsi="Garamond"/>
        </w:rPr>
      </w:pPr>
    </w:p>
    <w:p w:rsidR="00A371B8" w:rsidRPr="002650CB" w:rsidRDefault="00A371B8" w:rsidP="00A371B8">
      <w:pPr>
        <w:pStyle w:val="NormalWeb"/>
        <w:shd w:val="clear" w:color="auto" w:fill="FFFFFF"/>
        <w:spacing w:before="0" w:beforeAutospacing="0" w:after="0" w:afterAutospacing="0" w:line="360" w:lineRule="auto"/>
        <w:jc w:val="both"/>
        <w:textAlignment w:val="baseline"/>
        <w:rPr>
          <w:rFonts w:ascii="Garamond" w:hAnsi="Garamond"/>
        </w:rPr>
      </w:pPr>
      <w:r w:rsidRPr="002650CB">
        <w:rPr>
          <w:rFonts w:ascii="Garamond" w:hAnsi="Garamond"/>
        </w:rPr>
        <w:t>Césaire believed that the brutality of fascism could be found mirrored in colonialism, but also that in times of de-colonization, racism continued to define, structure and augment European society. The publications of Césaire’s student, Franz Fanon, had a significant impression on du Plessis who read his work in London in the 1960s, and later while studying sociology at the Centre for Non-Western Sociology at Leiden University;</w:t>
      </w:r>
      <w:r w:rsidRPr="002650CB">
        <w:rPr>
          <w:rStyle w:val="apple-converted-space"/>
          <w:rFonts w:ascii="Garamond" w:eastAsiaTheme="majorEastAsia" w:hAnsi="Garamond"/>
        </w:rPr>
        <w:t> </w:t>
      </w:r>
      <w:r w:rsidRPr="002650CB">
        <w:rPr>
          <w:rStyle w:val="apple-converted-space"/>
          <w:rFonts w:ascii="Garamond" w:eastAsiaTheme="majorEastAsia" w:hAnsi="Garamond"/>
          <w:i/>
        </w:rPr>
        <w:t>"</w:t>
      </w:r>
      <w:r w:rsidRPr="002650CB">
        <w:rPr>
          <w:rStyle w:val="Emphasis"/>
          <w:rFonts w:ascii="Garamond" w:hAnsi="Garamond"/>
          <w:i w:val="0"/>
          <w:bdr w:val="none" w:sz="0" w:space="0" w:color="auto" w:frame="1"/>
        </w:rPr>
        <w:t>what I like about Franz Fanon is he really knew racism, colonialism and slavery as one indivisible thing"</w:t>
      </w:r>
      <w:r w:rsidRPr="002650CB">
        <w:rPr>
          <w:rStyle w:val="apple-converted-space"/>
          <w:rFonts w:ascii="Garamond" w:eastAsiaTheme="majorEastAsia" w:hAnsi="Garamond"/>
        </w:rPr>
        <w:t> </w:t>
      </w:r>
      <w:r w:rsidRPr="002650CB">
        <w:rPr>
          <w:rFonts w:ascii="Garamond" w:hAnsi="Garamond"/>
        </w:rPr>
        <w:t>(interview du Plessis, 2011). In the Dordrecht lecture, du Plessis stated:</w:t>
      </w:r>
    </w:p>
    <w:p w:rsidR="00A371B8" w:rsidRPr="002650CB" w:rsidRDefault="00A371B8" w:rsidP="00A371B8">
      <w:pPr>
        <w:pStyle w:val="NormalWeb"/>
        <w:shd w:val="clear" w:color="auto" w:fill="FFFFFF"/>
        <w:spacing w:before="0" w:beforeAutospacing="0" w:after="0" w:afterAutospacing="0" w:line="360" w:lineRule="auto"/>
        <w:jc w:val="both"/>
        <w:textAlignment w:val="baseline"/>
        <w:rPr>
          <w:rStyle w:val="Emphasis"/>
        </w:rPr>
      </w:pPr>
    </w:p>
    <w:p w:rsidR="00A371B8" w:rsidRPr="00517366" w:rsidRDefault="00A371B8" w:rsidP="00A371B8">
      <w:pPr>
        <w:pStyle w:val="NormalWeb"/>
        <w:shd w:val="clear" w:color="auto" w:fill="FFFFFF"/>
        <w:spacing w:before="0" w:beforeAutospacing="0" w:after="0" w:afterAutospacing="0" w:line="360" w:lineRule="auto"/>
        <w:ind w:left="284" w:right="284"/>
        <w:jc w:val="both"/>
        <w:textAlignment w:val="baseline"/>
        <w:rPr>
          <w:rFonts w:ascii="Garamond" w:hAnsi="Garamond"/>
          <w:i/>
          <w:sz w:val="22"/>
          <w:szCs w:val="22"/>
        </w:rPr>
      </w:pPr>
      <w:r w:rsidRPr="002650CB">
        <w:rPr>
          <w:rStyle w:val="Emphasis"/>
          <w:rFonts w:ascii="Garamond" w:hAnsi="Garamond"/>
          <w:i w:val="0"/>
          <w:sz w:val="22"/>
          <w:szCs w:val="22"/>
          <w:bdr w:val="none" w:sz="0" w:space="0" w:color="auto" w:frame="1"/>
        </w:rPr>
        <w:t xml:space="preserve">We should be deeply conscious of how fully racism is rooted in Western civilization; and how Nazism and Apartheid are its comparable fruits. Besides, we should be aware of the fact that apartheid and racism are not just remote phenomena, so that we have a moral obligation to fight them, here as </w:t>
      </w:r>
      <w:r>
        <w:rPr>
          <w:rStyle w:val="Emphasis"/>
          <w:rFonts w:ascii="Garamond" w:hAnsi="Garamond"/>
          <w:i w:val="0"/>
          <w:sz w:val="22"/>
          <w:szCs w:val="22"/>
          <w:bdr w:val="none" w:sz="0" w:space="0" w:color="auto" w:frame="1"/>
        </w:rPr>
        <w:t>well as there.</w:t>
      </w:r>
      <w:r w:rsidRPr="002650CB">
        <w:rPr>
          <w:rStyle w:val="Emphasis"/>
          <w:rFonts w:ascii="Garamond" w:hAnsi="Garamond"/>
          <w:i w:val="0"/>
          <w:sz w:val="22"/>
          <w:szCs w:val="22"/>
          <w:bdr w:val="none" w:sz="0" w:space="0" w:color="auto" w:frame="1"/>
        </w:rPr>
        <w:t xml:space="preserve"> (1988</w:t>
      </w:r>
      <w:r>
        <w:rPr>
          <w:rStyle w:val="Emphasis"/>
          <w:rFonts w:ascii="Garamond" w:hAnsi="Garamond"/>
          <w:i w:val="0"/>
          <w:sz w:val="22"/>
          <w:szCs w:val="22"/>
          <w:bdr w:val="none" w:sz="0" w:space="0" w:color="auto" w:frame="1"/>
        </w:rPr>
        <w:t>b</w:t>
      </w:r>
      <w:r w:rsidRPr="002650CB">
        <w:rPr>
          <w:rStyle w:val="Emphasis"/>
          <w:rFonts w:ascii="Garamond" w:hAnsi="Garamond"/>
          <w:i w:val="0"/>
          <w:sz w:val="22"/>
          <w:szCs w:val="22"/>
          <w:bdr w:val="none" w:sz="0" w:space="0" w:color="auto" w:frame="1"/>
        </w:rPr>
        <w:t>: 4)</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Following the Outspan boycott, the BOA amalgamated francophone antiracist thinking with practical elements of anti-apartheid activism.</w:t>
      </w:r>
      <w:r w:rsidRPr="002650CB">
        <w:rPr>
          <w:rFonts w:ascii="Garamond" w:hAnsi="Garamond"/>
        </w:rPr>
        <w:t xml:space="preserve"> </w:t>
      </w:r>
      <w:r>
        <w:rPr>
          <w:rFonts w:ascii="Garamond" w:hAnsi="Garamond"/>
          <w:i/>
          <w:sz w:val="24"/>
          <w:szCs w:val="24"/>
        </w:rPr>
        <w:t>Racism here, apartheid there</w:t>
      </w:r>
      <w:r w:rsidRPr="002650CB">
        <w:rPr>
          <w:rFonts w:ascii="Garamond" w:hAnsi="Garamond"/>
          <w:sz w:val="24"/>
          <w:szCs w:val="24"/>
        </w:rPr>
        <w:t xml:space="preserve"> became a fundamental principle of the BOA's campaigns. The phenomenology of this antiracism did not necessarily sit well with the pragmatism of the BOA's default position of nonracial internationalism. With phenomenological antiracism the victim of racism must </w:t>
      </w:r>
      <w:r w:rsidRPr="002650CB">
        <w:rPr>
          <w:rFonts w:ascii="Garamond" w:hAnsi="Garamond"/>
          <w:sz w:val="24"/>
          <w:szCs w:val="24"/>
        </w:rPr>
        <w:lastRenderedPageBreak/>
        <w:t>be allowed to speak out; nonracial internationalism allowed whites to speak on behalf of victims of apartheid. As a means of recruiting white allies the position is risky; phenomenological, or pre-discursive, racism (see Hook, 2003) can work through people and often conglomerates around forms of unconscious affect</w:t>
      </w:r>
      <w:r>
        <w:rPr>
          <w:rFonts w:ascii="Garamond" w:hAnsi="Garamond"/>
          <w:sz w:val="24"/>
          <w:szCs w:val="24"/>
        </w:rPr>
        <w:t xml:space="preserve"> (Saldanha, 2006</w:t>
      </w:r>
      <w:r w:rsidRPr="002650CB">
        <w:rPr>
          <w:rFonts w:ascii="Garamond" w:hAnsi="Garamond"/>
          <w:sz w:val="24"/>
          <w:szCs w:val="24"/>
        </w:rPr>
        <w:t xml:space="preserve">). </w:t>
      </w:r>
    </w:p>
    <w:p w:rsidR="00A371B8" w:rsidRDefault="00A371B8" w:rsidP="00A371B8">
      <w:pPr>
        <w:autoSpaceDE w:val="0"/>
        <w:autoSpaceDN w:val="0"/>
        <w:adjustRightInd w:val="0"/>
        <w:spacing w:after="0" w:line="360" w:lineRule="auto"/>
        <w:jc w:val="both"/>
        <w:rPr>
          <w:rFonts w:ascii="Garamond" w:hAnsi="Garamond"/>
          <w:i/>
          <w:sz w:val="24"/>
          <w:szCs w:val="24"/>
        </w:rPr>
      </w:pPr>
    </w:p>
    <w:p w:rsidR="00A371B8" w:rsidRPr="00517366" w:rsidRDefault="00A371B8" w:rsidP="00A371B8">
      <w:pPr>
        <w:autoSpaceDE w:val="0"/>
        <w:autoSpaceDN w:val="0"/>
        <w:adjustRightInd w:val="0"/>
        <w:spacing w:after="0" w:line="360" w:lineRule="auto"/>
        <w:jc w:val="both"/>
        <w:rPr>
          <w:rFonts w:ascii="Garamond" w:hAnsi="Garamond"/>
          <w:b/>
          <w:i/>
          <w:szCs w:val="24"/>
        </w:rPr>
      </w:pPr>
      <w:r w:rsidRPr="00517366">
        <w:rPr>
          <w:rFonts w:ascii="Garamond" w:hAnsi="Garamond"/>
          <w:b/>
          <w:i/>
          <w:szCs w:val="24"/>
        </w:rPr>
        <w:t>The battle over understanding apartheid</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rPr>
        <w:t xml:space="preserve">The schism between 'anti-apartheid as antiracism', and 'anti-apartheid as separate from antiracism', is the product of two contrasting 'maps of grievances' (Featherstone, 2003). These two grievances, I argue, can be crudely summarized as the 'fascism thesis' and the 'wholly racialized world' position of the BOA's doctrine </w:t>
      </w:r>
      <w:r w:rsidRPr="00175388">
        <w:rPr>
          <w:rFonts w:ascii="Garamond" w:hAnsi="Garamond"/>
          <w:i/>
          <w:sz w:val="24"/>
          <w:szCs w:val="24"/>
        </w:rPr>
        <w:t>racism here, apartheid there</w:t>
      </w:r>
      <w:r w:rsidRPr="002650CB">
        <w:rPr>
          <w:rFonts w:ascii="Garamond" w:hAnsi="Garamond"/>
          <w:sz w:val="24"/>
          <w:szCs w:val="24"/>
        </w:rPr>
        <w:t>. In the context of Dutch anti-apartheid, I now evidence how they produced different types of relationships, contrasting activisms, and varying spatial politics.</w:t>
      </w:r>
      <w:r w:rsidRPr="002650CB">
        <w:rPr>
          <w:rFonts w:ascii="Garamond" w:hAnsi="Garamond"/>
          <w:sz w:val="24"/>
          <w:szCs w:val="24"/>
          <w:shd w:val="clear" w:color="auto" w:fill="FFFFFF"/>
        </w:rPr>
        <w:t xml:space="preserve"> </w:t>
      </w:r>
      <w:r w:rsidRPr="002650CB">
        <w:rPr>
          <w:rFonts w:ascii="Garamond" w:hAnsi="Garamond"/>
          <w:sz w:val="24"/>
          <w:szCs w:val="24"/>
        </w:rPr>
        <w:t>To the chagrin of some Dutch anti-apartheid activists</w:t>
      </w:r>
      <w:r>
        <w:rPr>
          <w:rFonts w:ascii="Garamond" w:hAnsi="Garamond"/>
          <w:sz w:val="24"/>
          <w:szCs w:val="24"/>
        </w:rPr>
        <w:t xml:space="preserve"> (Bosgra, 2008; Muskens, 2013 forthcoming)</w:t>
      </w:r>
      <w:r w:rsidRPr="002650CB">
        <w:rPr>
          <w:rFonts w:ascii="Garamond" w:hAnsi="Garamond"/>
          <w:sz w:val="24"/>
          <w:szCs w:val="24"/>
        </w:rPr>
        <w:t>, the premise for both the anti-emigration and urban campaigns explicitly contradicted fascist or isolationist explanations for apartheid. By focusing on white emigration to South Africa and proximate forms of racism, the BOA’s suggestion that apartheid was born in Europe, and c</w:t>
      </w:r>
      <w:r>
        <w:rPr>
          <w:rFonts w:ascii="Garamond" w:hAnsi="Garamond"/>
          <w:sz w:val="24"/>
          <w:szCs w:val="24"/>
        </w:rPr>
        <w:t>ould only exist because Holland</w:t>
      </w:r>
      <w:r w:rsidRPr="002650CB">
        <w:rPr>
          <w:rFonts w:ascii="Garamond" w:hAnsi="Garamond"/>
          <w:sz w:val="24"/>
          <w:szCs w:val="24"/>
        </w:rPr>
        <w:t xml:space="preserve"> and the rest of the ‘white world’ allowed it to do so, was given leverage. Apartheid, the BOA co-founder Karel Roskam asserted in his PhD thesis (1960), was a temporally and spatially specific application of racial discrimination that denied the benefits of a full existence to subjugated people (Rosk</w:t>
      </w:r>
      <w:r>
        <w:rPr>
          <w:rFonts w:ascii="Garamond" w:hAnsi="Garamond"/>
          <w:sz w:val="24"/>
          <w:szCs w:val="24"/>
        </w:rPr>
        <w:t xml:space="preserve">am, 1960; interview du Plessis, </w:t>
      </w:r>
      <w:r w:rsidRPr="002650CB">
        <w:rPr>
          <w:rFonts w:ascii="Garamond" w:hAnsi="Garamond"/>
          <w:sz w:val="24"/>
          <w:szCs w:val="24"/>
        </w:rPr>
        <w:t xml:space="preserve">2012). Therefore apartheid as a specific application of racial discrimination could never be separated from more universal and structural forms of racial violence. Whether located in South Africa or Europe, the process of racism, the BOA argued, was based on the same ideas of naturalizing white privilege and discriminating against people of colour.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And Holland, Roskam (1960) and later Grundy (1974) assert, was an ideal place from which to observe the European influence on these whole worlds of racism. As a symbolic leader in formulating European diplomatic relations towards apartheid, Holland's influence on European policy far outreached the nation's economic importance to the apartheid regime (ibid., 1974). The economic, religious and cultural ties between Holland and South Africa persuaded the Dutch and other European governments to abstain from UN security council votes over apartheid during the 1960s and 70s. During this period European governments provided crucial votes of confidence </w:t>
      </w:r>
      <w:r w:rsidRPr="002650CB">
        <w:rPr>
          <w:rFonts w:ascii="Garamond" w:hAnsi="Garamond"/>
          <w:sz w:val="24"/>
          <w:szCs w:val="24"/>
        </w:rPr>
        <w:lastRenderedPageBreak/>
        <w:t xml:space="preserve">for Vorster’s government and used emollient dialogue rather than hard actions for addressing apartheid (Grundy, 1974; </w:t>
      </w:r>
      <w:r w:rsidRPr="009B6D32">
        <w:rPr>
          <w:rFonts w:ascii="Garamond" w:hAnsi="Garamond" w:cs="Garamond"/>
          <w:sz w:val="24"/>
          <w:szCs w:val="24"/>
          <w:lang w:val="en-US"/>
        </w:rPr>
        <w:t>Thörn</w:t>
      </w:r>
      <w:r>
        <w:rPr>
          <w:rFonts w:ascii="Garamond" w:hAnsi="Garamond"/>
          <w:sz w:val="24"/>
          <w:szCs w:val="24"/>
        </w:rPr>
        <w:t>, 2006</w:t>
      </w:r>
      <w:r w:rsidRPr="002650CB">
        <w:rPr>
          <w:rFonts w:ascii="Garamond" w:hAnsi="Garamond"/>
          <w:sz w:val="24"/>
          <w:szCs w:val="24"/>
        </w:rPr>
        <w:t xml:space="preserve">; Williams, 2012; du Plessis 2009). The BOA's criticism of the Dutch government and the cultural ties between South Africa and Holland is historicized in SADET's </w:t>
      </w:r>
      <w:r w:rsidRPr="002650CB">
        <w:rPr>
          <w:rFonts w:ascii="Garamond" w:hAnsi="Garamond"/>
          <w:i/>
          <w:sz w:val="24"/>
          <w:szCs w:val="24"/>
        </w:rPr>
        <w:t>Road to Democracy</w:t>
      </w:r>
      <w:r w:rsidRPr="002650CB">
        <w:rPr>
          <w:rFonts w:ascii="Garamond" w:hAnsi="Garamond"/>
          <w:sz w:val="24"/>
          <w:szCs w:val="24"/>
        </w:rPr>
        <w:t xml:space="preserve"> as a key factor in the 'isolation' of the organization within the wider anti-apartheid movement: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According to the ideology of BOA, the struggle against apartheid was inseparably linked to the fight against racism in Holland. Esau du Plessis was convinced the Dutch were historically and religiously responsible for what had happened in South Africa. Racism in Holland and apartheid in South Africa were, according to BOA, connected. BOA virtually became an anti-racist organisation, increasingly isolated f</w:t>
      </w:r>
      <w:r>
        <w:rPr>
          <w:rFonts w:ascii="Garamond" w:hAnsi="Garamond"/>
        </w:rPr>
        <w:t>rom the anti-apartheid struggle. (Bosgra, 2009: 546)</w:t>
      </w:r>
    </w:p>
    <w:p w:rsidR="00A371B8" w:rsidRPr="002650CB" w:rsidRDefault="00A371B8" w:rsidP="00A371B8">
      <w:pPr>
        <w:spacing w:after="0" w:line="360" w:lineRule="auto"/>
        <w:jc w:val="both"/>
        <w:rPr>
          <w:rFonts w:ascii="Garamond" w:hAnsi="Garamond"/>
          <w:sz w:val="24"/>
          <w:szCs w:val="24"/>
        </w:rPr>
      </w:pPr>
    </w:p>
    <w:p w:rsidR="00A371B8" w:rsidRPr="002650CB" w:rsidRDefault="00A371B8" w:rsidP="00A371B8">
      <w:pPr>
        <w:spacing w:after="0" w:line="360" w:lineRule="auto"/>
        <w:jc w:val="both"/>
        <w:rPr>
          <w:rFonts w:ascii="Garamond" w:hAnsi="Garamond"/>
          <w:sz w:val="24"/>
          <w:szCs w:val="24"/>
        </w:rPr>
      </w:pPr>
      <w:r w:rsidRPr="002650CB">
        <w:rPr>
          <w:rFonts w:ascii="Garamond" w:hAnsi="Garamond"/>
          <w:sz w:val="24"/>
          <w:szCs w:val="24"/>
        </w:rPr>
        <w:t>Bosgra attributes the BOA's isolation within the wider AAM to the BOA's ideology of connectivity and complicity between South African and Dutch racisms.</w:t>
      </w:r>
      <w:r>
        <w:rPr>
          <w:rFonts w:ascii="Garamond" w:hAnsi="Garamond"/>
          <w:sz w:val="24"/>
          <w:szCs w:val="24"/>
        </w:rPr>
        <w:t xml:space="preserve"> This view is supported by Muskens (2013) who drawing from interviews with Bosgra and Connie Braam, former leaders of the KZA and the AABN respectively, suggests that du Plessis' commitment to antiracism won the BOA few friends among the movement. Indeed, Bosgra</w:t>
      </w:r>
      <w:r w:rsidRPr="002650CB">
        <w:rPr>
          <w:rFonts w:ascii="Garamond" w:hAnsi="Garamond"/>
          <w:sz w:val="24"/>
          <w:szCs w:val="24"/>
        </w:rPr>
        <w:t xml:space="preserve"> implies that Dutch society should be protected from </w:t>
      </w:r>
      <w:r>
        <w:rPr>
          <w:rFonts w:ascii="Garamond" w:hAnsi="Garamond"/>
          <w:sz w:val="24"/>
          <w:szCs w:val="24"/>
        </w:rPr>
        <w:t xml:space="preserve">historical </w:t>
      </w:r>
      <w:r w:rsidRPr="002650CB">
        <w:rPr>
          <w:rFonts w:ascii="Garamond" w:hAnsi="Garamond"/>
          <w:sz w:val="24"/>
          <w:szCs w:val="24"/>
        </w:rPr>
        <w:t xml:space="preserve">accusations of </w:t>
      </w:r>
      <w:r>
        <w:rPr>
          <w:rFonts w:ascii="Garamond" w:hAnsi="Garamond"/>
          <w:sz w:val="24"/>
          <w:szCs w:val="24"/>
        </w:rPr>
        <w:t>complicity with apartheid</w:t>
      </w:r>
      <w:r w:rsidRPr="002650CB">
        <w:rPr>
          <w:rFonts w:ascii="Garamond" w:hAnsi="Garamond"/>
          <w:sz w:val="24"/>
          <w:szCs w:val="24"/>
        </w:rPr>
        <w:t xml:space="preserve">. During the 1970s this defensive reaction was indicative of nationalist (and white) forms of anti-apartheid; today, it is suggestive of the dominant nationalist process of Dutch anti-apartheid historiography. </w:t>
      </w:r>
      <w:r>
        <w:rPr>
          <w:rFonts w:ascii="Garamond" w:hAnsi="Garamond"/>
          <w:sz w:val="24"/>
          <w:szCs w:val="24"/>
        </w:rPr>
        <w:t>The  separation thesis</w:t>
      </w:r>
      <w:r w:rsidRPr="002650CB">
        <w:rPr>
          <w:rFonts w:ascii="Garamond" w:hAnsi="Garamond"/>
          <w:sz w:val="24"/>
          <w:szCs w:val="24"/>
        </w:rPr>
        <w:t xml:space="preserve"> that the BOA contested so keenly during their campaigns</w:t>
      </w:r>
      <w:r>
        <w:rPr>
          <w:rFonts w:ascii="Garamond" w:hAnsi="Garamond"/>
          <w:sz w:val="24"/>
          <w:szCs w:val="24"/>
        </w:rPr>
        <w:t xml:space="preserve"> was</w:t>
      </w:r>
      <w:r w:rsidRPr="002650CB">
        <w:rPr>
          <w:rFonts w:ascii="Garamond" w:hAnsi="Garamond"/>
          <w:sz w:val="24"/>
          <w:szCs w:val="24"/>
        </w:rPr>
        <w:t xml:space="preserve"> applied as device to exclude the organization from the wider Dutch AAM,  and is used to</w:t>
      </w:r>
      <w:r>
        <w:rPr>
          <w:rFonts w:ascii="Garamond" w:hAnsi="Garamond"/>
          <w:sz w:val="24"/>
          <w:szCs w:val="24"/>
        </w:rPr>
        <w:t>day to question the BOA's history</w:t>
      </w:r>
      <w:r w:rsidRPr="002650CB">
        <w:rPr>
          <w:rFonts w:ascii="Garamond" w:hAnsi="Garamond"/>
          <w:sz w:val="24"/>
          <w:szCs w:val="24"/>
        </w:rPr>
        <w:t xml:space="preserve"> as a bona-fide anti-apartheid movement. But quelling the BOA's complicity thesis leads Bosgra down some intriguing avenues. In an unexpected move, the SADET author reproduces the South African ambassador's complaint to the Dutch government over their funding of the BOA:  </w:t>
      </w:r>
    </w:p>
    <w:p w:rsidR="00A371B8" w:rsidRPr="002650CB" w:rsidRDefault="00A371B8" w:rsidP="00A371B8">
      <w:pPr>
        <w:autoSpaceDE w:val="0"/>
        <w:autoSpaceDN w:val="0"/>
        <w:adjustRightInd w:val="0"/>
        <w:spacing w:after="0" w:line="360" w:lineRule="auto"/>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BOA wanted the Dutch government to break off all economic relations with South Africa. According to Esau du Plessis, however: ‘The entire Dutch history concerning South Africa has been characterised by hypocrisy. The aim of the Dutch government is invariably to strengthen Vorster in the suppression in South Africa'. And yet the same government had subsidised the BOA’s boycott campaign. The South African ambassador informed the Dutch Ministry of Foreign Affairs that his government considered this support objectionable in the extreme</w:t>
      </w:r>
      <w:r>
        <w:rPr>
          <w:rFonts w:ascii="Garamond" w:hAnsi="Garamond"/>
        </w:rPr>
        <w:t>. (ibid.: 545)</w:t>
      </w:r>
    </w:p>
    <w:p w:rsidR="00A371B8" w:rsidRPr="002650CB" w:rsidRDefault="00A371B8" w:rsidP="00A371B8">
      <w:pPr>
        <w:autoSpaceDE w:val="0"/>
        <w:autoSpaceDN w:val="0"/>
        <w:adjustRightInd w:val="0"/>
        <w:spacing w:after="0" w:line="360" w:lineRule="auto"/>
        <w:jc w:val="both"/>
        <w:rPr>
          <w:rFonts w:ascii="Garamond" w:hAnsi="Garamond"/>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This critique of the BOA appears counter-intuitive from an anti-apartheid perspective; a reasonable reaction to the South African ambassador's complaints to the Dutch government would be to think that the BOA's anti-apartheid activism was producing desired effects. Complaints from apartheid diplomats over the Dutch government's funding of the BOA surely point to the efficacy of the BOA's activism? This fascinating line of criticism makes little sense from an anti-apartheid perspective unless it is considered through a nationalist lens. That is, anti-apartheid operated most importantly at the scale of a homogenous national anti-apartheid movement where Dutch state and civil society worked together to pressurize the apartheid state.</w:t>
      </w:r>
      <w:r w:rsidRPr="002650CB">
        <w:rPr>
          <w:rStyle w:val="FootnoteReference"/>
          <w:rFonts w:ascii="Garamond" w:hAnsi="Garamond"/>
          <w:sz w:val="24"/>
          <w:szCs w:val="24"/>
        </w:rPr>
        <w:footnoteReference w:id="259"/>
      </w:r>
      <w:r w:rsidRPr="002650CB">
        <w:rPr>
          <w:rFonts w:ascii="Garamond" w:hAnsi="Garamond"/>
          <w:sz w:val="24"/>
          <w:szCs w:val="24"/>
        </w:rPr>
        <w:t xml:space="preserve"> In this nationalist framework AAMs could win or lose credibility through official acts of governmental endorsement or criticism. The BOA's</w:t>
      </w:r>
      <w:r>
        <w:rPr>
          <w:rFonts w:ascii="Garamond" w:hAnsi="Garamond"/>
          <w:sz w:val="24"/>
          <w:szCs w:val="24"/>
        </w:rPr>
        <w:t xml:space="preserve"> recourse to 'hard' actions and their</w:t>
      </w:r>
      <w:r w:rsidRPr="002650CB">
        <w:rPr>
          <w:rFonts w:ascii="Garamond" w:hAnsi="Garamond"/>
          <w:sz w:val="24"/>
          <w:szCs w:val="24"/>
        </w:rPr>
        <w:t xml:space="preserve"> public rejection of the potential for apartheid reform through 'constructive engagement',</w:t>
      </w:r>
      <w:r>
        <w:rPr>
          <w:rFonts w:ascii="Garamond" w:hAnsi="Garamond"/>
          <w:sz w:val="24"/>
          <w:szCs w:val="24"/>
        </w:rPr>
        <w:t xml:space="preserve"> </w:t>
      </w:r>
      <w:r w:rsidRPr="002650CB">
        <w:rPr>
          <w:rFonts w:ascii="Garamond" w:hAnsi="Garamond"/>
          <w:sz w:val="24"/>
          <w:szCs w:val="24"/>
        </w:rPr>
        <w:t>dis</w:t>
      </w:r>
      <w:r>
        <w:rPr>
          <w:rFonts w:ascii="Garamond" w:hAnsi="Garamond"/>
          <w:sz w:val="24"/>
          <w:szCs w:val="24"/>
        </w:rPr>
        <w:t>rupted smooth relations</w:t>
      </w:r>
      <w:r w:rsidRPr="002650CB">
        <w:rPr>
          <w:rFonts w:ascii="Garamond" w:hAnsi="Garamond"/>
          <w:sz w:val="24"/>
          <w:szCs w:val="24"/>
        </w:rPr>
        <w:t xml:space="preserve"> between South African and Dutch ambassadors</w:t>
      </w:r>
      <w:r>
        <w:rPr>
          <w:rFonts w:ascii="Garamond" w:hAnsi="Garamond"/>
          <w:sz w:val="24"/>
          <w:szCs w:val="24"/>
        </w:rPr>
        <w:t xml:space="preserve"> (Grundy. 1974)</w:t>
      </w:r>
      <w:r w:rsidRPr="002650CB">
        <w:rPr>
          <w:rFonts w:ascii="Garamond" w:hAnsi="Garamond"/>
          <w:sz w:val="24"/>
          <w:szCs w:val="24"/>
        </w:rPr>
        <w:t>. B</w:t>
      </w:r>
      <w:r>
        <w:rPr>
          <w:rFonts w:ascii="Garamond" w:hAnsi="Garamond"/>
          <w:sz w:val="24"/>
          <w:szCs w:val="24"/>
        </w:rPr>
        <w:t xml:space="preserve">osgra's account in SADET </w:t>
      </w:r>
      <w:r w:rsidRPr="002650CB">
        <w:rPr>
          <w:rFonts w:ascii="Garamond" w:hAnsi="Garamond"/>
          <w:sz w:val="24"/>
          <w:szCs w:val="24"/>
        </w:rPr>
        <w:t>emphasizes</w:t>
      </w:r>
      <w:r>
        <w:rPr>
          <w:rFonts w:ascii="Garamond" w:hAnsi="Garamond"/>
          <w:sz w:val="24"/>
          <w:szCs w:val="24"/>
        </w:rPr>
        <w:t xml:space="preserve"> the importance of the</w:t>
      </w:r>
      <w:r w:rsidRPr="002650CB">
        <w:rPr>
          <w:rFonts w:ascii="Garamond" w:hAnsi="Garamond"/>
          <w:sz w:val="24"/>
          <w:szCs w:val="24"/>
        </w:rPr>
        <w:t xml:space="preserve"> process of diplomatic negotiation</w:t>
      </w:r>
      <w:r>
        <w:rPr>
          <w:rFonts w:ascii="Garamond" w:hAnsi="Garamond"/>
          <w:sz w:val="24"/>
          <w:szCs w:val="24"/>
        </w:rPr>
        <w:t xml:space="preserve"> over the BOA's position of critique.</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Bosgra suggests that the BOA received</w:t>
      </w:r>
      <w:r w:rsidRPr="002650CB">
        <w:rPr>
          <w:rFonts w:ascii="Garamond" w:hAnsi="Garamond"/>
          <w:sz w:val="24"/>
          <w:szCs w:val="24"/>
        </w:rPr>
        <w:t xml:space="preserve"> funding from the Dutch government</w:t>
      </w:r>
      <w:r>
        <w:rPr>
          <w:rFonts w:ascii="Garamond" w:hAnsi="Garamond"/>
          <w:sz w:val="24"/>
          <w:szCs w:val="24"/>
        </w:rPr>
        <w:t xml:space="preserve"> during the Outspan boycott; with this he levels an allegation of hypocrisy at the BOA</w:t>
      </w:r>
      <w:r w:rsidRPr="002650CB">
        <w:rPr>
          <w:rFonts w:ascii="Garamond" w:hAnsi="Garamond"/>
          <w:sz w:val="24"/>
          <w:szCs w:val="24"/>
        </w:rPr>
        <w:t xml:space="preserve"> </w:t>
      </w:r>
      <w:r>
        <w:rPr>
          <w:rFonts w:ascii="Garamond" w:hAnsi="Garamond"/>
          <w:sz w:val="24"/>
          <w:szCs w:val="24"/>
        </w:rPr>
        <w:t>for</w:t>
      </w:r>
      <w:r w:rsidRPr="002650CB">
        <w:rPr>
          <w:rFonts w:ascii="Garamond" w:hAnsi="Garamond"/>
          <w:sz w:val="24"/>
          <w:szCs w:val="24"/>
        </w:rPr>
        <w:t xml:space="preserve"> having the audacity to </w:t>
      </w:r>
      <w:r>
        <w:rPr>
          <w:rFonts w:ascii="Garamond" w:hAnsi="Garamond"/>
          <w:sz w:val="24"/>
          <w:szCs w:val="24"/>
        </w:rPr>
        <w:t xml:space="preserve">receive government subsidies and yet still </w:t>
      </w:r>
      <w:r w:rsidRPr="002650CB">
        <w:rPr>
          <w:rFonts w:ascii="Garamond" w:hAnsi="Garamond"/>
          <w:sz w:val="24"/>
          <w:szCs w:val="24"/>
        </w:rPr>
        <w:t>critique the Dutch government</w:t>
      </w:r>
      <w:r>
        <w:rPr>
          <w:rFonts w:ascii="Garamond" w:hAnsi="Garamond"/>
          <w:sz w:val="24"/>
          <w:szCs w:val="24"/>
        </w:rPr>
        <w:t>'s South African foreign policy. This revealing line of argument is also based on a false premise.</w:t>
      </w:r>
      <w:r w:rsidRPr="002650CB">
        <w:rPr>
          <w:rFonts w:ascii="Garamond" w:hAnsi="Garamond"/>
          <w:sz w:val="24"/>
          <w:szCs w:val="24"/>
        </w:rPr>
        <w:t xml:space="preserve"> The BOA did not receive any funding from the Dutch government until 1975, when they applied for funding from the NCO.</w:t>
      </w:r>
      <w:r w:rsidRPr="002650CB">
        <w:rPr>
          <w:rStyle w:val="FootnoteReference"/>
          <w:rFonts w:ascii="Garamond" w:hAnsi="Garamond"/>
          <w:sz w:val="24"/>
          <w:szCs w:val="24"/>
        </w:rPr>
        <w:footnoteReference w:id="260"/>
      </w:r>
      <w:r w:rsidRPr="002650CB">
        <w:rPr>
          <w:rFonts w:ascii="Garamond" w:hAnsi="Garamond"/>
          <w:sz w:val="24"/>
          <w:szCs w:val="24"/>
        </w:rPr>
        <w:t xml:space="preserve"> The Dutch government did not subsidize the Outspan boycott as Bosgra suggests: </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You didn't get funding from the NCO in 1972-74?</w:t>
      </w: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xml:space="preserve">: We got funding from the Programme to Combat Racism The World Council of Churches in Geneva. And from the DRC (The Dutch Reformed Church, </w:t>
      </w:r>
      <w:r w:rsidRPr="002650CB">
        <w:rPr>
          <w:rFonts w:ascii="Garamond" w:hAnsi="Garamond"/>
          <w:i/>
        </w:rPr>
        <w:t xml:space="preserve">Gereformeerde </w:t>
      </w:r>
      <w:r w:rsidRPr="002650CB">
        <w:rPr>
          <w:rFonts w:ascii="Garamond" w:hAnsi="Garamond"/>
          <w:i/>
        </w:rPr>
        <w:lastRenderedPageBreak/>
        <w:t>Kerk</w:t>
      </w:r>
      <w:r w:rsidRPr="002650CB">
        <w:rPr>
          <w:rFonts w:ascii="Garamond" w:hAnsi="Garamond"/>
        </w:rPr>
        <w:t>).</w:t>
      </w:r>
      <w:r w:rsidRPr="002650CB">
        <w:rPr>
          <w:rStyle w:val="FootnoteReference"/>
          <w:rFonts w:ascii="Garamond" w:hAnsi="Garamond"/>
        </w:rPr>
        <w:footnoteReference w:id="261"/>
      </w:r>
      <w:r w:rsidRPr="002650CB">
        <w:rPr>
          <w:rFonts w:ascii="Garamond" w:hAnsi="Garamond"/>
        </w:rPr>
        <w:t xml:space="preserve"> And most importantly we got monthly support from wealthy</w:t>
      </w:r>
      <w:r w:rsidR="00A6449D" w:rsidRPr="00A6449D">
        <w:rPr>
          <w:rFonts w:ascii="Garamond" w:hAnsi="Garamond"/>
        </w:rPr>
        <w:t xml:space="preserve"> </w:t>
      </w:r>
      <w:r w:rsidR="00A6449D" w:rsidRPr="002650CB">
        <w:rPr>
          <w:rFonts w:ascii="Garamond" w:hAnsi="Garamond"/>
        </w:rPr>
        <w:t>individuals</w:t>
      </w:r>
      <w:r w:rsidR="00A6449D">
        <w:rPr>
          <w:rFonts w:ascii="Garamond" w:hAnsi="Garamond"/>
        </w:rPr>
        <w:t xml:space="preserve"> and the X-Y Movement</w:t>
      </w:r>
      <w:r w:rsidRPr="002650CB">
        <w:rPr>
          <w:rFonts w:ascii="Garamond" w:hAnsi="Garamond"/>
        </w:rPr>
        <w:t xml:space="preserve">, and not so well off. The most we received from individuals was 500 Guilders a month, but we had many giving 5 or 10 </w:t>
      </w:r>
      <w:r w:rsidR="00A6449D">
        <w:rPr>
          <w:rFonts w:ascii="Garamond" w:hAnsi="Garamond"/>
        </w:rPr>
        <w:t xml:space="preserve">Guilders a month. Delegates at </w:t>
      </w:r>
      <w:r w:rsidRPr="002650CB">
        <w:rPr>
          <w:rFonts w:ascii="Garamond" w:hAnsi="Garamond"/>
        </w:rPr>
        <w:t>the NCO voted to support us from 1975.</w:t>
      </w: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xml:space="preserve">: You were able to get funding from the NCO once you had </w:t>
      </w:r>
      <w:r w:rsidR="00A6449D">
        <w:rPr>
          <w:rFonts w:ascii="Garamond" w:hAnsi="Garamond"/>
        </w:rPr>
        <w:t>banished Outspan from the Netherlands</w:t>
      </w:r>
      <w:r w:rsidRPr="002650CB">
        <w:rPr>
          <w:rFonts w:ascii="Garamond" w:hAnsi="Garamond"/>
        </w:rPr>
        <w:t>?</w:t>
      </w:r>
    </w:p>
    <w:p w:rsidR="00A371B8" w:rsidRDefault="00A371B8" w:rsidP="00A371B8">
      <w:pPr>
        <w:spacing w:after="0" w:line="360" w:lineRule="auto"/>
        <w:ind w:left="284" w:right="284"/>
        <w:jc w:val="both"/>
        <w:rPr>
          <w:rFonts w:ascii="Garamond" w:hAnsi="Garamond"/>
        </w:rPr>
      </w:pPr>
      <w:r>
        <w:rPr>
          <w:rFonts w:ascii="Garamond" w:hAnsi="Garamond"/>
        </w:rPr>
        <w:t>ESAU</w:t>
      </w:r>
      <w:r w:rsidRPr="002650CB">
        <w:rPr>
          <w:rFonts w:ascii="Garamond" w:hAnsi="Garamond"/>
        </w:rPr>
        <w:t xml:space="preserve">: They supported us after that. Sietse [Bosgra] was wrong in his report because he wrote mainly about our Outspan campaign, and he said despite the fact that I criticised the government, they gave us money -but he was wrong because naturally we didn't receive money from them at that stage. But between you and me and the lamp-post, if I were to do it over again, I wouldn't want the NCO money because that created so many problems for us. </w:t>
      </w:r>
      <w:r>
        <w:rPr>
          <w:rFonts w:ascii="Garamond" w:hAnsi="Garamond"/>
        </w:rPr>
        <w:t>(Interview du Plessis 2013)</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accusation of hypocrisy, and the false claim that the BOA received funding from the Dutch government for the Outspan boycott, brings the historical rejection of the BOA's doctrine of racist complicity by the wider movement into the present. During the 1970s this scepticism was apparent across Dutch civil society and development institutions</w:t>
      </w:r>
      <w:r>
        <w:rPr>
          <w:rFonts w:ascii="Garamond" w:hAnsi="Garamond"/>
          <w:sz w:val="24"/>
          <w:szCs w:val="24"/>
        </w:rPr>
        <w:t>:</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xml:space="preserve">: The NCO called their annual conference in 1980 at which subsidies were given to different organizations. Representatives of third world stores, development organizations like NOVIB, </w:t>
      </w:r>
      <w:r w:rsidR="00A6449D">
        <w:rPr>
          <w:rFonts w:ascii="Garamond" w:hAnsi="Garamond"/>
        </w:rPr>
        <w:t xml:space="preserve">and action groups including the KZA and Chile Committee </w:t>
      </w:r>
      <w:r w:rsidRPr="002650CB">
        <w:rPr>
          <w:rFonts w:ascii="Garamond" w:hAnsi="Garamond"/>
        </w:rPr>
        <w:t>were all present.  They had to vote on each subsidy, and when they came to BOA to vote they declared the money was finished. And that's why we went to the Council of State that worked like the Ombudsman, they</w:t>
      </w:r>
      <w:r w:rsidR="00A6449D">
        <w:rPr>
          <w:rFonts w:ascii="Garamond" w:hAnsi="Garamond"/>
        </w:rPr>
        <w:t xml:space="preserve"> could change the decision of the NCO </w:t>
      </w:r>
      <w:r w:rsidRPr="002650CB">
        <w:rPr>
          <w:rFonts w:ascii="Garamond" w:hAnsi="Garamond"/>
        </w:rPr>
        <w:t xml:space="preserve">or uphold it. </w:t>
      </w: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Was one of the criticisms that they had was that you were an antiracist rather than an anti-apartheid group?</w:t>
      </w:r>
    </w:p>
    <w:p w:rsidR="00A371B8" w:rsidRDefault="00A371B8" w:rsidP="00A371B8">
      <w:pPr>
        <w:spacing w:after="0" w:line="360" w:lineRule="auto"/>
        <w:ind w:left="284" w:right="284"/>
        <w:jc w:val="both"/>
        <w:rPr>
          <w:rFonts w:ascii="Garamond" w:hAnsi="Garamond"/>
        </w:rPr>
      </w:pPr>
      <w:r>
        <w:rPr>
          <w:rFonts w:ascii="Garamond" w:hAnsi="Garamond"/>
        </w:rPr>
        <w:t>ESAU</w:t>
      </w:r>
      <w:r w:rsidRPr="002650CB">
        <w:rPr>
          <w:rFonts w:ascii="Garamond" w:hAnsi="Garamond"/>
        </w:rPr>
        <w:t>: No, they were very careful not to mention that. But in discussions we had with them it was clear that they didn't agree with our stance on racism. They were quite happy if we focused on apartheid in South Africa without making a link, historically or currently, to the situation in Holland. And to us that is a fundamental point. They refused us six times until 1991 every other year. But we had different lawyers defending our case. We always won our case against them accept the last one in 1991.</w:t>
      </w:r>
    </w:p>
    <w:p w:rsidR="00A371B8" w:rsidRPr="00D03368" w:rsidRDefault="00A371B8" w:rsidP="00A371B8">
      <w:pPr>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lastRenderedPageBreak/>
        <w:t>Until 1991 the NCO funded the BOA under legal obligation from the Council of State, a body that they had to appeal to every second year when the NCO voted to withdraw support for the BOA. According to du Plessis, over the years it emerged that NCO disagreed with the fundamental premise of 'racism here</w:t>
      </w:r>
      <w:r>
        <w:rPr>
          <w:rFonts w:ascii="Garamond" w:hAnsi="Garamond"/>
          <w:sz w:val="24"/>
          <w:szCs w:val="24"/>
        </w:rPr>
        <w:t>,</w:t>
      </w:r>
      <w:r w:rsidRPr="002650CB">
        <w:rPr>
          <w:rFonts w:ascii="Garamond" w:hAnsi="Garamond"/>
          <w:sz w:val="24"/>
          <w:szCs w:val="24"/>
        </w:rPr>
        <w:t xml:space="preserve"> apartheid there':</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NCO had an evasive and non-committal view on racism. For example, the NCO arranged a conference in 1988 in Maastricht on Development Aid to the Third World (with organizations in The Netherlands subsidized by the NCO and concerned with that problem). After the main session of speakers the participant</w:t>
      </w:r>
      <w:r w:rsidR="00A6449D">
        <w:rPr>
          <w:rFonts w:ascii="Garamond" w:hAnsi="Garamond"/>
        </w:rPr>
        <w:t>s</w:t>
      </w:r>
      <w:r w:rsidRPr="002650CB">
        <w:rPr>
          <w:rFonts w:ascii="Garamond" w:hAnsi="Garamond"/>
        </w:rPr>
        <w:t xml:space="preserve"> joined workshops. I went to the one led by Ton Waarts, director of the NCO. I asked him in response to the excellent exhibition and book by Jan Nederveen Pieterse (</w:t>
      </w:r>
      <w:r w:rsidRPr="002650CB">
        <w:rPr>
          <w:rFonts w:ascii="Garamond" w:hAnsi="Garamond"/>
          <w:i/>
        </w:rPr>
        <w:t>White on Black</w:t>
      </w:r>
      <w:r w:rsidRPr="002650CB">
        <w:rPr>
          <w:rFonts w:ascii="Garamond" w:hAnsi="Garamond"/>
        </w:rPr>
        <w:t>)</w:t>
      </w:r>
      <w:r w:rsidRPr="002650CB">
        <w:rPr>
          <w:rStyle w:val="FootnoteReference"/>
          <w:rFonts w:ascii="Garamond" w:hAnsi="Garamond"/>
        </w:rPr>
        <w:footnoteReference w:id="262"/>
      </w:r>
      <w:r w:rsidRPr="002650CB">
        <w:rPr>
          <w:rFonts w:ascii="Garamond" w:hAnsi="Garamond"/>
        </w:rPr>
        <w:t xml:space="preserve"> whether the NCO would consider to support a similar exhibition entitled 'Black on White'. He ignored my question and instead said that such an exhibition would probably show that 'they' were more racist than Europeans.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During a 1991 debate with a representative of the NCO aired on IKON radio,</w:t>
      </w:r>
      <w:r w:rsidRPr="002650CB">
        <w:rPr>
          <w:rStyle w:val="FootnoteReference"/>
          <w:rFonts w:ascii="Garamond" w:hAnsi="Garamond"/>
          <w:sz w:val="24"/>
          <w:szCs w:val="24"/>
        </w:rPr>
        <w:footnoteReference w:id="263"/>
      </w:r>
      <w:r w:rsidRPr="002650CB">
        <w:rPr>
          <w:rFonts w:ascii="Garamond" w:hAnsi="Garamond"/>
          <w:sz w:val="24"/>
          <w:szCs w:val="24"/>
        </w:rPr>
        <w:t xml:space="preserve"> du Plessis recalls that the NCO struggled to accept the BOA's focus on racism in Holland:</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representative of the NCO asked 'why is the BOA so concerned with racism, why not concern ourselves with the greed of people?' Here they missed the point. One can change greed, political parties or ideologies, but one cannot change race or the colour of skin...But after the NCO stopped the BOA subsidy in 1991, Drs Jan Pronk, Minister for Development Aid, declared repeatedly on Dutch radio channels that he rejected all forms of racism in The Netherlands</w:t>
      </w:r>
      <w:r>
        <w:rPr>
          <w:rFonts w:ascii="Garamond" w:hAnsi="Garamond"/>
        </w:rPr>
        <w:t>. (Interview du Plessis</w:t>
      </w:r>
      <w:r w:rsidRPr="002650CB">
        <w:rPr>
          <w:rFonts w:ascii="Garamond" w:hAnsi="Garamond"/>
        </w:rPr>
        <w:t xml:space="preserve"> 2013)</w:t>
      </w:r>
      <w:r w:rsidRPr="002650CB">
        <w:rPr>
          <w:rStyle w:val="FootnoteReference"/>
          <w:rFonts w:ascii="Garamond" w:hAnsi="Garamond"/>
        </w:rPr>
        <w:footnoteReference w:id="264"/>
      </w:r>
      <w:r w:rsidRPr="002650CB">
        <w:rPr>
          <w:rFonts w:ascii="Garamond" w:hAnsi="Garamond"/>
        </w:rPr>
        <w:t xml:space="preserve"> </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Du</w:t>
      </w:r>
      <w:r w:rsidRPr="002650CB">
        <w:rPr>
          <w:rFonts w:ascii="Garamond" w:hAnsi="Garamond"/>
          <w:sz w:val="24"/>
          <w:szCs w:val="24"/>
        </w:rPr>
        <w:t xml:space="preserve"> Plessis argues that the NCO changed their remit on racism only after funding for the BOA was withdrawn. The BOA had applied for funding for their urban campaigns throughout the 1980s. The remit for these campaigns was: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 xml:space="preserve">To supply information about South Africa in such a manner that the grassroots in a city become so activated that they enact pressure on the vested interests in their city and South Africa which maintain </w:t>
      </w:r>
      <w:r>
        <w:rPr>
          <w:rFonts w:ascii="Garamond" w:hAnsi="Garamond"/>
        </w:rPr>
        <w:t>racism here, and apartheid there</w:t>
      </w:r>
      <w:r w:rsidRPr="002650CB">
        <w:rPr>
          <w:rFonts w:ascii="Garamond" w:hAnsi="Garamond"/>
        </w:rPr>
        <w:t>.</w:t>
      </w:r>
      <w:r w:rsidRPr="002650CB">
        <w:rPr>
          <w:rStyle w:val="FootnoteReference"/>
          <w:rFonts w:ascii="Garamond" w:hAnsi="Garamond"/>
        </w:rPr>
        <w:footnoteReference w:id="265"/>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lastRenderedPageBreak/>
        <w:t>The political underpinnings of Sietse Bosgra's report on the BOA become apparent when contextualized by the hegemonic Dutch framework for understanding apartheid and 'third -world' development. The criticisms on the BOA arrive from a tradition of nationalist activism that took pride and social capital from its role in resisting apartheid. Klein (2001), Bosgra (2009) and the IISH website reproduce the special words of gratitude from Mandela and the ANC reserved for the Dutch AAMs. But for the BOA these words ring hollow; "when the Berlin wall fell and the Soviet Union collapsed we knew that apartheid would be gone, but what they have done with South Africa is like a rooster claiming credit for the sun rising" (interview du Plessis, 2013). In these conditions, piecing together a nationalist critique of the BOA's internationalist connections and arguments of complicity appeals to populist demands.</w:t>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535"/>
        <w:gridCol w:w="3987"/>
      </w:tblGrid>
      <w:tr w:rsidR="00A371B8">
        <w:tc>
          <w:tcPr>
            <w:tcW w:w="4621" w:type="dxa"/>
          </w:tcPr>
          <w:p w:rsidR="00A371B8" w:rsidRPr="00784C93" w:rsidRDefault="00A371B8" w:rsidP="00D04F1F">
            <w:pPr>
              <w:spacing w:line="360" w:lineRule="auto"/>
              <w:ind w:right="284"/>
              <w:jc w:val="both"/>
              <w:rPr>
                <w:rFonts w:ascii="Garamond" w:hAnsi="Garamond"/>
              </w:rPr>
            </w:pPr>
            <w:r w:rsidRPr="00784C93">
              <w:rPr>
                <w:rFonts w:ascii="Garamond" w:hAnsi="Garamond"/>
                <w:noProof/>
                <w:lang w:eastAsia="en-GB"/>
              </w:rPr>
              <w:drawing>
                <wp:inline distT="0" distB="0" distL="0" distR="0">
                  <wp:extent cx="2238961" cy="2321983"/>
                  <wp:effectExtent l="50800" t="50800" r="21639" b="14817"/>
                  <wp:docPr id="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cstate="print"/>
                          <a:srcRect/>
                          <a:stretch>
                            <a:fillRect/>
                          </a:stretch>
                        </pic:blipFill>
                        <pic:spPr bwMode="auto">
                          <a:xfrm>
                            <a:off x="0" y="0"/>
                            <a:ext cx="2251838" cy="2335337"/>
                          </a:xfrm>
                          <a:prstGeom prst="rect">
                            <a:avLst/>
                          </a:prstGeom>
                          <a:noFill/>
                          <a:ln w="31750">
                            <a:solidFill>
                              <a:schemeClr val="tx1"/>
                            </a:solidFill>
                            <a:miter lim="800000"/>
                            <a:headEnd/>
                            <a:tailEnd/>
                          </a:ln>
                        </pic:spPr>
                      </pic:pic>
                    </a:graphicData>
                  </a:graphic>
                </wp:inline>
              </w:drawing>
            </w:r>
          </w:p>
        </w:tc>
        <w:tc>
          <w:tcPr>
            <w:tcW w:w="4621" w:type="dxa"/>
          </w:tcPr>
          <w:p w:rsidR="00031E7C" w:rsidRPr="00031E7C" w:rsidRDefault="00A371B8" w:rsidP="00D04F1F">
            <w:pPr>
              <w:pStyle w:val="Caption"/>
              <w:jc w:val="both"/>
              <w:rPr>
                <w:rFonts w:ascii="Perpetua" w:hAnsi="Perpetua"/>
                <w:b w:val="0"/>
                <w:color w:val="auto"/>
                <w:sz w:val="20"/>
                <w:szCs w:val="20"/>
              </w:rPr>
            </w:pPr>
            <w:bookmarkStart w:id="802" w:name="_Toc263509077"/>
            <w:bookmarkStart w:id="803" w:name="_Toc263510864"/>
            <w:bookmarkStart w:id="804" w:name="_Toc244577342"/>
            <w:bookmarkStart w:id="805" w:name="_Toc263495811"/>
            <w:r w:rsidRPr="00031E7C">
              <w:rPr>
                <w:rFonts w:ascii="Perpetua" w:hAnsi="Perpetua"/>
                <w:b w:val="0"/>
                <w:color w:val="auto"/>
                <w:sz w:val="20"/>
                <w:szCs w:val="20"/>
              </w:rPr>
              <w:t xml:space="preserve">Figure </w:t>
            </w:r>
            <w:r w:rsidR="00DF2DF8" w:rsidRPr="00031E7C">
              <w:rPr>
                <w:rFonts w:ascii="Perpetua" w:hAnsi="Perpetua"/>
                <w:b w:val="0"/>
                <w:color w:val="auto"/>
                <w:sz w:val="20"/>
                <w:szCs w:val="20"/>
              </w:rPr>
              <w:fldChar w:fldCharType="begin"/>
            </w:r>
            <w:r w:rsidRPr="00031E7C">
              <w:rPr>
                <w:rFonts w:ascii="Perpetua" w:hAnsi="Perpetua"/>
                <w:b w:val="0"/>
                <w:color w:val="auto"/>
                <w:sz w:val="20"/>
                <w:szCs w:val="20"/>
              </w:rPr>
              <w:instrText xml:space="preserve"> SEQ Figure \* ARABIC </w:instrText>
            </w:r>
            <w:r w:rsidR="00DF2DF8" w:rsidRPr="00031E7C">
              <w:rPr>
                <w:rFonts w:ascii="Perpetua" w:hAnsi="Perpetua"/>
                <w:b w:val="0"/>
                <w:color w:val="auto"/>
                <w:sz w:val="20"/>
                <w:szCs w:val="20"/>
              </w:rPr>
              <w:fldChar w:fldCharType="separate"/>
            </w:r>
            <w:r w:rsidR="002B3E92">
              <w:rPr>
                <w:rFonts w:ascii="Perpetua" w:hAnsi="Perpetua"/>
                <w:b w:val="0"/>
                <w:noProof/>
                <w:color w:val="auto"/>
                <w:sz w:val="20"/>
                <w:szCs w:val="20"/>
              </w:rPr>
              <w:t>80</w:t>
            </w:r>
            <w:r w:rsidR="00DF2DF8" w:rsidRPr="00031E7C">
              <w:rPr>
                <w:rFonts w:ascii="Perpetua" w:hAnsi="Perpetua"/>
                <w:b w:val="0"/>
                <w:color w:val="auto"/>
                <w:sz w:val="20"/>
                <w:szCs w:val="20"/>
              </w:rPr>
              <w:fldChar w:fldCharType="end"/>
            </w:r>
            <w:r w:rsidRPr="00031E7C">
              <w:rPr>
                <w:rFonts w:ascii="Perpetua" w:hAnsi="Perpetua"/>
                <w:b w:val="0"/>
                <w:color w:val="auto"/>
                <w:sz w:val="20"/>
                <w:szCs w:val="20"/>
              </w:rPr>
              <w:t xml:space="preserve">: </w:t>
            </w:r>
            <w:r w:rsidR="00031E7C">
              <w:rPr>
                <w:rFonts w:ascii="Perpetua" w:hAnsi="Perpetua"/>
                <w:b w:val="0"/>
                <w:color w:val="auto"/>
                <w:sz w:val="20"/>
                <w:szCs w:val="20"/>
              </w:rPr>
              <w:t>Illustrated c</w:t>
            </w:r>
            <w:r w:rsidR="00031E7C" w:rsidRPr="00031E7C">
              <w:rPr>
                <w:rFonts w:ascii="Perpetua" w:hAnsi="Perpetua"/>
                <w:b w:val="0"/>
                <w:color w:val="auto"/>
                <w:sz w:val="20"/>
                <w:szCs w:val="20"/>
              </w:rPr>
              <w:t>artoon poster by Willem van Manen, 1980.</w:t>
            </w:r>
            <w:bookmarkEnd w:id="802"/>
            <w:bookmarkEnd w:id="803"/>
          </w:p>
          <w:bookmarkEnd w:id="804"/>
          <w:bookmarkEnd w:id="805"/>
          <w:p w:rsidR="00031E7C" w:rsidRPr="00031E7C" w:rsidRDefault="00031E7C" w:rsidP="00031E7C">
            <w:pPr>
              <w:rPr>
                <w:rFonts w:ascii="Perpetua" w:hAnsi="Perpetua"/>
                <w:sz w:val="20"/>
              </w:rPr>
            </w:pPr>
            <w:r w:rsidRPr="00031E7C">
              <w:rPr>
                <w:rFonts w:ascii="Perpetua" w:hAnsi="Perpetua"/>
                <w:sz w:val="20"/>
              </w:rPr>
              <w:t>In 1974 the Reclame Code Commissie (RCC), an advertising standards board launched an injunction against the BOA poster due to its supposed indecency. BOA lawyer and caricaturist, Willem van Manen implies that the RCC were doing ‘dirty work’ for the South African prime minister, John Vorster.</w:t>
            </w:r>
          </w:p>
          <w:p w:rsidR="00A371B8" w:rsidRDefault="00A371B8" w:rsidP="00031E7C">
            <w:pPr>
              <w:rPr>
                <w:rFonts w:ascii="Garamond" w:hAnsi="Garamond"/>
              </w:rPr>
            </w:pPr>
          </w:p>
        </w:tc>
      </w:tr>
    </w:tbl>
    <w:p w:rsidR="001731AC" w:rsidRDefault="001731AC" w:rsidP="00A371B8">
      <w:pPr>
        <w:pStyle w:val="Heading2"/>
        <w:rPr>
          <w:rFonts w:asciiTheme="minorHAnsi" w:eastAsiaTheme="minorHAnsi" w:hAnsiTheme="minorHAnsi" w:cstheme="minorBidi"/>
          <w:b w:val="0"/>
          <w:bCs w:val="0"/>
          <w:sz w:val="22"/>
          <w:szCs w:val="22"/>
        </w:rPr>
      </w:pPr>
    </w:p>
    <w:p w:rsidR="00A371B8" w:rsidRPr="00D03368" w:rsidRDefault="00A371B8" w:rsidP="00A371B8">
      <w:pPr>
        <w:pStyle w:val="Heading2"/>
      </w:pPr>
      <w:bookmarkStart w:id="806" w:name="_Toc244578411"/>
      <w:bookmarkStart w:id="807" w:name="_Toc244578795"/>
      <w:bookmarkStart w:id="808" w:name="_Toc263452046"/>
      <w:bookmarkStart w:id="809" w:name="_Toc263510964"/>
      <w:r w:rsidRPr="00D03368">
        <w:t>Opposing 'maps of grievances' for apartheid: fascism and whole worlds of racism</w:t>
      </w:r>
      <w:bookmarkEnd w:id="806"/>
      <w:bookmarkEnd w:id="807"/>
      <w:bookmarkEnd w:id="808"/>
      <w:bookmarkEnd w:id="809"/>
    </w:p>
    <w:p w:rsidR="00A371B8" w:rsidRPr="002650CB" w:rsidRDefault="00A371B8" w:rsidP="00A371B8">
      <w:pPr>
        <w:autoSpaceDE w:val="0"/>
        <w:autoSpaceDN w:val="0"/>
        <w:adjustRightInd w:val="0"/>
        <w:spacing w:after="0" w:line="360" w:lineRule="auto"/>
        <w:jc w:val="both"/>
        <w:rPr>
          <w:rFonts w:ascii="Garamond" w:hAnsi="Garamond"/>
        </w:rPr>
      </w:pPr>
    </w:p>
    <w:p w:rsidR="00A371B8" w:rsidRPr="002650CB" w:rsidRDefault="00A371B8" w:rsidP="001731AC">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From the dual position of Secretary for the Dutch Anti-Apartheid Common Committee (responsible for archiving and publicizing the history of various Dutch AAMs (including the Angola Comite, the KZA and the AABN)</w:t>
      </w:r>
      <w:r w:rsidRPr="002650CB">
        <w:rPr>
          <w:rStyle w:val="FootnoteReference"/>
          <w:rFonts w:ascii="Garamond" w:hAnsi="Garamond"/>
          <w:sz w:val="24"/>
          <w:szCs w:val="24"/>
        </w:rPr>
        <w:footnoteReference w:id="266"/>
      </w:r>
      <w:r w:rsidRPr="002650CB">
        <w:rPr>
          <w:rFonts w:ascii="Garamond" w:hAnsi="Garamond"/>
          <w:sz w:val="24"/>
          <w:szCs w:val="24"/>
        </w:rPr>
        <w:t>, and SADET biographer for Dutch anti-apartheid, Bosgra clearly dismisses the BOA’s link between Dutch racism and apartheid. Throughout his Open Letter to du Plessis published on the SAHO,</w:t>
      </w:r>
      <w:r w:rsidRPr="002650CB">
        <w:rPr>
          <w:rStyle w:val="FootnoteReference"/>
          <w:rFonts w:ascii="Garamond" w:hAnsi="Garamond"/>
          <w:sz w:val="24"/>
          <w:szCs w:val="24"/>
        </w:rPr>
        <w:footnoteReference w:id="267"/>
      </w:r>
      <w:r w:rsidRPr="002650CB">
        <w:rPr>
          <w:rFonts w:ascii="Garamond" w:hAnsi="Garamond"/>
          <w:sz w:val="24"/>
          <w:szCs w:val="24"/>
        </w:rPr>
        <w:t xml:space="preserve"> SADET and the IISH websites, the former Angola Committee leader aligns his interpretation of South African apartheid as a descendent of German fascism:  “my view that there was very little connection with Holland and more with German fascism is…based on studying the </w:t>
      </w:r>
      <w:r w:rsidRPr="002650CB">
        <w:rPr>
          <w:rFonts w:ascii="Garamond" w:hAnsi="Garamond"/>
          <w:sz w:val="24"/>
          <w:szCs w:val="24"/>
        </w:rPr>
        <w:lastRenderedPageBreak/>
        <w:t>relevant literature” (2009).</w:t>
      </w:r>
      <w:r w:rsidRPr="002650CB">
        <w:rPr>
          <w:rStyle w:val="FootnoteReference"/>
          <w:rFonts w:ascii="Garamond" w:hAnsi="Garamond"/>
          <w:sz w:val="24"/>
          <w:szCs w:val="24"/>
        </w:rPr>
        <w:footnoteReference w:id="268"/>
      </w:r>
      <w:r w:rsidRPr="002650CB">
        <w:rPr>
          <w:rFonts w:ascii="Garamond" w:hAnsi="Garamond"/>
          <w:sz w:val="24"/>
          <w:szCs w:val="24"/>
        </w:rPr>
        <w:t xml:space="preserve"> Bosgra is silent on his sampling of the relevant historiography; as a producer and disseminator of anti-apartheid knowledge, his essentialist position on 'the relevant literature' could be misleading. The debate over the origins of apartheid has pre-occupied historians for decades, but the fascist genealogy thesis is one of multiple scholastic interpretations.</w:t>
      </w:r>
      <w:r w:rsidRPr="002650CB">
        <w:rPr>
          <w:rStyle w:val="FootnoteReference"/>
          <w:rFonts w:ascii="Garamond" w:hAnsi="Garamond"/>
          <w:sz w:val="24"/>
          <w:szCs w:val="24"/>
        </w:rPr>
        <w:footnoteReference w:id="269"/>
      </w:r>
      <w:r w:rsidRPr="002650CB">
        <w:rPr>
          <w:rFonts w:ascii="Garamond" w:hAnsi="Garamond"/>
          <w:sz w:val="24"/>
          <w:szCs w:val="24"/>
        </w:rPr>
        <w:t xml:space="preserve">   Bosgra is clearly a politically active figure in the reproduction of anti-apartheid knowledge, and his allegiance to the fascism thesis is a key c</w:t>
      </w:r>
      <w:r w:rsidR="001731AC">
        <w:rPr>
          <w:rFonts w:ascii="Garamond" w:hAnsi="Garamond"/>
          <w:sz w:val="24"/>
          <w:szCs w:val="24"/>
        </w:rPr>
        <w:t xml:space="preserve">omponent of his anti-apartheid </w:t>
      </w:r>
      <w:r w:rsidRPr="002650CB">
        <w:rPr>
          <w:rFonts w:ascii="Garamond" w:hAnsi="Garamond"/>
          <w:sz w:val="24"/>
          <w:szCs w:val="24"/>
        </w:rPr>
        <w:t xml:space="preserve">politics. But from the perspective of the BOA, what puzzled most about this particular map of grievance for apartheid is its lack of apparent utility for a radical politics.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b/>
          <w:sz w:val="24"/>
          <w:szCs w:val="24"/>
        </w:rPr>
      </w:pPr>
      <w:r w:rsidRPr="002650CB">
        <w:rPr>
          <w:rFonts w:ascii="Garamond" w:hAnsi="Garamond"/>
          <w:sz w:val="24"/>
          <w:szCs w:val="24"/>
        </w:rPr>
        <w:t xml:space="preserve">When the BOA launched their anti-emigration campaign in 1975 as part of a pan-European effort by various anti-apartheid movements to cut the flow of white emigration to South Africa, their aim was to materially undermine the social reproduction of apartheid and to make concrete the rather indecisive liberal opposition to apartheid that characterized Dutch diplomacy over South Africa (Grundy, 1974). If the BOA had instead focused on the historical links between the apartheid regime and German fascism, it would have undermined the justification and urgency of the anti-emigration campaign, and would have missed the opportunity to materially undermine the apartheid regime. Flogging fascism as a way of raising apartheid as a political issue would have done little towards incentivizing action in Holland: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xml:space="preserve">: I find it very interesting that other Dutch AAMs claim that apartheid had more of a link to German fascism, </w:t>
      </w:r>
      <w:r w:rsidR="00A6449D">
        <w:rPr>
          <w:rFonts w:ascii="Garamond" w:hAnsi="Garamond"/>
        </w:rPr>
        <w:t>than to Dutch decenedents in South Africa.</w:t>
      </w:r>
      <w:r w:rsidRPr="002650CB">
        <w:rPr>
          <w:rFonts w:ascii="Garamond" w:hAnsi="Garamond"/>
        </w:rPr>
        <w:t xml:space="preserve"> What I don't understand is why that viewpoint would be beneficial to motivating AAM actions at that time?</w:t>
      </w: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xml:space="preserve">: It's not correct or true. Racism in South Africa predates national socialism. I mean Dutch racism in South Africa started in 1652. They missed a point by more than three centuries. </w:t>
      </w: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xml:space="preserve">: Why </w:t>
      </w:r>
      <w:r>
        <w:rPr>
          <w:rFonts w:ascii="Garamond" w:hAnsi="Garamond"/>
        </w:rPr>
        <w:t>do you think the approach to apartheid as a descendent of fascism is popular in Holland?</w:t>
      </w:r>
    </w:p>
    <w:p w:rsidR="00A371B8" w:rsidRDefault="00A371B8" w:rsidP="00A371B8">
      <w:pPr>
        <w:spacing w:after="0" w:line="360" w:lineRule="auto"/>
        <w:ind w:left="284" w:right="284"/>
        <w:jc w:val="both"/>
        <w:rPr>
          <w:rFonts w:ascii="Garamond" w:hAnsi="Garamond"/>
        </w:rPr>
      </w:pPr>
      <w:r>
        <w:rPr>
          <w:rFonts w:ascii="Garamond" w:hAnsi="Garamond"/>
        </w:rPr>
        <w:lastRenderedPageBreak/>
        <w:t>ESAU</w:t>
      </w:r>
      <w:r w:rsidRPr="002650CB">
        <w:rPr>
          <w:rFonts w:ascii="Garamond" w:hAnsi="Garamond"/>
        </w:rPr>
        <w:t xml:space="preserve">: I do not know exactly why, but my guess is that since Holland was occupied from 1940-45 and Holland collaborated more than Dutch people would like to admit. But there was also strong resistance, and the trauma of being occupied by a neighbouring state is such that they put all the blame on Germany. I remember saying in my speeches that apartheid predated national socialism. People looked at me in disbelief. </w:t>
      </w:r>
    </w:p>
    <w:p w:rsidR="00A371B8" w:rsidRPr="002650CB" w:rsidRDefault="00A371B8" w:rsidP="00A371B8">
      <w:pPr>
        <w:spacing w:after="0" w:line="360" w:lineRule="auto"/>
        <w:ind w:left="284" w:right="284"/>
        <w:jc w:val="both"/>
        <w:rPr>
          <w:rFonts w:ascii="Garamond" w:hAnsi="Garamond"/>
        </w:rPr>
      </w:pPr>
    </w:p>
    <w:p w:rsidR="00A371B8" w:rsidRPr="002650CB"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This discussion reveals that the way apartheid was theorized as either a descendent of German fascism on one hand, or as a product of Dutch colonialism and contemporaneous European racism on the other, had profound political implications for organizations and individuals within Dutch anti-apartheid. Below, I delineate some of the political ramifications within Dutch anti-apartheid for producers of (and subscribers to) these different interpretations of apartheid. I also make the case that these positions produced differing spatial relationships and approaches to activism, and I show how they implicate on the production of antiracisms.   </w:t>
      </w:r>
    </w:p>
    <w:p w:rsidR="00A371B8" w:rsidRPr="002650CB" w:rsidRDefault="00A371B8" w:rsidP="00A371B8">
      <w:pPr>
        <w:spacing w:after="0" w:line="360" w:lineRule="auto"/>
        <w:jc w:val="both"/>
        <w:rPr>
          <w:rFonts w:ascii="Garamond" w:hAnsi="Garamond"/>
          <w:b/>
          <w:i/>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The fascist interpretation of apartheid placed a historicized European crisis of nationalisms inside contemporaneous South Africa. The position implied a conflict between liberal democracies and a revised and displaced form of fascism.</w:t>
      </w:r>
      <w:r>
        <w:rPr>
          <w:rFonts w:ascii="Garamond" w:hAnsi="Garamond"/>
          <w:sz w:val="24"/>
          <w:szCs w:val="24"/>
        </w:rPr>
        <w:t xml:space="preserve"> With the common enemy a distanc</w:t>
      </w:r>
      <w:r w:rsidRPr="002650CB">
        <w:rPr>
          <w:rFonts w:ascii="Garamond" w:hAnsi="Garamond"/>
          <w:sz w:val="24"/>
          <w:szCs w:val="24"/>
        </w:rPr>
        <w:t xml:space="preserve">iated fascism, the framework reproduced nationalist discourses of anti-apartheid. Agents perpetuating the discourse raised few antagonisms with the Dutch state, and were not able to exert concerted pressure on the Dutch policy towards South Africa. However, being aligned with the fascist interpretation meant better chances of receiving government funding for public campaigns, less work in educating the Dutch public, and increased comparative leverage within Dutch anti-apartheid as a whole. The two dominant AAMs in Dutch anti-apartheid from the late 1970s through to 1992 were the Connie Braam's AABN and Sietse Bosgra's KZA. It is not surprising that both subscribed to the fascism thesis (although the AABN was also indebted to Marxist interpretations of apartheid), and were reluctant to embrace wider antiracist arguments. </w:t>
      </w:r>
    </w:p>
    <w:p w:rsidR="00A371B8" w:rsidRDefault="00A371B8" w:rsidP="00A371B8">
      <w:pPr>
        <w:spacing w:after="0" w:line="360" w:lineRule="auto"/>
        <w:jc w:val="both"/>
        <w:rPr>
          <w:rFonts w:ascii="Garamond" w:hAnsi="Garamond"/>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The fascist interpretation drew from an intense period of historical trauma for many Dutch, and an anxiety to banish the ghosts of complicity during the German occupation. While bringing anti-German prejudice to the fore this antagonistic politics enacted a form of post-racialism. Racism was exceptional to failed democracies and closeted inside two central aberrations of modernity; German fascism and South African apartheid. Outside of these political economies, race as a social relation and a material reality, ceased to exist, except in the case of resurgent fascisms (or, at least that was the official </w:t>
      </w:r>
      <w:r w:rsidRPr="002650CB">
        <w:rPr>
          <w:rFonts w:ascii="Garamond" w:hAnsi="Garamond"/>
          <w:sz w:val="24"/>
          <w:szCs w:val="24"/>
        </w:rPr>
        <w:lastRenderedPageBreak/>
        <w:t>line - in the final section of the chapter I assert that the anti-apartheid movement used race and racism to marginalize the BO</w:t>
      </w:r>
      <w:r>
        <w:rPr>
          <w:rFonts w:ascii="Garamond" w:hAnsi="Garamond"/>
          <w:sz w:val="24"/>
          <w:szCs w:val="24"/>
        </w:rPr>
        <w:t>A).</w:t>
      </w:r>
    </w:p>
    <w:p w:rsidR="00A371B8" w:rsidRDefault="00A371B8" w:rsidP="00A371B8">
      <w:pPr>
        <w:spacing w:after="0" w:line="360" w:lineRule="auto"/>
        <w:jc w:val="both"/>
        <w:rPr>
          <w:rFonts w:ascii="Garamond" w:hAnsi="Garamond"/>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As a form of productive politics the fascism thesis had advantages in developing solidarities across Europe with other AAMs that were keen to separate apartheid from colonialism and their own national racisms. But although activists from within South Africa affiliated with the ANC and the PAC would talk of 'banishing the apartheid fascism', the shared antagonism had limited potential in forming strong solidarities with South African exiles, with South African labour, and with supra-national organizations such as the UN and CETIM,</w:t>
      </w:r>
      <w:r w:rsidRPr="002650CB">
        <w:rPr>
          <w:rStyle w:val="FootnoteReference"/>
          <w:rFonts w:ascii="Garamond" w:hAnsi="Garamond"/>
          <w:sz w:val="24"/>
          <w:szCs w:val="24"/>
        </w:rPr>
        <w:footnoteReference w:id="270"/>
      </w:r>
      <w:r w:rsidRPr="002650CB">
        <w:rPr>
          <w:rFonts w:ascii="Garamond" w:hAnsi="Garamond"/>
          <w:sz w:val="24"/>
          <w:szCs w:val="24"/>
        </w:rPr>
        <w:t xml:space="preserve"> who had developed charters to banish all forms of racial discrimination. The framework carried a deterministic moral imbalance between South Africa and the Western European nation; South Africa was the fascist enemy and Holland (or Britain, Germany, Sweden, Norway), the democratic liberator.  It was a Eurocentric interpretation of apartheid. Based upon internal European conflict and crisis, it could not theorize the complex forms of resistance emerging in South Africa. The position brusquely refused to countenance the dark sides of the modern national</w:t>
      </w:r>
      <w:r>
        <w:rPr>
          <w:rFonts w:ascii="Garamond" w:hAnsi="Garamond"/>
          <w:sz w:val="24"/>
          <w:szCs w:val="24"/>
        </w:rPr>
        <w:t xml:space="preserve"> liberal democracy, and it often did</w:t>
      </w:r>
      <w:r w:rsidRPr="002650CB">
        <w:rPr>
          <w:rFonts w:ascii="Garamond" w:hAnsi="Garamond"/>
          <w:sz w:val="24"/>
          <w:szCs w:val="24"/>
        </w:rPr>
        <w:t xml:space="preserve"> not recognise the violent racial language of colonialism, slavery</w:t>
      </w:r>
      <w:r>
        <w:rPr>
          <w:rFonts w:ascii="Garamond" w:hAnsi="Garamond"/>
          <w:sz w:val="24"/>
          <w:szCs w:val="24"/>
        </w:rPr>
        <w:t>, extirpation and exploitation.</w:t>
      </w:r>
    </w:p>
    <w:p w:rsidR="00A371B8" w:rsidRDefault="00A371B8" w:rsidP="00A371B8">
      <w:pPr>
        <w:spacing w:after="0" w:line="360" w:lineRule="auto"/>
        <w:jc w:val="both"/>
        <w:rPr>
          <w:rFonts w:ascii="Garamond" w:hAnsi="Garamond"/>
          <w:sz w:val="24"/>
          <w:szCs w:val="24"/>
        </w:rPr>
      </w:pPr>
    </w:p>
    <w:p w:rsidR="00A371B8" w:rsidRPr="007E10FB" w:rsidRDefault="00A371B8" w:rsidP="007E10FB">
      <w:pPr>
        <w:spacing w:after="0" w:line="360" w:lineRule="auto"/>
        <w:jc w:val="both"/>
        <w:rPr>
          <w:rFonts w:ascii="Garamond" w:hAnsi="Garamond"/>
          <w:sz w:val="24"/>
          <w:szCs w:val="24"/>
        </w:rPr>
      </w:pPr>
      <w:r>
        <w:rPr>
          <w:rFonts w:ascii="Garamond" w:hAnsi="Garamond"/>
          <w:sz w:val="24"/>
          <w:szCs w:val="24"/>
        </w:rPr>
        <w:t xml:space="preserve">The BOA's </w:t>
      </w:r>
      <w:r>
        <w:rPr>
          <w:rFonts w:ascii="Garamond" w:hAnsi="Garamond"/>
          <w:i/>
          <w:sz w:val="24"/>
          <w:szCs w:val="24"/>
        </w:rPr>
        <w:t>Racism here, apartheid there</w:t>
      </w:r>
      <w:r w:rsidRPr="002650CB">
        <w:rPr>
          <w:rFonts w:ascii="Garamond" w:hAnsi="Garamond"/>
          <w:i/>
          <w:sz w:val="24"/>
          <w:szCs w:val="24"/>
        </w:rPr>
        <w:t xml:space="preserve"> </w:t>
      </w:r>
      <w:r w:rsidRPr="002650CB">
        <w:rPr>
          <w:rFonts w:ascii="Garamond" w:hAnsi="Garamond"/>
          <w:sz w:val="24"/>
          <w:szCs w:val="24"/>
        </w:rPr>
        <w:t>mapped egregious parts of Europe inside South Africa, and egregious parts of South Africa inside Europe. The po</w:t>
      </w:r>
      <w:r w:rsidR="001731AC">
        <w:rPr>
          <w:rFonts w:ascii="Garamond" w:hAnsi="Garamond"/>
          <w:sz w:val="24"/>
          <w:szCs w:val="24"/>
        </w:rPr>
        <w:t xml:space="preserve">sition was marked by a central </w:t>
      </w:r>
      <w:r w:rsidRPr="002650CB">
        <w:rPr>
          <w:rFonts w:ascii="Garamond" w:hAnsi="Garamond"/>
          <w:sz w:val="24"/>
          <w:szCs w:val="24"/>
        </w:rPr>
        <w:t xml:space="preserve">anxiety over the global reach and the destructive, colonizing imperative of European modernities, technologies and capital. This fear would come through in du Plessis' later writings as part of a postcolonial environmental discourse, but it also surfaced during the Outspan boycott, the anti-emigration campaign and the urban campaigns. The BOA were influenced by the anti-European poetry and prose of South African exiles. Of these exiles, Alex La Guma and Mazisi Kunene were most prominent in the BOA's rhetoric. </w:t>
      </w:r>
      <w:r w:rsidRPr="002650CB">
        <w:rPr>
          <w:rFonts w:ascii="Garamond" w:eastAsia="Times New Roman" w:hAnsi="Garamond"/>
          <w:sz w:val="24"/>
          <w:szCs w:val="24"/>
          <w:shd w:val="clear" w:color="auto" w:fill="FFFFFF"/>
          <w:lang w:eastAsia="en-GB"/>
        </w:rPr>
        <w:t xml:space="preserve">Kunene, the great Zulu epic poet and onetime representative of </w:t>
      </w:r>
      <w:r w:rsidRPr="002650CB">
        <w:rPr>
          <w:rFonts w:ascii="Garamond" w:eastAsia="Times New Roman" w:hAnsi="Garamond"/>
          <w:sz w:val="24"/>
          <w:szCs w:val="24"/>
          <w:shd w:val="clear" w:color="auto" w:fill="FFFFFF"/>
          <w:lang w:eastAsia="en-GB"/>
        </w:rPr>
        <w:lastRenderedPageBreak/>
        <w:t>the ANC in London, was a friend of du Plessis.</w:t>
      </w:r>
      <w:r w:rsidRPr="002650CB">
        <w:rPr>
          <w:rStyle w:val="FootnoteReference"/>
          <w:rFonts w:ascii="Garamond" w:eastAsia="Times New Roman" w:hAnsi="Garamond"/>
          <w:sz w:val="24"/>
          <w:szCs w:val="24"/>
          <w:shd w:val="clear" w:color="auto" w:fill="FFFFFF"/>
          <w:lang w:eastAsia="en-GB"/>
        </w:rPr>
        <w:footnoteReference w:id="271"/>
      </w:r>
      <w:r w:rsidRPr="002650CB">
        <w:rPr>
          <w:rFonts w:ascii="Garamond" w:eastAsia="Times New Roman" w:hAnsi="Garamond"/>
          <w:sz w:val="24"/>
          <w:szCs w:val="24"/>
          <w:shd w:val="clear" w:color="auto" w:fill="FFFFFF"/>
          <w:lang w:eastAsia="en-GB"/>
        </w:rPr>
        <w:t xml:space="preserve">  His poem, </w:t>
      </w:r>
      <w:r w:rsidRPr="002650CB">
        <w:rPr>
          <w:rFonts w:ascii="Garamond" w:eastAsia="Times New Roman" w:hAnsi="Garamond"/>
          <w:i/>
          <w:sz w:val="24"/>
          <w:szCs w:val="24"/>
          <w:shd w:val="clear" w:color="auto" w:fill="FFFFFF"/>
          <w:lang w:eastAsia="en-GB"/>
        </w:rPr>
        <w:t>Europe,</w:t>
      </w:r>
      <w:r w:rsidRPr="002650CB">
        <w:rPr>
          <w:rFonts w:ascii="Garamond" w:eastAsia="Times New Roman" w:hAnsi="Garamond"/>
          <w:sz w:val="24"/>
          <w:szCs w:val="24"/>
          <w:shd w:val="clear" w:color="auto" w:fill="FFFFFF"/>
          <w:lang w:eastAsia="en-GB"/>
        </w:rPr>
        <w:t xml:space="preserve"> influenced by the trans-Atlantic negritude movement is worth quoting here:</w:t>
      </w:r>
    </w:p>
    <w:p w:rsidR="007E10FB" w:rsidRDefault="007E10FB" w:rsidP="00A371B8">
      <w:pPr>
        <w:spacing w:after="0" w:line="240" w:lineRule="auto"/>
        <w:jc w:val="center"/>
        <w:rPr>
          <w:rFonts w:ascii="Garamond" w:eastAsia="Times New Roman" w:hAnsi="Garamond"/>
          <w:b/>
          <w:shd w:val="clear" w:color="auto" w:fill="FFFFFF"/>
          <w:lang w:eastAsia="en-GB"/>
        </w:rPr>
      </w:pPr>
    </w:p>
    <w:p w:rsidR="00A371B8" w:rsidRPr="00301662" w:rsidRDefault="00A371B8" w:rsidP="00A371B8">
      <w:pPr>
        <w:spacing w:after="0" w:line="240" w:lineRule="auto"/>
        <w:jc w:val="center"/>
        <w:rPr>
          <w:rFonts w:ascii="Garamond" w:eastAsia="Times New Roman" w:hAnsi="Garamond"/>
          <w:b/>
          <w:shd w:val="clear" w:color="auto" w:fill="FFFFFF"/>
          <w:lang w:eastAsia="en-GB"/>
        </w:rPr>
      </w:pPr>
      <w:r w:rsidRPr="00301662">
        <w:rPr>
          <w:rFonts w:ascii="Garamond" w:eastAsia="Times New Roman" w:hAnsi="Garamond"/>
          <w:b/>
          <w:shd w:val="clear" w:color="auto" w:fill="FFFFFF"/>
          <w:lang w:eastAsia="en-GB"/>
        </w:rPr>
        <w:t>Europe</w:t>
      </w:r>
    </w:p>
    <w:p w:rsidR="00A371B8"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Pr>
          <w:rFonts w:ascii="Garamond" w:eastAsia="Times New Roman" w:hAnsi="Garamond"/>
          <w:shd w:val="clear" w:color="auto" w:fill="FFFFFF"/>
          <w:lang w:eastAsia="en-GB"/>
        </w:rPr>
        <w:t xml:space="preserve">Europe, </w:t>
      </w:r>
      <w:r w:rsidRPr="000E5E53">
        <w:rPr>
          <w:rFonts w:ascii="Garamond" w:eastAsia="Times New Roman" w:hAnsi="Garamond"/>
          <w:shd w:val="clear" w:color="auto" w:fill="FFFFFF"/>
          <w:lang w:eastAsia="en-GB"/>
        </w:rPr>
        <w:t>your foundations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Are laid on a rough stone.</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Your heart is like cobwebs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That are dry in the desert.</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Your children fill us with fear:</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They are like the young of the puff adder</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Who devour the flesh of their parent.</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Once I believed the tales.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Once I believed you had breasts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Over-flowing with milk.</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I saw you rushing with books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From which the oracles derive their prophecies.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I heard you in the forest</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Crying like wolves,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Breaking the bones of your clans.</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I know the hardness of your visions: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You closed the doors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And chose the bridegroom of steel.</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You chose her not to love</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But because she alone remained</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Dedicated to silence.</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From her you made your prophecies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And summoned the oracles: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You laughed at the blind men</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But you yourself were blind,</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Struggling in this great night.</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Children have inherited the fire.</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They blow its flames to the skies</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Burning others in their sleep.</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Default="00A371B8" w:rsidP="00A371B8">
      <w:pPr>
        <w:spacing w:after="0" w:line="240" w:lineRule="auto"/>
        <w:jc w:val="center"/>
        <w:rPr>
          <w:rFonts w:ascii="Garamond" w:eastAsia="Times New Roman" w:hAnsi="Garamond"/>
          <w:shd w:val="clear" w:color="auto" w:fill="FFFFFF"/>
          <w:lang w:eastAsia="en-GB"/>
        </w:rPr>
      </w:pPr>
    </w:p>
    <w:p w:rsidR="00A371B8"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What will the sun say?</w:t>
      </w: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The sun will laugh</w:t>
      </w:r>
    </w:p>
    <w:p w:rsidR="00A371B8"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Because it burnt out cradles from age to age</w:t>
      </w:r>
      <w:r>
        <w:rPr>
          <w:rFonts w:ascii="Garamond" w:eastAsia="Times New Roman" w:hAnsi="Garamond"/>
          <w:shd w:val="clear" w:color="auto" w:fill="FFFFFF"/>
          <w:lang w:eastAsia="en-GB"/>
        </w:rPr>
        <w:t>.</w:t>
      </w:r>
    </w:p>
    <w:p w:rsidR="00A371B8" w:rsidRPr="000E5E53" w:rsidRDefault="00A371B8" w:rsidP="00A371B8">
      <w:pPr>
        <w:spacing w:after="0" w:line="240" w:lineRule="auto"/>
        <w:jc w:val="center"/>
        <w:rPr>
          <w:rFonts w:ascii="Garamond" w:eastAsia="Times New Roman" w:hAnsi="Garamond"/>
          <w:shd w:val="clear" w:color="auto" w:fill="FFFFFF"/>
          <w:lang w:eastAsia="en-GB"/>
        </w:rPr>
      </w:pPr>
    </w:p>
    <w:p w:rsidR="00A371B8" w:rsidRPr="000E5E53" w:rsidRDefault="00A371B8" w:rsidP="00A371B8">
      <w:pPr>
        <w:spacing w:after="0" w:line="240" w:lineRule="auto"/>
        <w:jc w:val="center"/>
        <w:rPr>
          <w:rFonts w:ascii="Garamond" w:eastAsia="Times New Roman" w:hAnsi="Garamond"/>
          <w:shd w:val="clear" w:color="auto" w:fill="FFFFFF"/>
          <w:lang w:eastAsia="en-GB"/>
        </w:rPr>
      </w:pPr>
      <w:r w:rsidRPr="000E5E53">
        <w:rPr>
          <w:rFonts w:ascii="Garamond" w:eastAsia="Times New Roman" w:hAnsi="Garamond"/>
          <w:shd w:val="clear" w:color="auto" w:fill="FFFFFF"/>
          <w:lang w:eastAsia="en-GB"/>
        </w:rPr>
        <w:t>(Kunen</w:t>
      </w:r>
      <w:r>
        <w:rPr>
          <w:rFonts w:ascii="Garamond" w:eastAsia="Times New Roman" w:hAnsi="Garamond"/>
          <w:shd w:val="clear" w:color="auto" w:fill="FFFFFF"/>
          <w:lang w:eastAsia="en-GB"/>
        </w:rPr>
        <w:t>e, 1975 in Soyinka W, 1975: 20)</w:t>
      </w:r>
    </w:p>
    <w:p w:rsidR="00A371B8" w:rsidRPr="002650CB" w:rsidRDefault="00A371B8" w:rsidP="00A371B8">
      <w:pPr>
        <w:spacing w:line="360" w:lineRule="auto"/>
        <w:jc w:val="right"/>
        <w:rPr>
          <w:rFonts w:ascii="Garamond" w:hAnsi="Garamond"/>
          <w:sz w:val="24"/>
          <w:szCs w:val="24"/>
        </w:rPr>
      </w:pPr>
    </w:p>
    <w:p w:rsidR="00A371B8" w:rsidRDefault="00A371B8" w:rsidP="00A371B8">
      <w:pPr>
        <w:spacing w:after="0" w:line="360" w:lineRule="auto"/>
        <w:jc w:val="both"/>
        <w:rPr>
          <w:rFonts w:ascii="Garamond" w:hAnsi="Garamond"/>
          <w:sz w:val="24"/>
          <w:szCs w:val="24"/>
        </w:rPr>
      </w:pPr>
      <w:r>
        <w:rPr>
          <w:rFonts w:ascii="Garamond" w:hAnsi="Garamond"/>
          <w:sz w:val="24"/>
          <w:szCs w:val="24"/>
        </w:rPr>
        <w:lastRenderedPageBreak/>
        <w:t>Loss of context in the translation from Zulu</w:t>
      </w:r>
      <w:r w:rsidRPr="002650CB">
        <w:rPr>
          <w:rFonts w:ascii="Garamond" w:hAnsi="Garamond"/>
          <w:sz w:val="24"/>
          <w:szCs w:val="24"/>
        </w:rPr>
        <w:t xml:space="preserve"> may have obfuscated some of Kunene's original meanings. But the overall message is clear; 'Europeaness' is characterized by coldness and denial, by stone, steel and profit. Overcoming Kunene's assertion that European civilization itself was blind to the destruction wrought from its oppressions, was a cornerstone of the BOA's </w:t>
      </w:r>
      <w:r>
        <w:rPr>
          <w:rFonts w:ascii="Garamond" w:hAnsi="Garamond"/>
          <w:i/>
          <w:sz w:val="24"/>
          <w:szCs w:val="24"/>
        </w:rPr>
        <w:t>racism here, apartheid there</w:t>
      </w:r>
      <w:r w:rsidRPr="002650CB">
        <w:rPr>
          <w:rFonts w:ascii="Garamond" w:hAnsi="Garamond"/>
          <w:sz w:val="24"/>
          <w:szCs w:val="24"/>
        </w:rPr>
        <w:t xml:space="preserve">.  Across  articles and pamphlets written for the urban campaigns in the 1980s, the BOA reprinted a quote from </w:t>
      </w:r>
      <w:r w:rsidRPr="002650CB">
        <w:rPr>
          <w:rFonts w:ascii="Garamond" w:hAnsi="Garamond"/>
          <w:i/>
          <w:sz w:val="24"/>
          <w:szCs w:val="24"/>
        </w:rPr>
        <w:t xml:space="preserve">A Certain Sound, </w:t>
      </w:r>
      <w:r w:rsidRPr="002650CB">
        <w:rPr>
          <w:rFonts w:ascii="Garamond" w:hAnsi="Garamond"/>
          <w:sz w:val="24"/>
          <w:szCs w:val="24"/>
        </w:rPr>
        <w:t>an anti-aparth</w:t>
      </w:r>
      <w:r>
        <w:rPr>
          <w:rFonts w:ascii="Garamond" w:hAnsi="Garamond"/>
          <w:sz w:val="24"/>
          <w:szCs w:val="24"/>
        </w:rPr>
        <w:t xml:space="preserve">eid book written by du Plessis' </w:t>
      </w:r>
      <w:r w:rsidRPr="002650CB">
        <w:rPr>
          <w:rFonts w:ascii="Garamond" w:hAnsi="Garamond"/>
          <w:sz w:val="24"/>
          <w:szCs w:val="24"/>
        </w:rPr>
        <w:t xml:space="preserve">former Methodist minister from Maclear, South Africa:  </w:t>
      </w:r>
    </w:p>
    <w:p w:rsidR="00A371B8" w:rsidRPr="002650CB" w:rsidRDefault="00A371B8" w:rsidP="00A371B8">
      <w:pPr>
        <w:spacing w:after="0" w:line="360" w:lineRule="auto"/>
        <w:jc w:val="both"/>
        <w:rPr>
          <w:rFonts w:ascii="Garamond" w:hAnsi="Garamond"/>
          <w:sz w:val="24"/>
          <w:szCs w:val="24"/>
        </w:rPr>
      </w:pPr>
    </w:p>
    <w:p w:rsidR="00A371B8" w:rsidRDefault="00A371B8" w:rsidP="00A371B8">
      <w:pPr>
        <w:spacing w:after="0" w:line="360" w:lineRule="auto"/>
        <w:ind w:left="284" w:right="284"/>
        <w:jc w:val="both"/>
        <w:rPr>
          <w:rFonts w:ascii="Garamond" w:hAnsi="Garamond"/>
        </w:rPr>
      </w:pPr>
      <w:r w:rsidRPr="002650CB">
        <w:rPr>
          <w:rFonts w:ascii="Garamond" w:hAnsi="Garamond"/>
        </w:rPr>
        <w:t>Apartheid is not a different type of civilization from the West, but is the hard cutting edge of it. Apartheid is not a blot on the Western civilization, but the heart of it.  Apartheid is the eye</w:t>
      </w:r>
      <w:r w:rsidR="001731AC">
        <w:rPr>
          <w:rFonts w:ascii="Garamond" w:hAnsi="Garamond"/>
        </w:rPr>
        <w:t xml:space="preserve"> </w:t>
      </w:r>
      <w:r w:rsidRPr="002650CB">
        <w:rPr>
          <w:rFonts w:ascii="Garamond" w:hAnsi="Garamond"/>
        </w:rPr>
        <w:t>piece through which you can see the whole, a microcosm, a revelation of what Western civ</w:t>
      </w:r>
      <w:r>
        <w:rPr>
          <w:rFonts w:ascii="Garamond" w:hAnsi="Garamond"/>
        </w:rPr>
        <w:t>ilization is all about. (1986: 137)</w:t>
      </w:r>
    </w:p>
    <w:p w:rsidR="00A371B8" w:rsidRDefault="00A371B8" w:rsidP="00A371B8">
      <w:pPr>
        <w:spacing w:after="0" w:line="360" w:lineRule="auto"/>
        <w:jc w:val="both"/>
        <w:rPr>
          <w:rFonts w:ascii="Garamond" w:hAnsi="Garamond"/>
        </w:rPr>
      </w:pPr>
    </w:p>
    <w:p w:rsidR="00A371B8" w:rsidRPr="000E5E53" w:rsidRDefault="00A371B8" w:rsidP="00A371B8">
      <w:pPr>
        <w:spacing w:after="0" w:line="360" w:lineRule="auto"/>
        <w:jc w:val="both"/>
        <w:rPr>
          <w:rFonts w:ascii="Garamond" w:hAnsi="Garamond"/>
        </w:rPr>
      </w:pPr>
      <w:r w:rsidRPr="002650CB">
        <w:rPr>
          <w:rFonts w:ascii="Garamond" w:hAnsi="Garamond"/>
          <w:sz w:val="24"/>
          <w:szCs w:val="24"/>
        </w:rPr>
        <w:t>In distinc</w:t>
      </w:r>
      <w:r>
        <w:rPr>
          <w:rFonts w:ascii="Garamond" w:hAnsi="Garamond"/>
          <w:sz w:val="24"/>
          <w:szCs w:val="24"/>
        </w:rPr>
        <w:t>tion to the fascist explanation for apartheid</w:t>
      </w:r>
      <w:r w:rsidRPr="002650CB">
        <w:rPr>
          <w:rFonts w:ascii="Garamond" w:hAnsi="Garamond"/>
          <w:sz w:val="24"/>
          <w:szCs w:val="24"/>
        </w:rPr>
        <w:t xml:space="preserve"> </w:t>
      </w:r>
      <w:r>
        <w:rPr>
          <w:rFonts w:ascii="Garamond" w:hAnsi="Garamond"/>
          <w:i/>
          <w:sz w:val="24"/>
          <w:szCs w:val="24"/>
        </w:rPr>
        <w:t>racism here, apartheid there</w:t>
      </w:r>
      <w:r w:rsidRPr="002650CB">
        <w:rPr>
          <w:rFonts w:ascii="Garamond" w:hAnsi="Garamond"/>
          <w:sz w:val="24"/>
          <w:szCs w:val="24"/>
        </w:rPr>
        <w:t xml:space="preserve"> was forged through a contemporaneous relationality rather than a unilateral and displaced European historical revisionism. Apartheid was a wholly logical, if lamentable, extension of European racism; a point fully expounded by Jacques Derrida in his notes to an anti-apartheid exhibition in Paris in 1985:</w:t>
      </w:r>
    </w:p>
    <w:p w:rsidR="00A371B8" w:rsidRDefault="00A371B8" w:rsidP="00A371B8">
      <w:pPr>
        <w:spacing w:after="0" w:line="360" w:lineRule="auto"/>
        <w:ind w:left="284" w:right="284"/>
        <w:jc w:val="both"/>
        <w:rPr>
          <w:rFonts w:ascii="Garamond" w:hAnsi="Garamond"/>
          <w:bCs/>
        </w:rPr>
      </w:pPr>
    </w:p>
    <w:p w:rsidR="00A371B8" w:rsidRPr="002650CB" w:rsidRDefault="00A371B8" w:rsidP="00A371B8">
      <w:pPr>
        <w:spacing w:after="0" w:line="360" w:lineRule="auto"/>
        <w:ind w:left="284" w:right="284"/>
        <w:jc w:val="both"/>
        <w:rPr>
          <w:rFonts w:ascii="Garamond" w:hAnsi="Garamond"/>
          <w:i/>
        </w:rPr>
      </w:pPr>
      <w:r w:rsidRPr="002650CB">
        <w:rPr>
          <w:rFonts w:ascii="Garamond" w:hAnsi="Garamond"/>
          <w:bCs/>
        </w:rPr>
        <w:t>The judicial simulacrum and the political theater of this state racism have no meaning and would have had no chance outside a European "discourse" on the concept of race. That discourse belongs to a whole system of "phantasms", to a certain representation of nature, life, history, religion, and law, to the very culture which succeeded in giving rise t</w:t>
      </w:r>
      <w:r>
        <w:rPr>
          <w:rFonts w:ascii="Garamond" w:hAnsi="Garamond"/>
          <w:bCs/>
        </w:rPr>
        <w:t>o this state takeover.</w:t>
      </w:r>
      <w:r w:rsidRPr="002650CB">
        <w:rPr>
          <w:rFonts w:ascii="Garamond" w:hAnsi="Garamond"/>
          <w:bCs/>
        </w:rPr>
        <w:t xml:space="preserve"> (Derrida, 1985: 294)</w:t>
      </w:r>
    </w:p>
    <w:p w:rsidR="00A371B8" w:rsidRDefault="00A371B8" w:rsidP="00A371B8">
      <w:pPr>
        <w:spacing w:after="0" w:line="360" w:lineRule="auto"/>
        <w:jc w:val="both"/>
        <w:rPr>
          <w:rFonts w:ascii="Garamond" w:hAnsi="Garamond"/>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The position implied a conflict between a plurality of antiracisms mitigating against 'wholly racialized worlds' </w:t>
      </w:r>
      <w:r>
        <w:rPr>
          <w:rFonts w:ascii="Garamond" w:hAnsi="Garamond"/>
          <w:sz w:val="24"/>
          <w:szCs w:val="24"/>
        </w:rPr>
        <w:t>(Morrison, 1987</w:t>
      </w:r>
      <w:r w:rsidRPr="002650CB">
        <w:rPr>
          <w:rFonts w:ascii="Garamond" w:hAnsi="Garamond"/>
          <w:sz w:val="24"/>
          <w:szCs w:val="24"/>
        </w:rPr>
        <w:t>) containing legalized and authorized racisms, and structural and embodied forms of racial oppression. It produced the possibility of an egalitarian balance of racial antagonisms across space that were not place-bound (although the BOA insisted that oppressed South Africans were at the cutting edge of European racism). The framework was internationalist, and focused on labour and consumption, therefore the BOA were able to benefit from constructing strong solidarities with South African exiles, supra-national organizations (particularly IDAF</w:t>
      </w:r>
      <w:r w:rsidRPr="002650CB">
        <w:rPr>
          <w:rStyle w:val="FootnoteReference"/>
          <w:rFonts w:ascii="Garamond" w:hAnsi="Garamond"/>
          <w:sz w:val="24"/>
          <w:szCs w:val="24"/>
        </w:rPr>
        <w:footnoteReference w:id="272"/>
      </w:r>
      <w:r w:rsidRPr="002650CB">
        <w:rPr>
          <w:rFonts w:ascii="Garamond" w:hAnsi="Garamond"/>
          <w:sz w:val="24"/>
          <w:szCs w:val="24"/>
        </w:rPr>
        <w:t xml:space="preserve"> </w:t>
      </w:r>
      <w:r>
        <w:rPr>
          <w:rFonts w:ascii="Garamond" w:hAnsi="Garamond"/>
          <w:sz w:val="24"/>
          <w:szCs w:val="24"/>
        </w:rPr>
        <w:lastRenderedPageBreak/>
        <w:t xml:space="preserve">the World Council of Churches, </w:t>
      </w:r>
      <w:r w:rsidRPr="002650CB">
        <w:rPr>
          <w:rFonts w:ascii="Garamond" w:hAnsi="Garamond"/>
          <w:sz w:val="24"/>
          <w:szCs w:val="24"/>
        </w:rPr>
        <w:t>CETIM and the UN) and a variety of trade unions from across Europe and South Africa. The position articulated the 'home front', and spoke of a proximate politics of boycotts that required intensive forms of activism from the ground upwards to educate Dutch publics about colonialism and racism. It demanded time to set up autonomous local organizations that could operate without interference from other AAMs subscribing to the fascist interpretation of apartheid. It aimed to overturn commonly held perceptions that racialized and nationalized the interactions between vectors of difference and power.</w:t>
      </w:r>
    </w:p>
    <w:p w:rsidR="00A371B8" w:rsidRDefault="00A371B8" w:rsidP="00A371B8">
      <w:pPr>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600"/>
        <w:gridCol w:w="3922"/>
      </w:tblGrid>
      <w:tr w:rsidR="00A371B8">
        <w:tc>
          <w:tcPr>
            <w:tcW w:w="4621" w:type="dxa"/>
          </w:tcPr>
          <w:p w:rsidR="00A371B8" w:rsidRDefault="00A371B8" w:rsidP="00D04F1F">
            <w:pPr>
              <w:keepNext/>
              <w:spacing w:line="360" w:lineRule="auto"/>
              <w:jc w:val="both"/>
            </w:pPr>
            <w:r w:rsidRPr="002650CB">
              <w:rPr>
                <w:rFonts w:ascii="Garamond" w:hAnsi="Garamond"/>
                <w:noProof/>
                <w:lang w:eastAsia="en-GB"/>
              </w:rPr>
              <w:drawing>
                <wp:inline distT="0" distB="0" distL="0" distR="0">
                  <wp:extent cx="2654300" cy="3744383"/>
                  <wp:effectExtent l="50800" t="50800" r="38100" b="14817"/>
                  <wp:docPr id="9" name="Picture 7" descr="http://hughcrosfield.files.wordpress.com/2012/10/van-manen.jpg?w=490&amp;h=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ughcrosfield.files.wordpress.com/2012/10/van-manen.jpg?w=490&amp;h=653"/>
                          <pic:cNvPicPr>
                            <a:picLocks noChangeAspect="1" noChangeArrowheads="1"/>
                          </pic:cNvPicPr>
                        </pic:nvPicPr>
                        <pic:blipFill>
                          <a:blip r:embed="rId126" cstate="print"/>
                          <a:srcRect/>
                          <a:stretch>
                            <a:fillRect/>
                          </a:stretch>
                        </pic:blipFill>
                        <pic:spPr bwMode="auto">
                          <a:xfrm>
                            <a:off x="0" y="0"/>
                            <a:ext cx="2655155" cy="3745589"/>
                          </a:xfrm>
                          <a:prstGeom prst="rect">
                            <a:avLst/>
                          </a:prstGeom>
                          <a:noFill/>
                          <a:ln w="31750">
                            <a:solidFill>
                              <a:schemeClr val="tx1"/>
                            </a:solidFill>
                            <a:miter lim="800000"/>
                            <a:headEnd/>
                            <a:tailEnd/>
                          </a:ln>
                        </pic:spPr>
                      </pic:pic>
                    </a:graphicData>
                  </a:graphic>
                </wp:inline>
              </w:drawing>
            </w:r>
          </w:p>
          <w:p w:rsidR="00A371B8" w:rsidRDefault="00A371B8" w:rsidP="00D04F1F">
            <w:pPr>
              <w:pStyle w:val="Caption"/>
              <w:jc w:val="both"/>
              <w:rPr>
                <w:rFonts w:ascii="Garamond" w:hAnsi="Garamond"/>
                <w:sz w:val="24"/>
                <w:szCs w:val="24"/>
              </w:rPr>
            </w:pPr>
          </w:p>
        </w:tc>
        <w:tc>
          <w:tcPr>
            <w:tcW w:w="4621" w:type="dxa"/>
          </w:tcPr>
          <w:p w:rsidR="00031E7C" w:rsidRDefault="001731AC" w:rsidP="001731AC">
            <w:pPr>
              <w:pStyle w:val="Caption"/>
              <w:rPr>
                <w:rFonts w:ascii="Perpetua" w:hAnsi="Perpetua"/>
                <w:b w:val="0"/>
                <w:color w:val="auto"/>
                <w:sz w:val="20"/>
              </w:rPr>
            </w:pPr>
            <w:bookmarkStart w:id="810" w:name="_Toc263509078"/>
            <w:bookmarkStart w:id="811" w:name="_Toc263510865"/>
            <w:bookmarkStart w:id="812" w:name="_Toc244577343"/>
            <w:bookmarkStart w:id="813" w:name="_Toc263495812"/>
            <w:r w:rsidRPr="001731AC">
              <w:rPr>
                <w:rFonts w:ascii="Perpetua" w:hAnsi="Perpetua"/>
                <w:color w:val="auto"/>
                <w:sz w:val="20"/>
              </w:rPr>
              <w:t xml:space="preserve">Figure </w:t>
            </w:r>
            <w:r w:rsidR="00DF2DF8" w:rsidRPr="001731AC">
              <w:rPr>
                <w:rFonts w:ascii="Perpetua" w:hAnsi="Perpetua"/>
                <w:color w:val="auto"/>
                <w:sz w:val="20"/>
              </w:rPr>
              <w:fldChar w:fldCharType="begin"/>
            </w:r>
            <w:r w:rsidRPr="001731AC">
              <w:rPr>
                <w:rFonts w:ascii="Perpetua" w:hAnsi="Perpetua"/>
                <w:color w:val="auto"/>
                <w:sz w:val="20"/>
              </w:rPr>
              <w:instrText xml:space="preserve"> SEQ Figure \* ARABIC </w:instrText>
            </w:r>
            <w:r w:rsidR="00DF2DF8" w:rsidRPr="001731AC">
              <w:rPr>
                <w:rFonts w:ascii="Perpetua" w:hAnsi="Perpetua"/>
                <w:color w:val="auto"/>
                <w:sz w:val="20"/>
              </w:rPr>
              <w:fldChar w:fldCharType="separate"/>
            </w:r>
            <w:r w:rsidR="002B3E92">
              <w:rPr>
                <w:rFonts w:ascii="Perpetua" w:hAnsi="Perpetua"/>
                <w:noProof/>
                <w:color w:val="auto"/>
                <w:sz w:val="20"/>
              </w:rPr>
              <w:t>81</w:t>
            </w:r>
            <w:r w:rsidR="00DF2DF8" w:rsidRPr="001731AC">
              <w:rPr>
                <w:rFonts w:ascii="Perpetua" w:hAnsi="Perpetua"/>
                <w:color w:val="auto"/>
                <w:sz w:val="20"/>
              </w:rPr>
              <w:fldChar w:fldCharType="end"/>
            </w:r>
            <w:r>
              <w:rPr>
                <w:rFonts w:ascii="Perpetua" w:hAnsi="Perpetua"/>
                <w:b w:val="0"/>
                <w:color w:val="auto"/>
                <w:sz w:val="20"/>
              </w:rPr>
              <w:t>:</w:t>
            </w:r>
            <w:r w:rsidRPr="001731AC">
              <w:rPr>
                <w:rFonts w:ascii="Perpetua" w:hAnsi="Perpetua"/>
                <w:b w:val="0"/>
                <w:color w:val="auto"/>
                <w:sz w:val="20"/>
              </w:rPr>
              <w:t xml:space="preserve"> BOA </w:t>
            </w:r>
            <w:r w:rsidR="00031E7C">
              <w:rPr>
                <w:rFonts w:ascii="Perpetua" w:hAnsi="Perpetua"/>
                <w:b w:val="0"/>
                <w:color w:val="auto"/>
                <w:sz w:val="20"/>
              </w:rPr>
              <w:t xml:space="preserve">satirical </w:t>
            </w:r>
            <w:r w:rsidRPr="001731AC">
              <w:rPr>
                <w:rFonts w:ascii="Perpetua" w:hAnsi="Perpetua"/>
                <w:b w:val="0"/>
                <w:color w:val="auto"/>
                <w:sz w:val="20"/>
              </w:rPr>
              <w:t>ca</w:t>
            </w:r>
            <w:r>
              <w:rPr>
                <w:rFonts w:ascii="Perpetua" w:hAnsi="Perpetua"/>
                <w:b w:val="0"/>
                <w:color w:val="auto"/>
                <w:sz w:val="20"/>
              </w:rPr>
              <w:t xml:space="preserve">rtoon </w:t>
            </w:r>
            <w:r w:rsidR="00031E7C">
              <w:rPr>
                <w:rFonts w:ascii="Perpetua" w:hAnsi="Perpetua"/>
                <w:b w:val="0"/>
                <w:color w:val="auto"/>
                <w:sz w:val="20"/>
              </w:rPr>
              <w:t xml:space="preserve">‘Mine was a majority regime’ </w:t>
            </w:r>
            <w:r>
              <w:rPr>
                <w:rFonts w:ascii="Perpetua" w:hAnsi="Perpetua"/>
                <w:b w:val="0"/>
                <w:color w:val="auto"/>
                <w:sz w:val="20"/>
              </w:rPr>
              <w:t>created by Willem van Mane</w:t>
            </w:r>
            <w:r w:rsidRPr="001731AC">
              <w:rPr>
                <w:rFonts w:ascii="Perpetua" w:hAnsi="Perpetua"/>
                <w:b w:val="0"/>
                <w:color w:val="auto"/>
                <w:sz w:val="20"/>
              </w:rPr>
              <w:t xml:space="preserve">n </w:t>
            </w:r>
            <w:r w:rsidR="00031E7C">
              <w:rPr>
                <w:rFonts w:ascii="Perpetua" w:hAnsi="Perpetua"/>
                <w:b w:val="0"/>
                <w:color w:val="auto"/>
                <w:sz w:val="20"/>
              </w:rPr>
              <w:t>in 1988.</w:t>
            </w:r>
            <w:bookmarkEnd w:id="810"/>
            <w:bookmarkEnd w:id="811"/>
          </w:p>
          <w:p w:rsidR="001731AC" w:rsidRPr="00031E7C" w:rsidRDefault="001731AC" w:rsidP="00031E7C">
            <w:pPr>
              <w:rPr>
                <w:rFonts w:ascii="Perpetua" w:hAnsi="Perpetua"/>
                <w:sz w:val="20"/>
              </w:rPr>
            </w:pPr>
            <w:r w:rsidRPr="00031E7C">
              <w:rPr>
                <w:rFonts w:ascii="Perpetua" w:hAnsi="Perpetua"/>
                <w:sz w:val="20"/>
              </w:rPr>
              <w:t>The BOA's lawyer and caricaturist, van Manen, satirizes the fascist interpretation of apartheid</w:t>
            </w:r>
            <w:r w:rsidR="00446259">
              <w:rPr>
                <w:rFonts w:ascii="Perpetua" w:hAnsi="Perpetua"/>
                <w:sz w:val="20"/>
              </w:rPr>
              <w:t xml:space="preserve"> (van Manen, 1988b)</w:t>
            </w:r>
            <w:r w:rsidR="00031E7C">
              <w:rPr>
                <w:rFonts w:ascii="Perpetua" w:hAnsi="Perpetua"/>
                <w:sz w:val="20"/>
              </w:rPr>
              <w:t xml:space="preserve">. </w:t>
            </w:r>
            <w:r w:rsidRPr="00031E7C">
              <w:rPr>
                <w:rFonts w:ascii="Perpetua" w:hAnsi="Perpetua"/>
                <w:sz w:val="20"/>
              </w:rPr>
              <w:t>The cartoon mocks both the ability of the apartheid regime to suppress the unconstitutional majority, and critically it displaces the framework's map of grievance from German fascism to Afrikaner white supremacy and  Dutch and Belgian complicity with fascism and racial genocide. Hitler cowering to Botha's side is daunted by the task faced by the apartheid regime to oppress the majority. Note how instead of a swastika Botha's lapel adorns a three- legged triskele. The triskele continues to be the symbol for the white supremacist organization Afrikaner Weerstandsbeweging  (Afrikaner Resistance Movement), but it was also the insignia of the lowlands division of the Waffen SS, composed of volunteers. Dur</w:t>
            </w:r>
            <w:r w:rsidR="00A6449D" w:rsidRPr="00031E7C">
              <w:rPr>
                <w:rFonts w:ascii="Perpetua" w:hAnsi="Perpetua"/>
                <w:sz w:val="20"/>
              </w:rPr>
              <w:t xml:space="preserve">ing the occupation (1940-1945) </w:t>
            </w:r>
            <w:r w:rsidRPr="00031E7C">
              <w:rPr>
                <w:rFonts w:ascii="Perpetua" w:hAnsi="Perpetua"/>
                <w:sz w:val="20"/>
              </w:rPr>
              <w:t>Belgian and Dutch volunteers of the Waffen SS were responsible for deporting tens of thousands of Jewish nationals to concentration camps.</w:t>
            </w:r>
            <w:bookmarkEnd w:id="812"/>
            <w:bookmarkEnd w:id="813"/>
          </w:p>
          <w:p w:rsidR="00A371B8" w:rsidRDefault="00A371B8" w:rsidP="001731AC">
            <w:pPr>
              <w:keepNext/>
              <w:spacing w:line="360" w:lineRule="auto"/>
              <w:jc w:val="both"/>
              <w:rPr>
                <w:rFonts w:ascii="Garamond" w:hAnsi="Garamond"/>
                <w:sz w:val="24"/>
                <w:szCs w:val="24"/>
              </w:rPr>
            </w:pPr>
          </w:p>
        </w:tc>
      </w:tr>
    </w:tbl>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w:t>
      </w:r>
      <w:r>
        <w:rPr>
          <w:rFonts w:ascii="Garamond" w:hAnsi="Garamond"/>
          <w:sz w:val="24"/>
          <w:szCs w:val="24"/>
        </w:rPr>
        <w:t>Racism here, apartheid there</w:t>
      </w:r>
      <w:r w:rsidRPr="002650CB">
        <w:rPr>
          <w:rFonts w:ascii="Garamond" w:hAnsi="Garamond"/>
          <w:sz w:val="24"/>
          <w:szCs w:val="24"/>
        </w:rPr>
        <w:t>' was provocative in tha</w:t>
      </w:r>
      <w:r w:rsidR="00A6449D">
        <w:rPr>
          <w:rFonts w:ascii="Garamond" w:hAnsi="Garamond"/>
          <w:sz w:val="24"/>
          <w:szCs w:val="24"/>
        </w:rPr>
        <w:t xml:space="preserve">t it unveiled the continuities </w:t>
      </w:r>
      <w:r w:rsidRPr="002650CB">
        <w:rPr>
          <w:rFonts w:ascii="Garamond" w:hAnsi="Garamond"/>
          <w:sz w:val="24"/>
          <w:szCs w:val="24"/>
        </w:rPr>
        <w:t>between European liberal democracies and apartheid South Africa that were hidden behind the fascist framework of apartheid. And it was confrontational because the framework insisted racism was everyday and everywhere. A race-n</w:t>
      </w:r>
      <w:r w:rsidR="00A6449D">
        <w:rPr>
          <w:rFonts w:ascii="Garamond" w:hAnsi="Garamond"/>
          <w:sz w:val="24"/>
          <w:szCs w:val="24"/>
        </w:rPr>
        <w:t xml:space="preserve">eutral liberal democracy was an </w:t>
      </w:r>
      <w:r w:rsidRPr="002650CB">
        <w:rPr>
          <w:rFonts w:ascii="Garamond" w:hAnsi="Garamond"/>
          <w:sz w:val="24"/>
          <w:szCs w:val="24"/>
        </w:rPr>
        <w:t xml:space="preserve">impossibility, and insisting on the impossible was to perpetuate racism. These </w:t>
      </w:r>
      <w:r w:rsidRPr="002650CB">
        <w:rPr>
          <w:rFonts w:ascii="Garamond" w:hAnsi="Garamond"/>
          <w:sz w:val="24"/>
          <w:szCs w:val="24"/>
        </w:rPr>
        <w:lastRenderedPageBreak/>
        <w:t xml:space="preserve">provocations meant that the relationships between the BOA and organizations prescribing to the fascist interpretation of apartheid could become intensely antagonistic, compelling several nationalist activists to even side with pro-apartheid agents in order to critique the BOA. As a result, the BOA had to appeal to its local and international solidarity organizations, and various courts of justice and supra-national bodies to contest nationalist forms of oppression (at different times the ombudsman service, the European Court of Justice, the World Council of Churches, the UN). </w:t>
      </w:r>
    </w:p>
    <w:p w:rsidR="00A371B8" w:rsidRPr="002650CB" w:rsidRDefault="00A371B8" w:rsidP="00A371B8">
      <w:pPr>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The BOA showed that antiracist and anti-apartheid activism was connected to cultures of production and consumption. Previous chapters have evidenced how, for the BOA, apartheid was enmeshed with quotidian consumption practices and banal imaginations of places, people and politics. But here, I have magnified the bonds and fissures between the imaginations and practices of multiple anti-apartheids and antiracisms. The BOA's radical politics of connectivity was underpinned by the consciousness of </w:t>
      </w:r>
      <w:r>
        <w:rPr>
          <w:rFonts w:ascii="Garamond" w:hAnsi="Garamond"/>
          <w:sz w:val="24"/>
          <w:szCs w:val="24"/>
          <w:shd w:val="clear" w:color="auto" w:fill="FFFFFF"/>
        </w:rPr>
        <w:t xml:space="preserve">wholly racialized worlds. </w:t>
      </w:r>
      <w:r w:rsidRPr="002650CB">
        <w:rPr>
          <w:rFonts w:ascii="Garamond" w:hAnsi="Garamond"/>
          <w:sz w:val="24"/>
          <w:szCs w:val="24"/>
          <w:shd w:val="clear" w:color="auto" w:fill="FFFFFF"/>
        </w:rPr>
        <w:t>The BOA sought to alter racial social structures and change the ways that race was assigned to things and people. As David Delaney (2002) writes in "the space that race makes", such a philosophy means that there is no 'outside' to race, and nothing is exempt from racialization. The goal was nothing short of reforming the "present unsound racist society" (du Plessis, 1988</w:t>
      </w:r>
      <w:r>
        <w:rPr>
          <w:rFonts w:ascii="Garamond" w:hAnsi="Garamond"/>
          <w:sz w:val="24"/>
          <w:szCs w:val="24"/>
          <w:shd w:val="clear" w:color="auto" w:fill="FFFFFF"/>
        </w:rPr>
        <w:t>b</w:t>
      </w:r>
      <w:r w:rsidRPr="002650CB">
        <w:rPr>
          <w:rFonts w:ascii="Garamond" w:hAnsi="Garamond"/>
          <w:sz w:val="24"/>
          <w:szCs w:val="24"/>
          <w:shd w:val="clear" w:color="auto" w:fill="FFFFFF"/>
        </w:rPr>
        <w:t xml:space="preserve">). This would be achieved firstly through pedagogy and reflexive consumption practices (as exemplified by the Outspan boycott and the anti-emigration campaign and their associated tactics). But by 1975-76, the BOA desired to extend antiracism into wider cultural spheres (across 'the home front' and transnational unionism), and into more permanent forms of identity politics. According to Bosgra (2009) and Muskens (forthcoming, 2013), this focus on cultural politics marked </w:t>
      </w:r>
      <w:r w:rsidR="001731AC">
        <w:rPr>
          <w:rFonts w:ascii="Garamond" w:hAnsi="Garamond"/>
          <w:sz w:val="24"/>
          <w:szCs w:val="24"/>
          <w:shd w:val="clear" w:color="auto" w:fill="FFFFFF"/>
        </w:rPr>
        <w:t xml:space="preserve">the end of the BOA's period of </w:t>
      </w:r>
      <w:r w:rsidRPr="002650CB">
        <w:rPr>
          <w:rFonts w:ascii="Garamond" w:hAnsi="Garamond"/>
          <w:sz w:val="24"/>
          <w:szCs w:val="24"/>
          <w:shd w:val="clear" w:color="auto" w:fill="FFFFFF"/>
        </w:rPr>
        <w:t xml:space="preserve">eminence at the forefront of Dutch anti-apartheid. Their reading presupposes a fairly narrow conception of what anti-apartheid entailed, and is indicative of nationalist bias in the scalar politics of anti-apartheid historiography. Instead, I believe the organization merely shifted their co-ordinates from national projects to locally-based and transnational forms of anti-apartheid. </w:t>
      </w:r>
      <w:r>
        <w:rPr>
          <w:rFonts w:ascii="Garamond" w:hAnsi="Garamond"/>
          <w:sz w:val="24"/>
          <w:szCs w:val="24"/>
          <w:shd w:val="clear" w:color="auto" w:fill="FFFFFF"/>
        </w:rPr>
        <w:t>It is to these campaigns we turn next.</w:t>
      </w:r>
    </w:p>
    <w:p w:rsidR="00A6449D" w:rsidRDefault="00A6449D" w:rsidP="00A371B8">
      <w:pPr>
        <w:pStyle w:val="Heading2"/>
      </w:pPr>
    </w:p>
    <w:p w:rsidR="00A6449D" w:rsidRDefault="00A6449D" w:rsidP="00A6449D"/>
    <w:p w:rsidR="00A6449D" w:rsidRDefault="00A6449D" w:rsidP="00A6449D"/>
    <w:p w:rsidR="00A371B8" w:rsidRPr="00A6449D" w:rsidRDefault="00A371B8" w:rsidP="00A6449D"/>
    <w:p w:rsidR="00A371B8" w:rsidRPr="000E5E53" w:rsidRDefault="00A371B8" w:rsidP="00A371B8">
      <w:pPr>
        <w:pStyle w:val="Heading2"/>
      </w:pPr>
      <w:bookmarkStart w:id="814" w:name="_Toc244578412"/>
      <w:bookmarkStart w:id="815" w:name="_Toc244578796"/>
      <w:bookmarkStart w:id="816" w:name="_Toc263452047"/>
      <w:bookmarkStart w:id="817" w:name="_Toc263510965"/>
      <w:r w:rsidRPr="000E5E53">
        <w:lastRenderedPageBreak/>
        <w:t>Grassroots solidarity: the bus caravans, urban campaigns (1977-1990) and international labour</w:t>
      </w:r>
      <w:bookmarkEnd w:id="814"/>
      <w:bookmarkEnd w:id="815"/>
      <w:bookmarkEnd w:id="816"/>
      <w:bookmarkEnd w:id="817"/>
      <w:r w:rsidRPr="000E5E53">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In November 1985 Cedric Mayson gave a lecture dur</w:t>
      </w:r>
      <w:r>
        <w:rPr>
          <w:rFonts w:ascii="Garamond" w:hAnsi="Garamond"/>
          <w:sz w:val="24"/>
          <w:szCs w:val="24"/>
        </w:rPr>
        <w:t>ing a BOA town campaign. Reciting</w:t>
      </w:r>
      <w:r w:rsidRPr="002650CB">
        <w:rPr>
          <w:rFonts w:ascii="Garamond" w:hAnsi="Garamond"/>
          <w:sz w:val="24"/>
          <w:szCs w:val="24"/>
        </w:rPr>
        <w:t xml:space="preserve"> from a document by the Kairo</w:t>
      </w:r>
      <w:r>
        <w:rPr>
          <w:rFonts w:ascii="Garamond" w:hAnsi="Garamond"/>
          <w:sz w:val="24"/>
          <w:szCs w:val="24"/>
        </w:rPr>
        <w:t>s theologians in Johannesburg, du Plessis'</w:t>
      </w:r>
      <w:r w:rsidRPr="002650CB">
        <w:rPr>
          <w:rFonts w:ascii="Garamond" w:hAnsi="Garamond"/>
          <w:sz w:val="24"/>
          <w:szCs w:val="24"/>
        </w:rPr>
        <w:t xml:space="preserve"> former Methodist pastor from the Eastern Cape town of Maclear, traced out some of the fundamental aspects of grassroots anti-apartheid activism in his talk entitled, the 'spirit of liberation'. Mayson encouraged the anti-apartheid movement to place trust in "housewives and workers", and form solidarity through universal struggles of everyday life. Activists in Holland could learn from the experiences of grassroots activism in South Africa. His words brough</w:t>
      </w:r>
      <w:r>
        <w:rPr>
          <w:rFonts w:ascii="Garamond" w:hAnsi="Garamond"/>
          <w:sz w:val="24"/>
          <w:szCs w:val="24"/>
        </w:rPr>
        <w:t>t together proximate and distanc</w:t>
      </w:r>
      <w:r w:rsidRPr="002650CB">
        <w:rPr>
          <w:rFonts w:ascii="Garamond" w:hAnsi="Garamond"/>
          <w:sz w:val="24"/>
          <w:szCs w:val="24"/>
        </w:rPr>
        <w:t xml:space="preserve">iated action through deploying archetypal boycott movement rhetoric:      </w:t>
      </w:r>
    </w:p>
    <w:p w:rsidR="00A371B8" w:rsidRPr="002650CB" w:rsidRDefault="00A371B8" w:rsidP="00A371B8">
      <w:pPr>
        <w:autoSpaceDE w:val="0"/>
        <w:autoSpaceDN w:val="0"/>
        <w:adjustRightInd w:val="0"/>
        <w:spacing w:after="0" w:line="360" w:lineRule="auto"/>
        <w:jc w:val="both"/>
        <w:rPr>
          <w:rFonts w:ascii="Garamond" w:hAnsi="Garamond"/>
          <w:b/>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Mobilise your people from the grassroots upwards if you would learn from our experience. We must set aside our obsession with parliaments, party conferences, church assemblies, board meetings and executives. For no effective valid change can happen there, except in response to pressure from the bottom. How often have we seen our battles to get a resolution through fizzle away like the air in a child's balloon because there was no pressure to sustain it. Our task is to place the responsibility for joining the liberation struggle with the people where it belongs: with the housewives and workers, and students and shop assistants, and children and pensioners, and office workers and the people in the pews, and shoppers and citizens an</w:t>
      </w:r>
      <w:r>
        <w:rPr>
          <w:rFonts w:ascii="Garamond" w:hAnsi="Garamond"/>
        </w:rPr>
        <w:t>d petitioners and media-makers</w:t>
      </w:r>
      <w:r w:rsidRPr="002650CB">
        <w:rPr>
          <w:rFonts w:ascii="Garamond" w:hAnsi="Garamond"/>
        </w:rPr>
        <w:t>.</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struggle of the people in the tiny township tenements, or remote Bantustans, or the dull passivity of malnutrition, or the wariness of watching for the police, is the same struggle in the neat parlours of Holland, or the miners cottages of England, or the gaunt tower blocks of our cities, or fill the production lines and pews and production lines of the West. Place the liberation struggle in their hands, trust them, and the spirit o</w:t>
      </w:r>
      <w:r>
        <w:rPr>
          <w:rFonts w:ascii="Garamond" w:hAnsi="Garamond"/>
        </w:rPr>
        <w:t>f liberation will fill them too. (Mayson, 1986)</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Mayson's </w:t>
      </w:r>
      <w:r>
        <w:rPr>
          <w:rFonts w:ascii="Garamond" w:hAnsi="Garamond"/>
          <w:sz w:val="24"/>
          <w:szCs w:val="24"/>
        </w:rPr>
        <w:t xml:space="preserve">arresting </w:t>
      </w:r>
      <w:r w:rsidRPr="002650CB">
        <w:rPr>
          <w:rFonts w:ascii="Garamond" w:hAnsi="Garamond"/>
          <w:sz w:val="24"/>
          <w:szCs w:val="24"/>
        </w:rPr>
        <w:t>message of</w:t>
      </w:r>
      <w:r>
        <w:rPr>
          <w:rFonts w:ascii="Garamond" w:hAnsi="Garamond"/>
          <w:sz w:val="24"/>
          <w:szCs w:val="24"/>
        </w:rPr>
        <w:t xml:space="preserve"> shared </w:t>
      </w:r>
      <w:r w:rsidRPr="002650CB">
        <w:rPr>
          <w:rFonts w:ascii="Garamond" w:hAnsi="Garamond"/>
          <w:sz w:val="24"/>
          <w:szCs w:val="24"/>
        </w:rPr>
        <w:t>solidarity</w:t>
      </w:r>
      <w:r>
        <w:rPr>
          <w:rFonts w:ascii="Garamond" w:hAnsi="Garamond"/>
          <w:sz w:val="24"/>
          <w:szCs w:val="24"/>
        </w:rPr>
        <w:t xml:space="preserve"> against broadly conceived capitalist and political elites</w:t>
      </w:r>
      <w:r w:rsidRPr="002650CB">
        <w:rPr>
          <w:rFonts w:ascii="Garamond" w:hAnsi="Garamond"/>
          <w:sz w:val="24"/>
          <w:szCs w:val="24"/>
        </w:rPr>
        <w:t xml:space="preserve"> was given specific direction in the BOA's bus tour and urban campaigns on the one hand, and their focus on trade union solidarity on the other. For the BOA, grassroots activism entailed the formation of local anti-apartheid and antiracist organizations and networks across Holland, and it meant constructing labour solidarities between anti-apartheid movements and South African and international forms of labour. </w:t>
      </w:r>
      <w:r w:rsidRPr="002650CB">
        <w:rPr>
          <w:rFonts w:ascii="Garamond" w:hAnsi="Garamond"/>
          <w:sz w:val="24"/>
          <w:szCs w:val="24"/>
        </w:rPr>
        <w:lastRenderedPageBreak/>
        <w:t>Both the local and international solidarities forged by the BOA sought to convert the publicity and guilt tropes achieved from the Outspan boycott into antiracist activism and racially reflexive forms of production and consumption. I would also like to put forward the case that these solidarities enabled new spaces for activism, and allies in the contest over the significance of racism with the wider anti-apartheid movement.</w:t>
      </w:r>
    </w:p>
    <w:p w:rsidR="00A371B8" w:rsidRDefault="00A371B8" w:rsidP="00A371B8">
      <w:pPr>
        <w:autoSpaceDE w:val="0"/>
        <w:autoSpaceDN w:val="0"/>
        <w:adjustRightInd w:val="0"/>
        <w:spacing w:after="0" w:line="360" w:lineRule="auto"/>
        <w:jc w:val="both"/>
        <w:rPr>
          <w:rFonts w:ascii="Garamond" w:hAnsi="Garamond"/>
          <w:i/>
          <w:sz w:val="24"/>
          <w:szCs w:val="24"/>
        </w:rPr>
      </w:pPr>
    </w:p>
    <w:p w:rsidR="00A371B8" w:rsidRPr="000E5E53" w:rsidRDefault="00A371B8" w:rsidP="00A371B8">
      <w:pPr>
        <w:autoSpaceDE w:val="0"/>
        <w:autoSpaceDN w:val="0"/>
        <w:adjustRightInd w:val="0"/>
        <w:spacing w:after="0" w:line="360" w:lineRule="auto"/>
        <w:jc w:val="both"/>
        <w:rPr>
          <w:rFonts w:ascii="Garamond" w:hAnsi="Garamond"/>
          <w:b/>
          <w:i/>
          <w:szCs w:val="24"/>
        </w:rPr>
      </w:pPr>
      <w:r w:rsidRPr="000E5E53">
        <w:rPr>
          <w:rFonts w:ascii="Garamond" w:hAnsi="Garamond"/>
          <w:b/>
          <w:i/>
          <w:szCs w:val="24"/>
        </w:rPr>
        <w:t>'The Home Front' and the antiracist consumer activist</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Pr>
          <w:rFonts w:ascii="Garamond" w:hAnsi="Garamond"/>
          <w:sz w:val="24"/>
          <w:szCs w:val="24"/>
          <w:shd w:val="clear" w:color="auto" w:fill="FFFFFF"/>
        </w:rPr>
        <w:t>Throughout this thesis I argue</w:t>
      </w:r>
      <w:r w:rsidRPr="002650CB">
        <w:rPr>
          <w:rFonts w:ascii="Garamond" w:hAnsi="Garamond"/>
          <w:sz w:val="24"/>
          <w:szCs w:val="24"/>
          <w:shd w:val="clear" w:color="auto" w:fill="FFFFFF"/>
        </w:rPr>
        <w:t xml:space="preserve"> that we must not limit our understanding of consumer boycotts as actions that influence distant outcomes, but also consider how they impact on the more proximate social relations of the ‘home front’. A frequently overlooked aspect of consumer boycotts is their contribution to the development of cultural dissensus, political questioning and perceptual change among the communities in which boycotters operate (Kozinets</w:t>
      </w:r>
      <w:r>
        <w:rPr>
          <w:rFonts w:ascii="Garamond" w:hAnsi="Garamond"/>
          <w:sz w:val="24"/>
          <w:szCs w:val="24"/>
          <w:shd w:val="clear" w:color="auto" w:fill="FFFFFF"/>
        </w:rPr>
        <w:t xml:space="preserve"> </w:t>
      </w:r>
      <w:r w:rsidR="00F152DB">
        <w:rPr>
          <w:rFonts w:ascii="Garamond" w:hAnsi="Garamond"/>
          <w:sz w:val="24"/>
          <w:szCs w:val="24"/>
          <w:shd w:val="clear" w:color="auto" w:fill="FFFFFF"/>
        </w:rPr>
        <w:t>and</w:t>
      </w:r>
      <w:r>
        <w:rPr>
          <w:rFonts w:ascii="Garamond" w:hAnsi="Garamond"/>
          <w:sz w:val="24"/>
          <w:szCs w:val="24"/>
          <w:shd w:val="clear" w:color="auto" w:fill="FFFFFF"/>
        </w:rPr>
        <w:t xml:space="preserve"> Handelman</w:t>
      </w:r>
      <w:r w:rsidRPr="002650CB">
        <w:rPr>
          <w:rFonts w:ascii="Garamond" w:hAnsi="Garamond"/>
          <w:sz w:val="24"/>
          <w:szCs w:val="24"/>
          <w:shd w:val="clear" w:color="auto" w:fill="FFFFFF"/>
        </w:rPr>
        <w:t>, 1998). The BOA set out to impact the taste, predilections and racial preconceptions of the Dutch consumer, just as much as to procure fundamental shifts in the racial division of power in South Africa. This philosophy was extended into new forms of antiracism after the Outspan boycott. The ‘Home Front’, (as du Plessis, coined it at the Dordrecht workshop entitled,</w:t>
      </w:r>
      <w:r w:rsidRPr="002650CB">
        <w:rPr>
          <w:rStyle w:val="apple-converted-space"/>
          <w:rFonts w:ascii="Garamond" w:hAnsi="Garamond"/>
          <w:sz w:val="24"/>
          <w:szCs w:val="24"/>
          <w:shd w:val="clear" w:color="auto" w:fill="FFFFFF"/>
        </w:rPr>
        <w:t> </w:t>
      </w:r>
      <w:r w:rsidRPr="002650CB">
        <w:rPr>
          <w:rStyle w:val="Emphasis"/>
          <w:rFonts w:ascii="Garamond" w:hAnsi="Garamond"/>
          <w:sz w:val="24"/>
          <w:szCs w:val="24"/>
          <w:bdr w:val="none" w:sz="0" w:space="0" w:color="auto" w:frame="1"/>
          <w:shd w:val="clear" w:color="auto" w:fill="FFFFFF"/>
        </w:rPr>
        <w:t>Racism Here</w:t>
      </w:r>
      <w:r>
        <w:rPr>
          <w:rFonts w:ascii="Garamond" w:hAnsi="Garamond"/>
          <w:sz w:val="24"/>
          <w:szCs w:val="24"/>
          <w:shd w:val="clear" w:color="auto" w:fill="FFFFFF"/>
        </w:rPr>
        <w:t xml:space="preserve">, </w:t>
      </w:r>
      <w:r w:rsidRPr="002650CB">
        <w:rPr>
          <w:rStyle w:val="Emphasis"/>
          <w:rFonts w:ascii="Garamond" w:hAnsi="Garamond"/>
          <w:sz w:val="24"/>
          <w:szCs w:val="24"/>
          <w:bdr w:val="none" w:sz="0" w:space="0" w:color="auto" w:frame="1"/>
          <w:shd w:val="clear" w:color="auto" w:fill="FFFFFF"/>
        </w:rPr>
        <w:t>Apartheid there</w:t>
      </w:r>
      <w:r>
        <w:rPr>
          <w:rStyle w:val="Emphasis"/>
          <w:rFonts w:ascii="Garamond" w:hAnsi="Garamond"/>
          <w:i w:val="0"/>
          <w:sz w:val="24"/>
          <w:szCs w:val="24"/>
          <w:bdr w:val="none" w:sz="0" w:space="0" w:color="auto" w:frame="1"/>
          <w:shd w:val="clear" w:color="auto" w:fill="FFFFFF"/>
        </w:rPr>
        <w:t>),</w:t>
      </w:r>
      <w:r w:rsidRPr="002650CB">
        <w:rPr>
          <w:rStyle w:val="Emphasis"/>
          <w:rFonts w:ascii="Garamond" w:hAnsi="Garamond"/>
          <w:sz w:val="24"/>
          <w:szCs w:val="24"/>
          <w:bdr w:val="none" w:sz="0" w:space="0" w:color="auto" w:frame="1"/>
          <w:shd w:val="clear" w:color="auto" w:fill="FFFFFF"/>
        </w:rPr>
        <w:t xml:space="preserve"> </w:t>
      </w:r>
      <w:r w:rsidRPr="002650CB">
        <w:rPr>
          <w:rFonts w:ascii="Garamond" w:hAnsi="Garamond"/>
          <w:sz w:val="24"/>
          <w:szCs w:val="24"/>
          <w:shd w:val="clear" w:color="auto" w:fill="FFFFFF"/>
        </w:rPr>
        <w:t xml:space="preserve">was the fight against everyday forms of racism, and an ongoing critique of the perception of Apartheid and Nazism as somehow anomalous and separate to European liberal thought and development. In addition to denouncing apartheid directly, the BOA were concerned with the deployment of white subject positions and 'common-sense knowledges' reproduced across the wider anti-apartheid movement. At the end of the annual torchlight procession in Leiden in 1988, BOA lawyer and cartoonist, Willem van Manen summarized this position: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hAnsi="Garamond"/>
          <w:shd w:val="clear" w:color="auto" w:fill="FFFFFF"/>
        </w:rPr>
      </w:pPr>
      <w:r w:rsidRPr="002650CB">
        <w:rPr>
          <w:rFonts w:ascii="Garamond" w:hAnsi="Garamond"/>
          <w:shd w:val="clear" w:color="auto" w:fill="FFFFFF"/>
        </w:rPr>
        <w:t>And in the eighties we began to understand, by degrees, that this dark side [to apartheid] is pretty large and utterly black. But, obviously, that did not mean we were prepared to use the term 'resistance fighters' for those South Africans who opposed racism and fascism like our members of the resistance did between 1940 and 1945. No</w:t>
      </w:r>
      <w:r>
        <w:rPr>
          <w:rFonts w:ascii="Garamond" w:hAnsi="Garamond"/>
          <w:shd w:val="clear" w:color="auto" w:fill="FFFFFF"/>
        </w:rPr>
        <w:t>,</w:t>
      </w:r>
      <w:r w:rsidRPr="002650CB">
        <w:rPr>
          <w:rFonts w:ascii="Garamond" w:hAnsi="Garamond"/>
          <w:shd w:val="clear" w:color="auto" w:fill="FFFFFF"/>
        </w:rPr>
        <w:t xml:space="preserve"> black resistance fighters are not resistance fighters, but terrorists instead. We also learned that we should strongly denounce apartheid...But should one ask what is to be done in South Africa, one is told...that it remains to be seen if blacks are ready for democracy yet....And that is racism pure and simple- a racism implicating the so-called 'free' Western world as accomplices in the blackest crime being committed in this day and age in the name of the white race. Not very surprising, really, since apartheid was made in Europe as the BOA has often pointed </w:t>
      </w:r>
      <w:r w:rsidRPr="002650CB">
        <w:rPr>
          <w:rFonts w:ascii="Garamond" w:hAnsi="Garamond"/>
          <w:shd w:val="clear" w:color="auto" w:fill="FFFFFF"/>
        </w:rPr>
        <w:lastRenderedPageBreak/>
        <w:t>out. So, as far as we are concerned, the struggle against apartheid begins right here, on our very doorstep, against our own leading circles, and more particularl</w:t>
      </w:r>
      <w:r>
        <w:rPr>
          <w:rFonts w:ascii="Garamond" w:hAnsi="Garamond"/>
          <w:shd w:val="clear" w:color="auto" w:fill="FFFFFF"/>
        </w:rPr>
        <w:t>y against our own government.</w:t>
      </w:r>
      <w:r w:rsidRPr="002650CB">
        <w:rPr>
          <w:rFonts w:ascii="Garamond" w:hAnsi="Garamond"/>
          <w:shd w:val="clear" w:color="auto" w:fill="FFFFFF"/>
        </w:rPr>
        <w:t xml:space="preserve"> (van Manen, 1988</w:t>
      </w:r>
      <w:r>
        <w:rPr>
          <w:rFonts w:ascii="Garamond" w:hAnsi="Garamond"/>
          <w:shd w:val="clear" w:color="auto" w:fill="FFFFFF"/>
        </w:rPr>
        <w:t>a</w:t>
      </w:r>
      <w:r w:rsidRPr="002650CB">
        <w:rPr>
          <w:rFonts w:ascii="Garamond" w:hAnsi="Garamond"/>
          <w:shd w:val="clear" w:color="auto" w:fill="FFFFFF"/>
        </w:rPr>
        <w:t>, translated from Dutch by Joop de Wit).</w:t>
      </w:r>
    </w:p>
    <w:p w:rsidR="00A371B8" w:rsidRPr="002650CB" w:rsidRDefault="00A371B8" w:rsidP="00A371B8">
      <w:pPr>
        <w:autoSpaceDE w:val="0"/>
        <w:autoSpaceDN w:val="0"/>
        <w:adjustRightInd w:val="0"/>
        <w:spacing w:after="0" w:line="360" w:lineRule="auto"/>
        <w:ind w:left="284" w:right="284"/>
        <w:jc w:val="both"/>
        <w:rPr>
          <w:rFonts w:ascii="Garamond" w:hAnsi="Garamond"/>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In practice the "struggle against our own leading circles" entailed careful attention to the creation of anti-apartheid and antiracist cultures in Holland, and extended the tropes of solidarity and complicity from the Outspan boycott. In 1975 and 1976, the BOA initiated several anti-apartheid and antiracism events in Holland.  These actions were an opportunity to give a public platform to exiled musicians, poets and artists, and they were fundraising events for SACTU. One such event was in the northern Dutch town of </w:t>
      </w:r>
      <w:r w:rsidRPr="002650CB">
        <w:rPr>
          <w:rFonts w:ascii="Garamond" w:hAnsi="Garamond"/>
          <w:sz w:val="24"/>
          <w:szCs w:val="24"/>
        </w:rPr>
        <w:t>Beverwijk. Here the BOA questioned the recent formation of local cultural ties with white South Africa. Instead, du Plessis argued that it was the responsibility of Dutch to form solidarities with the liberation movements and SACTU.</w:t>
      </w:r>
      <w:r w:rsidRPr="002650CB">
        <w:rPr>
          <w:rFonts w:ascii="Garamond" w:hAnsi="Garamond"/>
          <w:sz w:val="24"/>
          <w:szCs w:val="24"/>
          <w:shd w:val="clear" w:color="auto" w:fill="FFFFFF"/>
        </w:rPr>
        <w:t xml:space="preserve"> In the summer of 1976 the organization invited musicians and antiracist campaigners Zapata and Judith de Kom to perform at a s</w:t>
      </w:r>
      <w:r>
        <w:rPr>
          <w:rFonts w:ascii="Garamond" w:hAnsi="Garamond"/>
          <w:sz w:val="24"/>
          <w:szCs w:val="24"/>
          <w:shd w:val="clear" w:color="auto" w:fill="FFFFFF"/>
        </w:rPr>
        <w:t>chool event in Leiden</w:t>
      </w:r>
      <w:r w:rsidRPr="002650CB">
        <w:rPr>
          <w:rFonts w:ascii="Garamond" w:hAnsi="Garamond"/>
          <w:sz w:val="24"/>
          <w:szCs w:val="24"/>
          <w:shd w:val="clear" w:color="auto" w:fill="FFFFFF"/>
        </w:rPr>
        <w:t xml:space="preserve">. </w:t>
      </w:r>
    </w:p>
    <w:p w:rsidR="00A371B8" w:rsidRDefault="00A371B8" w:rsidP="00A371B8">
      <w:pPr>
        <w:keepNext/>
        <w:autoSpaceDE w:val="0"/>
        <w:autoSpaceDN w:val="0"/>
        <w:adjustRightInd w:val="0"/>
        <w:spacing w:after="0" w:line="360" w:lineRule="auto"/>
        <w:jc w:val="center"/>
      </w:pPr>
      <w:r w:rsidRPr="002650CB">
        <w:rPr>
          <w:rFonts w:ascii="Garamond" w:hAnsi="Garamond"/>
          <w:b/>
          <w:noProof/>
          <w:sz w:val="24"/>
          <w:szCs w:val="24"/>
          <w:shd w:val="clear" w:color="auto" w:fill="FFFFFF"/>
          <w:lang w:eastAsia="en-GB"/>
        </w:rPr>
        <w:drawing>
          <wp:inline distT="0" distB="0" distL="0" distR="0">
            <wp:extent cx="3162436" cy="4232910"/>
            <wp:effectExtent l="50800" t="50800" r="37964" b="8890"/>
            <wp:docPr id="12" name="Picture 17" descr="C:\Users\hugh crosfield\Desktop\BOA photos\iphone days October 2009-January 2012 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ugh crosfield\Desktop\BOA photos\iphone days October 2009-January 2012 346.JPG"/>
                    <pic:cNvPicPr>
                      <a:picLocks noChangeAspect="1" noChangeArrowheads="1"/>
                    </pic:cNvPicPr>
                  </pic:nvPicPr>
                  <pic:blipFill>
                    <a:blip r:embed="rId127" cstate="print"/>
                    <a:srcRect/>
                    <a:stretch>
                      <a:fillRect/>
                    </a:stretch>
                  </pic:blipFill>
                  <pic:spPr bwMode="auto">
                    <a:xfrm>
                      <a:off x="0" y="0"/>
                      <a:ext cx="3169824" cy="4242798"/>
                    </a:xfrm>
                    <a:prstGeom prst="rect">
                      <a:avLst/>
                    </a:prstGeom>
                    <a:noFill/>
                    <a:ln w="31750">
                      <a:solidFill>
                        <a:schemeClr val="tx1"/>
                      </a:solidFill>
                      <a:miter lim="800000"/>
                      <a:headEnd/>
                      <a:tailEnd/>
                    </a:ln>
                  </pic:spPr>
                </pic:pic>
              </a:graphicData>
            </a:graphic>
          </wp:inline>
        </w:drawing>
      </w:r>
    </w:p>
    <w:p w:rsidR="00A371B8" w:rsidRDefault="00A371B8" w:rsidP="00A371B8">
      <w:pPr>
        <w:pStyle w:val="Caption"/>
        <w:tabs>
          <w:tab w:val="left" w:pos="1457"/>
          <w:tab w:val="center" w:pos="4513"/>
        </w:tabs>
        <w:rPr>
          <w:rFonts w:ascii="Perpetua" w:hAnsi="Perpetua"/>
          <w:b w:val="0"/>
          <w:color w:val="auto"/>
          <w:sz w:val="20"/>
          <w:szCs w:val="20"/>
        </w:rPr>
      </w:pPr>
      <w:r w:rsidRPr="002334B9">
        <w:rPr>
          <w:rFonts w:ascii="Perpetua" w:hAnsi="Perpetua"/>
          <w:b w:val="0"/>
          <w:color w:val="auto"/>
          <w:sz w:val="20"/>
          <w:szCs w:val="20"/>
        </w:rPr>
        <w:tab/>
      </w:r>
      <w:r w:rsidRPr="002334B9">
        <w:rPr>
          <w:rFonts w:ascii="Perpetua" w:hAnsi="Perpetua"/>
          <w:b w:val="0"/>
          <w:color w:val="auto"/>
          <w:sz w:val="20"/>
          <w:szCs w:val="20"/>
        </w:rPr>
        <w:tab/>
      </w:r>
    </w:p>
    <w:p w:rsidR="00A371B8" w:rsidRPr="001731AC" w:rsidRDefault="001731AC" w:rsidP="001731AC">
      <w:pPr>
        <w:pStyle w:val="Caption"/>
        <w:jc w:val="center"/>
        <w:rPr>
          <w:rFonts w:ascii="Perpetua" w:hAnsi="Perpetua"/>
          <w:b w:val="0"/>
          <w:color w:val="auto"/>
          <w:sz w:val="20"/>
          <w:szCs w:val="20"/>
        </w:rPr>
      </w:pPr>
      <w:bookmarkStart w:id="818" w:name="_Toc244577344"/>
      <w:bookmarkStart w:id="819" w:name="_Toc263495813"/>
      <w:bookmarkStart w:id="820" w:name="_Toc263509079"/>
      <w:bookmarkStart w:id="821" w:name="_Toc263510866"/>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82</w:t>
      </w:r>
      <w:r w:rsidR="00DF2DF8" w:rsidRPr="00446259">
        <w:rPr>
          <w:rFonts w:ascii="Perpetua" w:hAnsi="Perpetua"/>
          <w:b w:val="0"/>
          <w:color w:val="auto"/>
          <w:sz w:val="20"/>
        </w:rPr>
        <w:fldChar w:fldCharType="end"/>
      </w:r>
      <w:r w:rsidRPr="00446259">
        <w:rPr>
          <w:rFonts w:ascii="Perpetua" w:hAnsi="Perpetua"/>
          <w:b w:val="0"/>
          <w:color w:val="auto"/>
          <w:sz w:val="20"/>
        </w:rPr>
        <w:t>:</w:t>
      </w:r>
      <w:r w:rsidRPr="001731AC">
        <w:rPr>
          <w:rFonts w:ascii="Perpetua" w:hAnsi="Perpetua"/>
          <w:color w:val="auto"/>
          <w:sz w:val="20"/>
        </w:rPr>
        <w:t xml:space="preserve"> </w:t>
      </w:r>
      <w:r w:rsidR="00446259">
        <w:rPr>
          <w:rFonts w:ascii="Perpetua" w:hAnsi="Perpetua"/>
          <w:b w:val="0"/>
          <w:color w:val="auto"/>
          <w:sz w:val="20"/>
        </w:rPr>
        <w:t>Photograph of du</w:t>
      </w:r>
      <w:r w:rsidRPr="001731AC">
        <w:rPr>
          <w:rFonts w:ascii="Perpetua" w:hAnsi="Perpetua"/>
          <w:b w:val="0"/>
          <w:color w:val="auto"/>
          <w:sz w:val="20"/>
        </w:rPr>
        <w:t xml:space="preserve"> Plessis speaking during a 1976 visit to Beverwijk</w:t>
      </w:r>
      <w:bookmarkEnd w:id="818"/>
      <w:bookmarkEnd w:id="819"/>
      <w:bookmarkEnd w:id="820"/>
      <w:bookmarkEnd w:id="821"/>
    </w:p>
    <w:p w:rsidR="001731AC" w:rsidRDefault="001731AC" w:rsidP="00A371B8"/>
    <w:p w:rsidR="00A371B8" w:rsidRDefault="00A371B8" w:rsidP="00A371B8"/>
    <w:p w:rsidR="00A371B8" w:rsidRDefault="00A371B8" w:rsidP="00A371B8"/>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6416"/>
        <w:gridCol w:w="2906"/>
      </w:tblGrid>
      <w:tr w:rsidR="00A371B8">
        <w:tc>
          <w:tcPr>
            <w:tcW w:w="6306" w:type="dxa"/>
          </w:tcPr>
          <w:p w:rsidR="00A371B8" w:rsidRDefault="00A371B8" w:rsidP="00D04F1F">
            <w:r w:rsidRPr="002650CB">
              <w:rPr>
                <w:rFonts w:ascii="Garamond" w:hAnsi="Garamond"/>
                <w:i/>
                <w:noProof/>
                <w:lang w:eastAsia="en-GB"/>
              </w:rPr>
              <w:drawing>
                <wp:inline distT="0" distB="0" distL="0" distR="0">
                  <wp:extent cx="3841956" cy="2857500"/>
                  <wp:effectExtent l="50800" t="50800" r="44244" b="12700"/>
                  <wp:docPr id="41" name="Picture 19" descr="C:\Users\hugh crosfield\Desktop\BOA photos\iphone days October 2009-January 2012 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ugh crosfield\Desktop\BOA photos\iphone days October 2009-January 2012 370.JPG"/>
                          <pic:cNvPicPr>
                            <a:picLocks noChangeAspect="1" noChangeArrowheads="1"/>
                          </pic:cNvPicPr>
                        </pic:nvPicPr>
                        <pic:blipFill>
                          <a:blip r:embed="rId128" cstate="print">
                            <a:lum bright="24000"/>
                          </a:blip>
                          <a:srcRect/>
                          <a:stretch>
                            <a:fillRect/>
                          </a:stretch>
                        </pic:blipFill>
                        <pic:spPr bwMode="auto">
                          <a:xfrm>
                            <a:off x="0" y="0"/>
                            <a:ext cx="3839833" cy="2855921"/>
                          </a:xfrm>
                          <a:prstGeom prst="rect">
                            <a:avLst/>
                          </a:prstGeom>
                          <a:noFill/>
                          <a:ln w="31750">
                            <a:solidFill>
                              <a:schemeClr val="tx1"/>
                            </a:solidFill>
                            <a:miter lim="800000"/>
                            <a:headEnd/>
                            <a:tailEnd/>
                          </a:ln>
                        </pic:spPr>
                      </pic:pic>
                    </a:graphicData>
                  </a:graphic>
                </wp:inline>
              </w:drawing>
            </w:r>
          </w:p>
        </w:tc>
        <w:tc>
          <w:tcPr>
            <w:tcW w:w="3016" w:type="dxa"/>
          </w:tcPr>
          <w:p w:rsidR="00446259" w:rsidRDefault="001731AC" w:rsidP="001731AC">
            <w:pPr>
              <w:pStyle w:val="Caption"/>
              <w:rPr>
                <w:rFonts w:ascii="Perpetua" w:hAnsi="Perpetua"/>
                <w:b w:val="0"/>
                <w:color w:val="auto"/>
                <w:sz w:val="20"/>
                <w:szCs w:val="20"/>
              </w:rPr>
            </w:pPr>
            <w:bookmarkStart w:id="822" w:name="_Toc263509080"/>
            <w:bookmarkStart w:id="823" w:name="_Toc263510867"/>
            <w:bookmarkStart w:id="824" w:name="_Toc244577345"/>
            <w:bookmarkStart w:id="825" w:name="_Toc263495814"/>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83</w:t>
            </w:r>
            <w:r w:rsidR="00DF2DF8" w:rsidRPr="00446259">
              <w:rPr>
                <w:rFonts w:ascii="Perpetua" w:hAnsi="Perpetua"/>
                <w:b w:val="0"/>
                <w:color w:val="auto"/>
                <w:sz w:val="20"/>
              </w:rPr>
              <w:fldChar w:fldCharType="end"/>
            </w:r>
            <w:r w:rsidRPr="00446259">
              <w:rPr>
                <w:rFonts w:ascii="Perpetua" w:hAnsi="Perpetua"/>
                <w:b w:val="0"/>
                <w:color w:val="auto"/>
                <w:sz w:val="20"/>
              </w:rPr>
              <w:t>:</w:t>
            </w:r>
            <w:r w:rsidRPr="001731AC">
              <w:rPr>
                <w:rFonts w:ascii="Perpetua" w:hAnsi="Perpetua"/>
                <w:b w:val="0"/>
                <w:color w:val="auto"/>
                <w:sz w:val="20"/>
              </w:rPr>
              <w:t xml:space="preserve"> </w:t>
            </w:r>
            <w:r w:rsidR="00446259">
              <w:rPr>
                <w:rFonts w:ascii="Perpetua" w:hAnsi="Perpetua"/>
                <w:b w:val="0"/>
                <w:color w:val="auto"/>
                <w:sz w:val="20"/>
              </w:rPr>
              <w:t xml:space="preserve">Photograph of </w:t>
            </w:r>
            <w:r w:rsidRPr="001731AC">
              <w:rPr>
                <w:rFonts w:ascii="Perpetua" w:hAnsi="Perpetua"/>
                <w:b w:val="0"/>
                <w:color w:val="auto"/>
                <w:sz w:val="20"/>
                <w:szCs w:val="20"/>
              </w:rPr>
              <w:t>BOA</w:t>
            </w:r>
            <w:r w:rsidR="00A6449D">
              <w:rPr>
                <w:rFonts w:ascii="Perpetua" w:hAnsi="Perpetua"/>
                <w:b w:val="0"/>
                <w:color w:val="auto"/>
                <w:sz w:val="20"/>
                <w:szCs w:val="20"/>
              </w:rPr>
              <w:t xml:space="preserve"> school campaign Leiden, 1976.</w:t>
            </w:r>
            <w:bookmarkEnd w:id="822"/>
            <w:bookmarkEnd w:id="823"/>
          </w:p>
          <w:p w:rsidR="001731AC" w:rsidRPr="00446259" w:rsidRDefault="00A6449D" w:rsidP="00446259">
            <w:pPr>
              <w:rPr>
                <w:rFonts w:ascii="Perpetua" w:hAnsi="Perpetua"/>
                <w:sz w:val="20"/>
              </w:rPr>
            </w:pPr>
            <w:r w:rsidRPr="00446259">
              <w:rPr>
                <w:rFonts w:ascii="Perpetua" w:hAnsi="Perpetua"/>
                <w:sz w:val="20"/>
              </w:rPr>
              <w:t>This i</w:t>
            </w:r>
            <w:r w:rsidR="001731AC" w:rsidRPr="00446259">
              <w:rPr>
                <w:rFonts w:ascii="Perpetua" w:hAnsi="Perpetua"/>
                <w:sz w:val="20"/>
              </w:rPr>
              <w:t>llustrates the 'cultural turn' of anti-apartheid activism.  On the speakerphone is Judith de Kom, the daughter of Surinamese anti-colonial author Anton de Kom.</w:t>
            </w:r>
            <w:r w:rsidR="001731AC" w:rsidRPr="00446259">
              <w:rPr>
                <w:rFonts w:ascii="Perpetua" w:hAnsi="Perpetua"/>
                <w:sz w:val="20"/>
              </w:rPr>
              <w:footnoteReference w:id="273"/>
            </w:r>
            <w:r w:rsidR="001731AC" w:rsidRPr="00446259">
              <w:rPr>
                <w:rFonts w:ascii="Perpetua" w:hAnsi="Perpetua"/>
                <w:sz w:val="20"/>
              </w:rPr>
              <w:t xml:space="preserve"> In the foreground on the drums is Zapata, a Surinamese musician. The </w:t>
            </w:r>
            <w:r w:rsidRPr="00446259">
              <w:rPr>
                <w:rFonts w:ascii="Perpetua" w:hAnsi="Perpetua"/>
                <w:sz w:val="20"/>
              </w:rPr>
              <w:t>anti-apartheid</w:t>
            </w:r>
            <w:r w:rsidR="001731AC" w:rsidRPr="00446259">
              <w:rPr>
                <w:rFonts w:ascii="Perpetua" w:hAnsi="Perpetua"/>
                <w:sz w:val="20"/>
              </w:rPr>
              <w:t xml:space="preserve"> </w:t>
            </w:r>
            <w:r w:rsidRPr="00446259">
              <w:rPr>
                <w:rFonts w:ascii="Perpetua" w:hAnsi="Perpetua"/>
                <w:sz w:val="20"/>
              </w:rPr>
              <w:t>group</w:t>
            </w:r>
            <w:r w:rsidR="001731AC" w:rsidRPr="00446259">
              <w:rPr>
                <w:rFonts w:ascii="Perpetua" w:hAnsi="Perpetua"/>
                <w:sz w:val="20"/>
              </w:rPr>
              <w:t>, Jubula, alongside  Judith de Kom. Brian Isaacs and the popular ANC musical collective, Mayibuye, also performed during the BOA bus tours of 1977.</w:t>
            </w:r>
            <w:bookmarkEnd w:id="824"/>
            <w:bookmarkEnd w:id="825"/>
          </w:p>
          <w:p w:rsidR="00A371B8" w:rsidRDefault="00A371B8" w:rsidP="00D04F1F"/>
        </w:tc>
      </w:tr>
    </w:tbl>
    <w:p w:rsidR="00A371B8" w:rsidRPr="001731AC" w:rsidRDefault="00A371B8" w:rsidP="001731AC"/>
    <w:p w:rsidR="00A371B8" w:rsidRPr="00F01B96" w:rsidRDefault="00A371B8" w:rsidP="00A371B8">
      <w:pPr>
        <w:spacing w:after="0" w:line="360" w:lineRule="auto"/>
        <w:jc w:val="both"/>
        <w:rPr>
          <w:rFonts w:ascii="Garamond" w:hAnsi="Garamond"/>
          <w:b/>
          <w:i/>
          <w:szCs w:val="24"/>
        </w:rPr>
      </w:pPr>
      <w:r w:rsidRPr="00F01B96">
        <w:rPr>
          <w:rFonts w:ascii="Garamond" w:hAnsi="Garamond"/>
          <w:b/>
          <w:i/>
          <w:szCs w:val="24"/>
        </w:rPr>
        <w:t>"The BOA bus caravan comes to you"</w:t>
      </w:r>
      <w:r w:rsidRPr="00F01B96">
        <w:rPr>
          <w:rStyle w:val="FootnoteReference"/>
          <w:rFonts w:ascii="Garamond" w:hAnsi="Garamond"/>
          <w:b/>
          <w:i/>
          <w:szCs w:val="24"/>
        </w:rPr>
        <w:footnoteReference w:id="274"/>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shd w:val="clear" w:color="auto" w:fill="FFFFFF"/>
        </w:rPr>
        <w:t xml:space="preserve">The bus caravans also </w:t>
      </w:r>
      <w:r w:rsidRPr="002650CB">
        <w:rPr>
          <w:rFonts w:ascii="Garamond" w:hAnsi="Garamond"/>
          <w:sz w:val="24"/>
          <w:szCs w:val="24"/>
        </w:rPr>
        <w:t>involved a commitment by the BOA t</w:t>
      </w:r>
      <w:r>
        <w:rPr>
          <w:rFonts w:ascii="Garamond" w:hAnsi="Garamond"/>
          <w:sz w:val="24"/>
          <w:szCs w:val="24"/>
        </w:rPr>
        <w:t>o "go to the people" (Interview du Plessis</w:t>
      </w:r>
      <w:r w:rsidRPr="002650CB">
        <w:rPr>
          <w:rFonts w:ascii="Garamond" w:hAnsi="Garamond"/>
          <w:sz w:val="24"/>
          <w:szCs w:val="24"/>
        </w:rPr>
        <w:t xml:space="preserve"> 2013). In the summer</w:t>
      </w:r>
      <w:r>
        <w:rPr>
          <w:rFonts w:ascii="Garamond" w:hAnsi="Garamond"/>
          <w:sz w:val="24"/>
          <w:szCs w:val="24"/>
        </w:rPr>
        <w:t>s</w:t>
      </w:r>
      <w:r w:rsidRPr="002650CB">
        <w:rPr>
          <w:rFonts w:ascii="Garamond" w:hAnsi="Garamond"/>
          <w:sz w:val="24"/>
          <w:szCs w:val="24"/>
        </w:rPr>
        <w:t xml:space="preserve"> of 1977 and </w:t>
      </w:r>
      <w:r>
        <w:rPr>
          <w:rFonts w:ascii="Garamond" w:hAnsi="Garamond"/>
          <w:sz w:val="24"/>
          <w:szCs w:val="24"/>
        </w:rPr>
        <w:t>19</w:t>
      </w:r>
      <w:r w:rsidRPr="002650CB">
        <w:rPr>
          <w:rFonts w:ascii="Garamond" w:hAnsi="Garamond"/>
          <w:sz w:val="24"/>
          <w:szCs w:val="24"/>
        </w:rPr>
        <w:t>78 the tour visited forty towns across Holland for a day at a time. Onze Wereld reported the constituents of the caravan as a "bus covered in banners and posters, information stands, a photo exhibition and much music"</w:t>
      </w:r>
      <w:r>
        <w:rPr>
          <w:rFonts w:ascii="Garamond" w:hAnsi="Garamond"/>
          <w:sz w:val="24"/>
          <w:szCs w:val="24"/>
        </w:rPr>
        <w:t xml:space="preserve"> (van Rooyen, 1978: 21)</w:t>
      </w:r>
      <w:r w:rsidRPr="002650CB">
        <w:rPr>
          <w:rFonts w:ascii="Garamond" w:hAnsi="Garamond"/>
          <w:sz w:val="24"/>
          <w:szCs w:val="24"/>
        </w:rPr>
        <w:t>.  The caravan was advertised in the June 1978 edition of the Dutch anti-apartheid magazine, Amandla:</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Pr>
          <w:rFonts w:ascii="Garamond" w:hAnsi="Garamond"/>
        </w:rPr>
        <w:t xml:space="preserve"> </w:t>
      </w:r>
      <w:r w:rsidRPr="002650CB">
        <w:rPr>
          <w:rFonts w:ascii="Garamond" w:hAnsi="Garamond"/>
        </w:rPr>
        <w:t>a large bus containing information and action material and persons with which you can talk, will stop in 40 towns to contribute to local activities. In your region you can con</w:t>
      </w:r>
      <w:r>
        <w:rPr>
          <w:rFonts w:ascii="Garamond" w:hAnsi="Garamond"/>
        </w:rPr>
        <w:t>tribute to the freedom struggle.</w:t>
      </w:r>
      <w:r w:rsidRPr="002650CB">
        <w:rPr>
          <w:rFonts w:ascii="Garamond" w:hAnsi="Garamond"/>
        </w:rPr>
        <w:t xml:space="preserve"> (</w:t>
      </w:r>
      <w:r>
        <w:rPr>
          <w:rFonts w:ascii="Garamond" w:hAnsi="Garamond"/>
        </w:rPr>
        <w:t>vsn Rooyen</w:t>
      </w:r>
      <w:r w:rsidRPr="002650CB">
        <w:rPr>
          <w:rFonts w:ascii="Garamond" w:hAnsi="Garamond"/>
        </w:rPr>
        <w:t>,</w:t>
      </w:r>
      <w:r>
        <w:rPr>
          <w:rFonts w:ascii="Garamond" w:hAnsi="Garamond"/>
        </w:rPr>
        <w:t xml:space="preserve"> 1978:21,</w:t>
      </w:r>
      <w:r w:rsidRPr="002650CB">
        <w:rPr>
          <w:rFonts w:ascii="Garamond" w:hAnsi="Garamond"/>
        </w:rPr>
        <w:t xml:space="preserve"> </w:t>
      </w:r>
      <w:r>
        <w:rPr>
          <w:rFonts w:ascii="Garamond" w:hAnsi="Garamond"/>
        </w:rPr>
        <w:t>translated from Dutch)</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bus caravans had three main aims:</w:t>
      </w:r>
      <w:r>
        <w:rPr>
          <w:rFonts w:ascii="Garamond" w:hAnsi="Garamond"/>
          <w:sz w:val="24"/>
          <w:szCs w:val="24"/>
        </w:rPr>
        <w:t xml:space="preserve"> firstly,</w:t>
      </w:r>
      <w:r w:rsidRPr="002650CB">
        <w:rPr>
          <w:rFonts w:ascii="Garamond" w:hAnsi="Garamond"/>
          <w:sz w:val="24"/>
          <w:szCs w:val="24"/>
        </w:rPr>
        <w:t xml:space="preserve"> to provide information and entertainment across Holland on anti-apartheid through, leaflets, brochures, films, slides, music and entertainment evenings. Secondly, to stimulate local organization against apartheid, and </w:t>
      </w:r>
      <w:r w:rsidRPr="002650CB">
        <w:rPr>
          <w:rFonts w:ascii="Garamond" w:hAnsi="Garamond"/>
          <w:sz w:val="24"/>
          <w:szCs w:val="24"/>
        </w:rPr>
        <w:lastRenderedPageBreak/>
        <w:t>thirdly to undertake fundraising for SACTU and the ANC (Amandla 1978; Onze Wereld, 1978; interview du Plessis, 2013):</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As in all the BOA's activities the provision of information and the calling for concrete actions will go hand in hand. To this a fairly new element will be added, namely fundraising. The BOA realizes that not everybody is in the position to support the liberation movement through participation...Material support for the liberation struggle is also essential. Therefore the BOA created the Mayibuye Foundation which sees to the raising of funds for SACTU and the ANC</w:t>
      </w:r>
      <w:r>
        <w:rPr>
          <w:rFonts w:ascii="Garamond" w:hAnsi="Garamond"/>
        </w:rPr>
        <w:t>. (Amandla, June, 1978: 22)</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Following conversations</w:t>
      </w:r>
      <w:r w:rsidRPr="002650CB">
        <w:rPr>
          <w:rFonts w:ascii="Garamond" w:hAnsi="Garamond"/>
          <w:sz w:val="24"/>
          <w:szCs w:val="24"/>
        </w:rPr>
        <w:t xml:space="preserve"> with SACTU leaders Stephen Dhlamini and John Gaetsewe</w:t>
      </w:r>
      <w:r>
        <w:rPr>
          <w:rFonts w:ascii="Garamond" w:hAnsi="Garamond"/>
          <w:sz w:val="24"/>
          <w:szCs w:val="24"/>
        </w:rPr>
        <w:t xml:space="preserve"> (who accompanied the caravan on its tour around Holland)</w:t>
      </w:r>
      <w:r w:rsidRPr="002650CB">
        <w:rPr>
          <w:rFonts w:ascii="Garamond" w:hAnsi="Garamond"/>
          <w:sz w:val="24"/>
          <w:szCs w:val="24"/>
        </w:rPr>
        <w:t xml:space="preserve">, the BOA decided to </w:t>
      </w:r>
      <w:r>
        <w:rPr>
          <w:rFonts w:ascii="Garamond" w:hAnsi="Garamond"/>
          <w:sz w:val="24"/>
          <w:szCs w:val="24"/>
        </w:rPr>
        <w:t xml:space="preserve">raise </w:t>
      </w:r>
      <w:r w:rsidRPr="002650CB">
        <w:rPr>
          <w:rFonts w:ascii="Garamond" w:hAnsi="Garamond"/>
          <w:sz w:val="24"/>
          <w:szCs w:val="24"/>
        </w:rPr>
        <w:t>funds for the specific purpose of creating a base and printing offices for SACTU "outside, but in the vicinity of South Africa"</w:t>
      </w:r>
      <w:r>
        <w:rPr>
          <w:rFonts w:ascii="Garamond" w:hAnsi="Garamond"/>
          <w:sz w:val="24"/>
          <w:szCs w:val="24"/>
        </w:rPr>
        <w:t xml:space="preserve"> (ibid. 1978:22</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A371B8" w:rsidRPr="002650CB" w:rsidRDefault="00A371B8" w:rsidP="00A371B8">
      <w:pPr>
        <w:autoSpaceDE w:val="0"/>
        <w:autoSpaceDN w:val="0"/>
        <w:adjustRightInd w:val="0"/>
        <w:spacing w:after="0" w:line="360" w:lineRule="auto"/>
        <w:jc w:val="center"/>
        <w:rPr>
          <w:rFonts w:ascii="Garamond" w:hAnsi="Garamond"/>
          <w:b/>
          <w:sz w:val="24"/>
          <w:szCs w:val="24"/>
        </w:rPr>
      </w:pPr>
      <w:r w:rsidRPr="002650CB">
        <w:rPr>
          <w:rFonts w:ascii="Garamond" w:hAnsi="Garamond"/>
          <w:b/>
          <w:noProof/>
          <w:sz w:val="24"/>
          <w:szCs w:val="24"/>
          <w:lang w:eastAsia="en-GB"/>
        </w:rPr>
        <w:drawing>
          <wp:inline distT="0" distB="0" distL="0" distR="0">
            <wp:extent cx="4711265" cy="3495675"/>
            <wp:effectExtent l="57150" t="38100" r="32185" b="9525"/>
            <wp:docPr id="46" name="Picture 1" descr="C:\Users\hugh crosfield\Downloads\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ownloads\photo (13).JPG"/>
                    <pic:cNvPicPr>
                      <a:picLocks noChangeAspect="1" noChangeArrowheads="1"/>
                    </pic:cNvPicPr>
                  </pic:nvPicPr>
                  <pic:blipFill>
                    <a:blip r:embed="rId129" cstate="print"/>
                    <a:srcRect/>
                    <a:stretch>
                      <a:fillRect/>
                    </a:stretch>
                  </pic:blipFill>
                  <pic:spPr bwMode="auto">
                    <a:xfrm>
                      <a:off x="0" y="0"/>
                      <a:ext cx="4713038" cy="3496990"/>
                    </a:xfrm>
                    <a:prstGeom prst="rect">
                      <a:avLst/>
                    </a:prstGeom>
                    <a:noFill/>
                    <a:ln w="31750">
                      <a:solidFill>
                        <a:schemeClr val="tx1"/>
                      </a:solidFill>
                      <a:miter lim="800000"/>
                      <a:headEnd/>
                      <a:tailEnd/>
                    </a:ln>
                  </pic:spPr>
                </pic:pic>
              </a:graphicData>
            </a:graphic>
          </wp:inline>
        </w:drawing>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446259" w:rsidRDefault="001731AC" w:rsidP="001731AC">
      <w:pPr>
        <w:pStyle w:val="Caption"/>
        <w:ind w:left="426" w:right="368"/>
        <w:rPr>
          <w:rFonts w:ascii="Perpetua" w:hAnsi="Perpetua"/>
          <w:b w:val="0"/>
          <w:color w:val="auto"/>
          <w:sz w:val="20"/>
          <w:szCs w:val="20"/>
        </w:rPr>
      </w:pPr>
      <w:bookmarkStart w:id="826" w:name="_Toc263509081"/>
      <w:bookmarkStart w:id="827" w:name="_Toc263510868"/>
      <w:bookmarkStart w:id="828" w:name="_Toc244577346"/>
      <w:bookmarkStart w:id="829" w:name="_Toc263495815"/>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84</w:t>
      </w:r>
      <w:r w:rsidR="00DF2DF8" w:rsidRPr="00446259">
        <w:rPr>
          <w:rFonts w:ascii="Perpetua" w:hAnsi="Perpetua"/>
          <w:b w:val="0"/>
          <w:color w:val="auto"/>
          <w:sz w:val="20"/>
        </w:rPr>
        <w:fldChar w:fldCharType="end"/>
      </w:r>
      <w:r w:rsidRPr="00446259">
        <w:rPr>
          <w:rFonts w:ascii="Perpetua" w:hAnsi="Perpetua"/>
          <w:b w:val="0"/>
          <w:color w:val="auto"/>
          <w:sz w:val="20"/>
        </w:rPr>
        <w:t>:</w:t>
      </w:r>
      <w:r w:rsidR="0048108D" w:rsidRPr="00446259">
        <w:rPr>
          <w:rFonts w:ascii="Perpetua" w:hAnsi="Perpetua"/>
          <w:b w:val="0"/>
          <w:color w:val="auto"/>
          <w:sz w:val="20"/>
        </w:rPr>
        <w:t xml:space="preserve"> </w:t>
      </w:r>
      <w:r w:rsidR="00446259" w:rsidRPr="00446259">
        <w:rPr>
          <w:rFonts w:ascii="Perpetua" w:hAnsi="Perpetua"/>
          <w:b w:val="0"/>
          <w:color w:val="auto"/>
          <w:sz w:val="20"/>
        </w:rPr>
        <w:t>Photograph of the</w:t>
      </w:r>
      <w:r w:rsidR="00446259">
        <w:rPr>
          <w:rFonts w:ascii="Perpetua" w:hAnsi="Perpetua"/>
          <w:color w:val="auto"/>
          <w:sz w:val="20"/>
        </w:rPr>
        <w:t xml:space="preserve"> </w:t>
      </w:r>
      <w:r w:rsidR="00A371B8" w:rsidRPr="001731AC">
        <w:rPr>
          <w:rFonts w:ascii="Perpetua" w:hAnsi="Perpetua"/>
          <w:b w:val="0"/>
          <w:color w:val="auto"/>
          <w:sz w:val="20"/>
          <w:szCs w:val="20"/>
        </w:rPr>
        <w:t>BOA Bus Caravan.</w:t>
      </w:r>
      <w:bookmarkEnd w:id="826"/>
      <w:bookmarkEnd w:id="827"/>
      <w:r w:rsidR="00A371B8" w:rsidRPr="001731AC">
        <w:rPr>
          <w:rFonts w:ascii="Perpetua" w:hAnsi="Perpetua"/>
          <w:b w:val="0"/>
          <w:color w:val="auto"/>
          <w:sz w:val="20"/>
          <w:szCs w:val="20"/>
        </w:rPr>
        <w:t xml:space="preserve"> </w:t>
      </w:r>
    </w:p>
    <w:p w:rsidR="00A371B8" w:rsidRPr="00446259" w:rsidRDefault="00A371B8" w:rsidP="00446259">
      <w:pPr>
        <w:ind w:left="426"/>
        <w:rPr>
          <w:rFonts w:ascii="Perpetua" w:hAnsi="Perpetua"/>
          <w:sz w:val="20"/>
        </w:rPr>
      </w:pPr>
      <w:r w:rsidRPr="00446259">
        <w:rPr>
          <w:rFonts w:ascii="Perpetua" w:hAnsi="Perpetua"/>
          <w:sz w:val="20"/>
        </w:rPr>
        <w:t>The two posters read 'support boycotts!', and 'support the liberation struggle!</w:t>
      </w:r>
      <w:r w:rsidR="001731AC" w:rsidRPr="00446259">
        <w:rPr>
          <w:rFonts w:ascii="Perpetua" w:hAnsi="Perpetua"/>
          <w:sz w:val="20"/>
        </w:rPr>
        <w:t xml:space="preserve"> </w:t>
      </w:r>
      <w:r w:rsidRPr="00446259">
        <w:rPr>
          <w:rFonts w:ascii="Perpetua" w:hAnsi="Perpetua"/>
          <w:sz w:val="20"/>
        </w:rPr>
        <w:t>(van Rooyen, 1978:22)</w:t>
      </w:r>
      <w:bookmarkEnd w:id="828"/>
      <w:bookmarkEnd w:id="829"/>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lastRenderedPageBreak/>
        <w:t>An important motivation for the BOA to organize the caravans was to demonstrate to the public that they were not an elitist organization, that they were willing to venture from the major political centres in order</w:t>
      </w:r>
      <w:r>
        <w:rPr>
          <w:rFonts w:ascii="Garamond" w:hAnsi="Garamond"/>
          <w:sz w:val="24"/>
          <w:szCs w:val="24"/>
        </w:rPr>
        <w:t xml:space="preserve"> to perform grassroots activism (interview du Plessis, 2013). </w:t>
      </w:r>
      <w:r w:rsidRPr="002650CB">
        <w:rPr>
          <w:rFonts w:ascii="Garamond" w:hAnsi="Garamond"/>
          <w:sz w:val="24"/>
          <w:szCs w:val="24"/>
        </w:rPr>
        <w:t xml:space="preserve">This represented a different approach </w:t>
      </w:r>
      <w:r>
        <w:rPr>
          <w:rFonts w:ascii="Garamond" w:hAnsi="Garamond"/>
          <w:sz w:val="24"/>
          <w:szCs w:val="24"/>
        </w:rPr>
        <w:t>to other Dutch AAMs, who du Plessis suggests</w:t>
      </w:r>
      <w:r w:rsidRPr="002650CB">
        <w:rPr>
          <w:rFonts w:ascii="Garamond" w:hAnsi="Garamond"/>
          <w:sz w:val="24"/>
          <w:szCs w:val="24"/>
        </w:rPr>
        <w:t xml:space="preserve"> "were content to preach to the converted and let people come to them" (ibid., 2013). The bus caravan also represented a change in strategy for th</w:t>
      </w:r>
      <w:r>
        <w:rPr>
          <w:rFonts w:ascii="Garamond" w:hAnsi="Garamond"/>
          <w:sz w:val="24"/>
          <w:szCs w:val="24"/>
        </w:rPr>
        <w:t xml:space="preserve">e BOA. The Outspan boycott and </w:t>
      </w:r>
      <w:r w:rsidRPr="002650CB">
        <w:rPr>
          <w:rFonts w:ascii="Garamond" w:hAnsi="Garamond"/>
          <w:sz w:val="24"/>
          <w:szCs w:val="24"/>
        </w:rPr>
        <w:t xml:space="preserve">anti-emigration were campaigns that used consumption, boycotting bodywork and shifting geographical imaginaries to inform the Dutch public on apartheid and racisms, and to construct solidarities with SACTU and the liberation movements. These actions were largely brought together through the press; they </w:t>
      </w:r>
      <w:r>
        <w:rPr>
          <w:rFonts w:ascii="Garamond" w:hAnsi="Garamond"/>
          <w:sz w:val="24"/>
          <w:szCs w:val="24"/>
        </w:rPr>
        <w:t>were media dependent campaigns.</w:t>
      </w:r>
      <w:r w:rsidRPr="002650CB">
        <w:rPr>
          <w:rFonts w:ascii="Garamond" w:hAnsi="Garamond"/>
          <w:sz w:val="24"/>
          <w:szCs w:val="24"/>
        </w:rPr>
        <w:t xml:space="preserve"> Although a range of different media played a role in the bus caravan (regional newspapers, anti-apartheid publications, music records, images and printed anti-apartheid materials), the bus caravans were not dependent on the media, and were t</w:t>
      </w:r>
      <w:r>
        <w:rPr>
          <w:rFonts w:ascii="Garamond" w:hAnsi="Garamond"/>
          <w:sz w:val="24"/>
          <w:szCs w:val="24"/>
        </w:rPr>
        <w:t>he organization's first project</w:t>
      </w:r>
      <w:r w:rsidRPr="002650CB">
        <w:rPr>
          <w:rFonts w:ascii="Garamond" w:hAnsi="Garamond"/>
          <w:sz w:val="24"/>
          <w:szCs w:val="24"/>
        </w:rPr>
        <w:t xml:space="preserve"> to </w:t>
      </w:r>
      <w:r>
        <w:rPr>
          <w:rFonts w:ascii="Garamond" w:hAnsi="Garamond"/>
          <w:sz w:val="24"/>
          <w:szCs w:val="24"/>
        </w:rPr>
        <w:t>explicitly engage the public in order to</w:t>
      </w:r>
      <w:r w:rsidRPr="002650CB">
        <w:rPr>
          <w:rFonts w:ascii="Garamond" w:hAnsi="Garamond"/>
          <w:sz w:val="24"/>
          <w:szCs w:val="24"/>
        </w:rPr>
        <w:t xml:space="preserve"> "</w:t>
      </w:r>
      <w:r>
        <w:rPr>
          <w:rFonts w:ascii="Garamond" w:hAnsi="Garamond"/>
          <w:sz w:val="24"/>
          <w:szCs w:val="24"/>
        </w:rPr>
        <w:t xml:space="preserve">make new activists" (du Plessis in </w:t>
      </w:r>
      <w:r w:rsidRPr="002650CB">
        <w:rPr>
          <w:rFonts w:ascii="Garamond" w:hAnsi="Garamond"/>
          <w:sz w:val="24"/>
          <w:szCs w:val="24"/>
        </w:rPr>
        <w:t>Amandla, 1991: 23)</w:t>
      </w:r>
      <w:r>
        <w:rPr>
          <w:rFonts w:ascii="Garamond" w:hAnsi="Garamond"/>
          <w:sz w:val="24"/>
          <w:szCs w:val="24"/>
        </w:rPr>
        <w:t xml:space="preserve">. </w:t>
      </w:r>
      <w:r w:rsidRPr="002650CB">
        <w:rPr>
          <w:rFonts w:ascii="Garamond" w:hAnsi="Garamond"/>
          <w:sz w:val="24"/>
          <w:szCs w:val="24"/>
        </w:rPr>
        <w:t>The motivation for this shift came from the realization that "the readiness to conduct campaigns was declining in the population...this phase was characterized by increasing racism, discrimination and intolerance in Dutch society"</w:t>
      </w:r>
      <w:r>
        <w:rPr>
          <w:rFonts w:ascii="Garamond" w:hAnsi="Garamond"/>
          <w:sz w:val="24"/>
          <w:szCs w:val="24"/>
        </w:rPr>
        <w:t xml:space="preserve"> (ibid.1991). </w:t>
      </w:r>
      <w:r w:rsidRPr="002650CB">
        <w:rPr>
          <w:rFonts w:ascii="Garamond" w:hAnsi="Garamond"/>
          <w:sz w:val="24"/>
          <w:szCs w:val="24"/>
        </w:rPr>
        <w:t>In an interview published in NOVIB's</w:t>
      </w:r>
      <w:r w:rsidRPr="002650CB">
        <w:rPr>
          <w:rStyle w:val="FootnoteReference"/>
          <w:rFonts w:ascii="Garamond" w:hAnsi="Garamond"/>
          <w:sz w:val="24"/>
          <w:szCs w:val="24"/>
        </w:rPr>
        <w:footnoteReference w:id="275"/>
      </w:r>
      <w:r w:rsidRPr="002650CB">
        <w:rPr>
          <w:rFonts w:ascii="Garamond" w:hAnsi="Garamond"/>
          <w:sz w:val="24"/>
          <w:szCs w:val="24"/>
        </w:rPr>
        <w:t xml:space="preserve"> magazine, Onze Wereld, du Plessis described some of the successes and new challenges presented by the bus caravans: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idea to make a caravan tour through the length and breadth of Holland was totally new for us. Clearly we will continue with this form of action which has been positively received.</w:t>
      </w:r>
      <w:r>
        <w:rPr>
          <w:rFonts w:ascii="Garamond" w:hAnsi="Garamond"/>
        </w:rPr>
        <w:t xml:space="preserve"> </w:t>
      </w:r>
      <w:r w:rsidRPr="002650CB">
        <w:rPr>
          <w:rFonts w:ascii="Garamond" w:hAnsi="Garamond"/>
        </w:rPr>
        <w:t xml:space="preserve">The action attracted a great deal of attention. The hundreds of thousands of leaflets that we had printed for this action have been practically distributed. That is also evident from the increasing order of books, posters and an LP with Nelson Mandela's freedom speech from the Rivonia Trial of 1964 and SA liberation songs. A pleasant development is the creation of new groups in ten cities: Vlissingen, Middelburg, Ermelo, Zwolle, Heino, Hoogeveen, Beilen, Geeuwenburg, Maastricht and Helmond. Apart from the many positive reactions there were also negative ones such as, 'you are friends of Communism', 'murderers of whites', and 'we support Pinochet'" (du Plessis 1978, in </w:t>
      </w:r>
      <w:r w:rsidRPr="002650CB">
        <w:rPr>
          <w:rFonts w:ascii="Garamond" w:hAnsi="Garamond"/>
          <w:i/>
        </w:rPr>
        <w:t>Onze Wereld</w:t>
      </w:r>
      <w:r w:rsidRPr="002650CB">
        <w:rPr>
          <w:rFonts w:ascii="Garamond" w:hAnsi="Garamond"/>
        </w:rPr>
        <w:t>, translated from Dutch)</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lastRenderedPageBreak/>
        <w:t>The BOA were declined permission to collect money for SACTU in H</w:t>
      </w:r>
      <w:r w:rsidR="00A6449D">
        <w:rPr>
          <w:rFonts w:ascii="Garamond" w:hAnsi="Garamond"/>
          <w:sz w:val="24"/>
          <w:szCs w:val="24"/>
        </w:rPr>
        <w:t>ee</w:t>
      </w:r>
      <w:r>
        <w:rPr>
          <w:rFonts w:ascii="Garamond" w:hAnsi="Garamond"/>
          <w:sz w:val="24"/>
          <w:szCs w:val="24"/>
        </w:rPr>
        <w:t>rleen, and</w:t>
      </w:r>
      <w:r w:rsidRPr="002650CB">
        <w:rPr>
          <w:rFonts w:ascii="Garamond" w:hAnsi="Garamond"/>
          <w:sz w:val="24"/>
          <w:szCs w:val="24"/>
        </w:rPr>
        <w:t xml:space="preserve"> in Zwolle the local authorities objected to a doll of Vorster who was understood as an unacceptable representation of a "friendly head of state" (</w:t>
      </w:r>
      <w:r w:rsidRPr="002650CB">
        <w:rPr>
          <w:rFonts w:ascii="Garamond" w:hAnsi="Garamond"/>
          <w:i/>
          <w:sz w:val="24"/>
          <w:szCs w:val="24"/>
        </w:rPr>
        <w:t>Onze Wereld,</w:t>
      </w:r>
      <w:r w:rsidRPr="002650CB">
        <w:rPr>
          <w:rFonts w:ascii="Garamond" w:hAnsi="Garamond"/>
          <w:sz w:val="24"/>
          <w:szCs w:val="24"/>
        </w:rPr>
        <w:t xml:space="preserve"> 1978</w:t>
      </w:r>
      <w:r>
        <w:rPr>
          <w:rFonts w:ascii="Garamond" w:hAnsi="Garamond"/>
          <w:sz w:val="24"/>
          <w:szCs w:val="24"/>
        </w:rPr>
        <w:t>: 24</w:t>
      </w:r>
      <w:r w:rsidRPr="002650CB">
        <w:rPr>
          <w:rFonts w:ascii="Garamond" w:hAnsi="Garamond"/>
          <w:sz w:val="24"/>
          <w:szCs w:val="24"/>
        </w:rPr>
        <w:t xml:space="preserve">).  At Ermelo, the BOA were </w:t>
      </w:r>
      <w:r>
        <w:rPr>
          <w:rFonts w:ascii="Garamond" w:hAnsi="Garamond"/>
          <w:sz w:val="24"/>
          <w:szCs w:val="24"/>
        </w:rPr>
        <w:t>banned from using</w:t>
      </w:r>
      <w:r w:rsidRPr="002650CB">
        <w:rPr>
          <w:rFonts w:ascii="Garamond" w:hAnsi="Garamond"/>
          <w:sz w:val="24"/>
          <w:szCs w:val="24"/>
        </w:rPr>
        <w:t xml:space="preserve"> sound equipment on the grounds that it was not being used for "election or evangelisation purposes" (ibid. 1978</w:t>
      </w:r>
      <w:r>
        <w:rPr>
          <w:rFonts w:ascii="Garamond" w:hAnsi="Garamond"/>
          <w:sz w:val="24"/>
          <w:szCs w:val="24"/>
        </w:rPr>
        <w:t>: 24</w:t>
      </w:r>
      <w:r w:rsidRPr="002650CB">
        <w:rPr>
          <w:rFonts w:ascii="Garamond" w:hAnsi="Garamond"/>
          <w:sz w:val="24"/>
          <w:szCs w:val="24"/>
        </w:rPr>
        <w:t>). The negative reactions that the BOA encountered in some of the smaller towns in Holland strengthened the organization's resolve to return with more substantial campaigns: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 xml:space="preserve">We do not look upon the municipality as opponents, but rather as people we would like to inform better. Provocation is certainly not our intention; we do not want people to shut the door. Especially in a place like Ermelo we would like to keep the discussion open. Soon we </w:t>
      </w:r>
      <w:r>
        <w:rPr>
          <w:rFonts w:ascii="Garamond" w:hAnsi="Garamond"/>
        </w:rPr>
        <w:t>hope to talk to the municipality.</w:t>
      </w:r>
      <w:r w:rsidRPr="002650CB">
        <w:rPr>
          <w:rFonts w:ascii="Garamond" w:hAnsi="Garamond"/>
        </w:rPr>
        <w:t xml:space="preserve"> (du Plessis in </w:t>
      </w:r>
      <w:r w:rsidRPr="002650CB">
        <w:rPr>
          <w:rFonts w:ascii="Garamond" w:hAnsi="Garamond"/>
          <w:i/>
        </w:rPr>
        <w:t>Onze Wereld</w:t>
      </w:r>
      <w:r w:rsidRPr="002650CB">
        <w:rPr>
          <w:rFonts w:ascii="Garamond" w:hAnsi="Garamond"/>
        </w:rPr>
        <w:t>, 1978)</w:t>
      </w:r>
    </w:p>
    <w:p w:rsidR="001731AC"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  </w:t>
      </w:r>
    </w:p>
    <w:p w:rsidR="001731AC" w:rsidRDefault="001731AC"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r w:rsidRPr="002650CB">
        <w:rPr>
          <w:rFonts w:ascii="Garamond" w:hAnsi="Garamond"/>
          <w:noProof/>
          <w:sz w:val="24"/>
          <w:szCs w:val="24"/>
          <w:lang w:eastAsia="en-GB"/>
        </w:rPr>
        <w:drawing>
          <wp:inline distT="0" distB="0" distL="0" distR="0">
            <wp:extent cx="5083864" cy="4048125"/>
            <wp:effectExtent l="76200" t="50800" r="123136" b="66675"/>
            <wp:docPr id="47" name="Picture 4" descr="http://hughcrosfield.files.wordpress.com/2012/10/iphone-days-october-2009-january-201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http://hughcrosfield.files.wordpress.com/2012/10/iphone-days-october-2009-january-2012-349.jpg"/>
                    <pic:cNvPicPr>
                      <a:picLocks noChangeAspect="1" noChangeArrowheads="1"/>
                    </pic:cNvPicPr>
                  </pic:nvPicPr>
                  <pic:blipFill>
                    <a:blip r:embed="rId130" cstate="print"/>
                    <a:srcRect/>
                    <a:stretch>
                      <a:fillRect/>
                    </a:stretch>
                  </pic:blipFill>
                  <pic:spPr bwMode="auto">
                    <a:xfrm>
                      <a:off x="0" y="0"/>
                      <a:ext cx="5095554" cy="4057434"/>
                    </a:xfrm>
                    <a:prstGeom prst="rect">
                      <a:avLst/>
                    </a:prstGeom>
                    <a:ln w="3492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A371B8" w:rsidRPr="001731AC" w:rsidRDefault="00A371B8" w:rsidP="001731AC">
      <w:pPr>
        <w:autoSpaceDE w:val="0"/>
        <w:autoSpaceDN w:val="0"/>
        <w:adjustRightInd w:val="0"/>
        <w:spacing w:after="0" w:line="360" w:lineRule="auto"/>
        <w:ind w:left="426" w:right="509"/>
        <w:jc w:val="both"/>
        <w:rPr>
          <w:rFonts w:ascii="Perpetua" w:hAnsi="Perpetua"/>
          <w:sz w:val="20"/>
          <w:szCs w:val="20"/>
        </w:rPr>
      </w:pPr>
    </w:p>
    <w:p w:rsidR="00446259" w:rsidRDefault="001731AC" w:rsidP="001731AC">
      <w:pPr>
        <w:pStyle w:val="Caption"/>
        <w:ind w:left="426" w:right="509"/>
        <w:jc w:val="both"/>
        <w:rPr>
          <w:rFonts w:ascii="Perpetua" w:hAnsi="Perpetua"/>
          <w:b w:val="0"/>
          <w:color w:val="auto"/>
          <w:sz w:val="20"/>
          <w:szCs w:val="20"/>
        </w:rPr>
      </w:pPr>
      <w:bookmarkStart w:id="830" w:name="_Toc263509082"/>
      <w:bookmarkStart w:id="831" w:name="_Toc263510869"/>
      <w:bookmarkStart w:id="832" w:name="_Toc244577347"/>
      <w:bookmarkStart w:id="833" w:name="_Toc263495816"/>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85</w:t>
      </w:r>
      <w:r w:rsidR="00DF2DF8" w:rsidRPr="00446259">
        <w:rPr>
          <w:rFonts w:ascii="Perpetua" w:hAnsi="Perpetua"/>
          <w:b w:val="0"/>
          <w:color w:val="auto"/>
          <w:sz w:val="20"/>
        </w:rPr>
        <w:fldChar w:fldCharType="end"/>
      </w:r>
      <w:r w:rsidR="00A371B8" w:rsidRPr="00446259">
        <w:rPr>
          <w:rFonts w:ascii="Perpetua" w:hAnsi="Perpetua"/>
          <w:b w:val="0"/>
          <w:color w:val="auto"/>
          <w:sz w:val="20"/>
          <w:szCs w:val="20"/>
        </w:rPr>
        <w:t>:</w:t>
      </w:r>
      <w:r w:rsidR="00A371B8" w:rsidRPr="001731AC">
        <w:rPr>
          <w:rFonts w:ascii="Perpetua" w:hAnsi="Perpetua"/>
          <w:b w:val="0"/>
          <w:color w:val="auto"/>
          <w:sz w:val="20"/>
          <w:szCs w:val="20"/>
        </w:rPr>
        <w:t xml:space="preserve"> </w:t>
      </w:r>
      <w:r w:rsidR="00446259" w:rsidRPr="00446259">
        <w:rPr>
          <w:rFonts w:ascii="Perpetua" w:hAnsi="Perpetua"/>
          <w:b w:val="0"/>
          <w:color w:val="auto"/>
          <w:sz w:val="20"/>
          <w:szCs w:val="20"/>
        </w:rPr>
        <w:t xml:space="preserve">Photograph of </w:t>
      </w:r>
      <w:r w:rsidR="00A371B8" w:rsidRPr="00446259">
        <w:rPr>
          <w:rFonts w:ascii="Perpetua" w:hAnsi="Perpetua"/>
          <w:b w:val="0"/>
          <w:color w:val="auto"/>
          <w:sz w:val="20"/>
          <w:szCs w:val="20"/>
        </w:rPr>
        <w:t>BOA activists Rita Isaacs-Jonathan and Esau du Plessis at a 1977 bu</w:t>
      </w:r>
      <w:r w:rsidRPr="00446259">
        <w:rPr>
          <w:rFonts w:ascii="Perpetua" w:hAnsi="Perpetua"/>
          <w:b w:val="0"/>
          <w:color w:val="auto"/>
          <w:sz w:val="20"/>
          <w:szCs w:val="20"/>
        </w:rPr>
        <w:t>s tour e</w:t>
      </w:r>
      <w:r>
        <w:rPr>
          <w:rFonts w:ascii="Perpetua" w:hAnsi="Perpetua"/>
          <w:b w:val="0"/>
          <w:color w:val="auto"/>
          <w:sz w:val="20"/>
          <w:szCs w:val="20"/>
        </w:rPr>
        <w:t>vent in Leiden.</w:t>
      </w:r>
      <w:bookmarkEnd w:id="830"/>
      <w:bookmarkEnd w:id="831"/>
      <w:r>
        <w:rPr>
          <w:rFonts w:ascii="Perpetua" w:hAnsi="Perpetua"/>
          <w:b w:val="0"/>
          <w:color w:val="auto"/>
          <w:sz w:val="20"/>
          <w:szCs w:val="20"/>
        </w:rPr>
        <w:t xml:space="preserve"> </w:t>
      </w:r>
    </w:p>
    <w:p w:rsidR="00A371B8" w:rsidRPr="00446259" w:rsidRDefault="001731AC" w:rsidP="00446259">
      <w:pPr>
        <w:ind w:left="426"/>
        <w:rPr>
          <w:rFonts w:ascii="Perpetua" w:hAnsi="Perpetua"/>
          <w:sz w:val="20"/>
        </w:rPr>
      </w:pPr>
      <w:r w:rsidRPr="00446259">
        <w:rPr>
          <w:rFonts w:ascii="Perpetua" w:hAnsi="Perpetua"/>
          <w:sz w:val="20"/>
        </w:rPr>
        <w:t>The day-</w:t>
      </w:r>
      <w:r w:rsidR="00A371B8" w:rsidRPr="00446259">
        <w:rPr>
          <w:rFonts w:ascii="Perpetua" w:hAnsi="Perpetua"/>
          <w:sz w:val="20"/>
        </w:rPr>
        <w:t>long anti-apartheid actions became a prototype for fifty substantial urban campaigns conducted between 1979 and 1990.</w:t>
      </w:r>
      <w:bookmarkEnd w:id="832"/>
      <w:bookmarkEnd w:id="833"/>
    </w:p>
    <w:p w:rsidR="00A371B8" w:rsidRPr="00F01B96" w:rsidRDefault="00A371B8" w:rsidP="00A371B8">
      <w:pPr>
        <w:autoSpaceDE w:val="0"/>
        <w:autoSpaceDN w:val="0"/>
        <w:adjustRightInd w:val="0"/>
        <w:spacing w:after="0" w:line="360" w:lineRule="auto"/>
        <w:rPr>
          <w:rFonts w:ascii="Garamond" w:hAnsi="Garamond"/>
          <w:b/>
          <w:i/>
          <w:szCs w:val="24"/>
        </w:rPr>
      </w:pPr>
      <w:r w:rsidRPr="00F01B96">
        <w:rPr>
          <w:rFonts w:ascii="Garamond" w:hAnsi="Garamond"/>
          <w:b/>
          <w:i/>
          <w:szCs w:val="24"/>
        </w:rPr>
        <w:lastRenderedPageBreak/>
        <w:t>Contesting proximate whiteness: The urban Campaigns and Leiden Against Apartheid (1979)</w:t>
      </w:r>
    </w:p>
    <w:p w:rsidR="00A371B8" w:rsidRPr="002650CB" w:rsidRDefault="00A371B8" w:rsidP="00A371B8">
      <w:pPr>
        <w:autoSpaceDE w:val="0"/>
        <w:autoSpaceDN w:val="0"/>
        <w:adjustRightInd w:val="0"/>
        <w:spacing w:after="0" w:line="360" w:lineRule="auto"/>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In this section I consider the types of solidarities the BOA practiced through their urban campaign, Leiden Against Apartheid. Following the second bus caravan the BOA decided that their grassroots campaigns required improved planning and a weaving together of different sectors of everyday cultural,</w:t>
      </w:r>
      <w:r>
        <w:rPr>
          <w:rFonts w:ascii="Garamond" w:hAnsi="Garamond"/>
          <w:sz w:val="24"/>
          <w:szCs w:val="24"/>
        </w:rPr>
        <w:t xml:space="preserve"> religious and political life. I</w:t>
      </w:r>
      <w:r w:rsidRPr="002650CB">
        <w:rPr>
          <w:rFonts w:ascii="Garamond" w:hAnsi="Garamond"/>
          <w:sz w:val="24"/>
          <w:szCs w:val="24"/>
        </w:rPr>
        <w:t>gnorant and</w:t>
      </w:r>
      <w:r>
        <w:rPr>
          <w:rFonts w:ascii="Garamond" w:hAnsi="Garamond"/>
          <w:sz w:val="24"/>
          <w:szCs w:val="24"/>
        </w:rPr>
        <w:t xml:space="preserve"> occasionally</w:t>
      </w:r>
      <w:r w:rsidRPr="002650CB">
        <w:rPr>
          <w:rFonts w:ascii="Garamond" w:hAnsi="Garamond"/>
          <w:sz w:val="24"/>
          <w:szCs w:val="24"/>
        </w:rPr>
        <w:t xml:space="preserve"> malevolent response</w:t>
      </w:r>
      <w:r>
        <w:rPr>
          <w:rFonts w:ascii="Garamond" w:hAnsi="Garamond"/>
          <w:sz w:val="24"/>
          <w:szCs w:val="24"/>
        </w:rPr>
        <w:t>s</w:t>
      </w:r>
      <w:r w:rsidRPr="002650CB">
        <w:rPr>
          <w:rFonts w:ascii="Garamond" w:hAnsi="Garamond"/>
          <w:sz w:val="24"/>
          <w:szCs w:val="24"/>
        </w:rPr>
        <w:t xml:space="preserve"> from the public and municipalities towards BOA activists in the "black stockings area"</w:t>
      </w:r>
      <w:r w:rsidRPr="002650CB">
        <w:rPr>
          <w:rStyle w:val="FootnoteReference"/>
          <w:rFonts w:ascii="Garamond" w:hAnsi="Garamond"/>
          <w:sz w:val="24"/>
          <w:szCs w:val="24"/>
        </w:rPr>
        <w:footnoteReference w:id="276"/>
      </w:r>
      <w:r w:rsidRPr="002650CB">
        <w:rPr>
          <w:rFonts w:ascii="Garamond" w:hAnsi="Garamond"/>
          <w:sz w:val="24"/>
          <w:szCs w:val="24"/>
        </w:rPr>
        <w:t xml:space="preserve"> during the bus tours, convinced du Plessis that apathy towards racism and apartheid were not uncommon, and that short-term actions combating racism did not work to change embedded racist attitudes. The bus tours were limited in their ability to make new activists, to enable a type of transformative solidarity through engaging disparate people and organizations (Featherstone, 2012; Brown </w:t>
      </w:r>
      <w:r w:rsidR="00F152DB">
        <w:rPr>
          <w:rFonts w:ascii="Garamond" w:hAnsi="Garamond"/>
          <w:sz w:val="24"/>
          <w:szCs w:val="24"/>
        </w:rPr>
        <w:t>and</w:t>
      </w:r>
      <w:r w:rsidRPr="002650CB">
        <w:rPr>
          <w:rFonts w:ascii="Garamond" w:hAnsi="Garamond"/>
          <w:sz w:val="24"/>
          <w:szCs w:val="24"/>
        </w:rPr>
        <w:t xml:space="preserve"> Yaffe, 2013). The BOA decided that cultural, political, and religious organizations and social movements should to be co-opted and consulted over time, and perceptual </w:t>
      </w:r>
      <w:r>
        <w:rPr>
          <w:rFonts w:ascii="Garamond" w:hAnsi="Garamond"/>
          <w:sz w:val="24"/>
          <w:szCs w:val="24"/>
        </w:rPr>
        <w:t>change needed to be initiated at a structural level:</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ind w:left="284" w:right="284"/>
        <w:jc w:val="both"/>
        <w:rPr>
          <w:rFonts w:ascii="Garamond" w:hAnsi="Garamond"/>
          <w:shd w:val="clear" w:color="auto" w:fill="FFFFFF"/>
        </w:rPr>
      </w:pPr>
      <w:r w:rsidRPr="002650CB">
        <w:rPr>
          <w:rFonts w:ascii="Garamond" w:hAnsi="Garamond"/>
        </w:rPr>
        <w:t xml:space="preserve">The two bus campaigns, in two consecutive years...we found they were too superficial. We visited a certain city with activities during the day, music groups and other activities at night - a cultural evening, or a manifestation like theatre. And then we moved onto another city. It was received positively by the local people and the political parties left of centre. But we didn't succeed in mobilizing or activating new people. It was more or less preaching to the converted. </w:t>
      </w:r>
      <w:r w:rsidRPr="002650CB">
        <w:rPr>
          <w:rFonts w:ascii="Garamond" w:hAnsi="Garamond"/>
          <w:shd w:val="clear" w:color="auto" w:fill="FFFFFF"/>
        </w:rPr>
        <w:t>A tendency which seems deeply rooted in European culture is to compartmentalize racism. Every effort should be made to involve the uninterested and the uninvolved. To start with, most comfortable and self-sufficient people do not seem to think at all. Indifference (apathy) is the order of the day...An urban campaign involves a great deal of creative and unorthodox work...An urban campaign if properly understood and properly implemented, is, therefore, also directed at bringing a change in</w:t>
      </w:r>
      <w:r>
        <w:rPr>
          <w:rFonts w:ascii="Garamond" w:hAnsi="Garamond"/>
          <w:shd w:val="clear" w:color="auto" w:fill="FFFFFF"/>
        </w:rPr>
        <w:t xml:space="preserve"> the mentality in Europe itself (du Plessis, 1988a, 6-8).</w:t>
      </w:r>
    </w:p>
    <w:p w:rsidR="00A371B8" w:rsidRDefault="00A371B8" w:rsidP="00A371B8">
      <w:pPr>
        <w:autoSpaceDE w:val="0"/>
        <w:autoSpaceDN w:val="0"/>
        <w:adjustRightInd w:val="0"/>
        <w:spacing w:after="0" w:line="360" w:lineRule="auto"/>
        <w:ind w:left="284" w:right="284"/>
        <w:jc w:val="both"/>
        <w:rPr>
          <w:rFonts w:ascii="Garamond" w:hAnsi="Garamond"/>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rPr>
      </w:pPr>
      <w:r w:rsidRPr="002650CB">
        <w:rPr>
          <w:rFonts w:ascii="Garamond" w:hAnsi="Garamond"/>
          <w:sz w:val="24"/>
          <w:szCs w:val="24"/>
        </w:rPr>
        <w:t xml:space="preserve">Through the years 1979-90 the BOA organized campaigns in fifty-five towns in Holland with the explicit aim of cultivating a network of antiracist activists, and setting up the </w:t>
      </w:r>
      <w:r w:rsidRPr="002650CB">
        <w:rPr>
          <w:rFonts w:ascii="Garamond" w:hAnsi="Garamond"/>
          <w:sz w:val="24"/>
          <w:szCs w:val="24"/>
        </w:rPr>
        <w:lastRenderedPageBreak/>
        <w:t>infrastructure for autonomous antiracist organizations (interview Veerman, 2011).</w:t>
      </w:r>
      <w:r w:rsidRPr="002650CB">
        <w:rPr>
          <w:rStyle w:val="FootnoteReference"/>
          <w:rFonts w:ascii="Garamond" w:hAnsi="Garamond"/>
          <w:sz w:val="24"/>
          <w:szCs w:val="24"/>
        </w:rPr>
        <w:footnoteReference w:id="277"/>
      </w:r>
      <w:r w:rsidRPr="002650CB">
        <w:rPr>
          <w:rFonts w:ascii="Garamond" w:hAnsi="Garamond"/>
          <w:sz w:val="24"/>
          <w:szCs w:val="24"/>
        </w:rPr>
        <w:t xml:space="preserve"> The preparation for each urban campaign began a year before the allocated weeks of acti</w:t>
      </w:r>
      <w:r>
        <w:rPr>
          <w:rFonts w:ascii="Garamond" w:hAnsi="Garamond"/>
          <w:sz w:val="24"/>
          <w:szCs w:val="24"/>
        </w:rPr>
        <w:t>on. Central to the process were</w:t>
      </w:r>
      <w:r w:rsidRPr="002650CB">
        <w:rPr>
          <w:rFonts w:ascii="Garamond" w:hAnsi="Garamond"/>
          <w:sz w:val="24"/>
          <w:szCs w:val="24"/>
        </w:rPr>
        <w:t xml:space="preserve"> the formation of different cultural, religious, political and labour-based groups against apartheid and racism:</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inhabitants of the various cities are divided into a number of target groups like political parties, trade unions, schools, churches, women's groups, artists, poets and authors...and a local organizationa</w:t>
      </w:r>
      <w:r>
        <w:rPr>
          <w:rFonts w:ascii="Garamond" w:hAnsi="Garamond"/>
        </w:rPr>
        <w:t>l committee formed in each city. (du Plessis, 1988a: 2)</w:t>
      </w:r>
    </w:p>
    <w:p w:rsidR="00A371B8" w:rsidRPr="002650CB" w:rsidRDefault="00A371B8" w:rsidP="00A371B8">
      <w:pPr>
        <w:autoSpaceDE w:val="0"/>
        <w:autoSpaceDN w:val="0"/>
        <w:adjustRightInd w:val="0"/>
        <w:spacing w:after="0" w:line="360" w:lineRule="auto"/>
        <w:rPr>
          <w:rFonts w:ascii="Garamond" w:hAnsi="Garamond"/>
          <w:i/>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The first campaign, Leiden Against Apartheid was held for three weeks over December 1979. </w:t>
      </w:r>
      <w:r w:rsidRPr="002650CB">
        <w:rPr>
          <w:rFonts w:ascii="Garamond" w:hAnsi="Garamond"/>
          <w:sz w:val="24"/>
          <w:szCs w:val="24"/>
          <w:shd w:val="clear" w:color="auto" w:fill="FFFFFF"/>
        </w:rPr>
        <w:t>In March 1979, the BOA set up a Leiden working committee to identify and coalesce with different target groups (</w:t>
      </w:r>
      <w:r w:rsidRPr="002650CB">
        <w:rPr>
          <w:rFonts w:ascii="Garamond" w:hAnsi="Garamond"/>
          <w:i/>
          <w:sz w:val="24"/>
          <w:szCs w:val="24"/>
          <w:shd w:val="clear" w:color="auto" w:fill="FFFFFF"/>
        </w:rPr>
        <w:t>Abschlußbericht der Aktion,</w:t>
      </w:r>
      <w:r w:rsidRPr="002650CB">
        <w:rPr>
          <w:rFonts w:ascii="Garamond" w:hAnsi="Garamond"/>
          <w:sz w:val="24"/>
          <w:szCs w:val="24"/>
          <w:shd w:val="clear" w:color="auto" w:fill="FFFFFF"/>
        </w:rPr>
        <w:t xml:space="preserve"> 1980). Over the year, this committee met eleven times and a dozen groups were augmented; all their names ended with the suffix 'against apartheid' (political parties against apartheid, trade unions, schools, churches, women, artists, writers, poets, actors, community workers, libraries and cafes).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Leiden Against Apartheid</w:t>
      </w:r>
      <w:r w:rsidRPr="002650CB">
        <w:rPr>
          <w:rFonts w:ascii="Garamond" w:hAnsi="Garamond"/>
          <w:sz w:val="24"/>
          <w:szCs w:val="24"/>
        </w:rPr>
        <w:t xml:space="preserve"> built on the publicity of the Outspan boycott and its tropes of complicity to contest the white separation of apartheid and racism in proximate contexts across everyday forms of consumption and production. The campaign constructed places and events of contact and connection, and a 'politics of propinquity' (Amin, 2002), that sought to interrupt the smooth demarcation of racialized space to create reflexivity among the public, and imbricate the Dutch in processes of racializ</w:t>
      </w:r>
      <w:r>
        <w:rPr>
          <w:rFonts w:ascii="Garamond" w:hAnsi="Garamond"/>
          <w:sz w:val="24"/>
          <w:szCs w:val="24"/>
        </w:rPr>
        <w:t xml:space="preserve">ation and apartheid. </w:t>
      </w:r>
      <w:r w:rsidRPr="002650CB">
        <w:rPr>
          <w:rFonts w:ascii="Garamond" w:hAnsi="Garamond"/>
          <w:sz w:val="24"/>
          <w:szCs w:val="24"/>
        </w:rPr>
        <w:t>Combating the formation of white identity meant situating Dutch culture, economy and politics in relational geographies of power</w:t>
      </w:r>
      <w:r>
        <w:rPr>
          <w:rFonts w:ascii="Garamond" w:hAnsi="Garamond"/>
          <w:sz w:val="24"/>
          <w:szCs w:val="24"/>
        </w:rPr>
        <w:t>. In an English report of the urban campaigns du Plessis candidly remarks,</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Pr>
          <w:rFonts w:ascii="Garamond" w:hAnsi="Garamond"/>
        </w:rPr>
        <w:t>t</w:t>
      </w:r>
      <w:r w:rsidRPr="002650CB">
        <w:rPr>
          <w:rFonts w:ascii="Garamond" w:hAnsi="Garamond"/>
        </w:rPr>
        <w:t>he average Dutch person considers South Africa, North America, and other countries as racist, but not themselves...A South African Xhosa proverb is particularly relevant in this regard: 'a sku</w:t>
      </w:r>
      <w:r>
        <w:rPr>
          <w:rFonts w:ascii="Garamond" w:hAnsi="Garamond"/>
        </w:rPr>
        <w:t xml:space="preserve">nk cannot smell its own stink'. </w:t>
      </w:r>
      <w:r w:rsidRPr="002650CB">
        <w:rPr>
          <w:rFonts w:ascii="Garamond" w:hAnsi="Garamond"/>
        </w:rPr>
        <w:t>(du Plessis, 1988</w:t>
      </w:r>
      <w:r>
        <w:rPr>
          <w:rFonts w:ascii="Garamond" w:hAnsi="Garamond"/>
        </w:rPr>
        <w:t>a</w:t>
      </w:r>
      <w:r w:rsidRPr="002650CB">
        <w:rPr>
          <w:rFonts w:ascii="Garamond" w:hAnsi="Garamond"/>
        </w:rPr>
        <w:t>: 2)</w:t>
      </w:r>
      <w:r w:rsidRPr="002650CB">
        <w:rPr>
          <w:rStyle w:val="FootnoteReference"/>
          <w:rFonts w:ascii="Garamond" w:hAnsi="Garamond"/>
        </w:rPr>
        <w:footnoteReference w:id="278"/>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 xml:space="preserve">In other words, the BOA set out to make Dutch racism visible, detectable and felt by the senses. </w:t>
      </w:r>
      <w:r w:rsidRPr="002650CB">
        <w:rPr>
          <w:rFonts w:ascii="Garamond" w:hAnsi="Garamond"/>
          <w:sz w:val="24"/>
          <w:szCs w:val="24"/>
        </w:rPr>
        <w:t>Dutch racism</w:t>
      </w:r>
      <w:r>
        <w:rPr>
          <w:rFonts w:ascii="Garamond" w:hAnsi="Garamond"/>
          <w:sz w:val="24"/>
          <w:szCs w:val="24"/>
        </w:rPr>
        <w:t xml:space="preserve"> needed to be excavated from 'underground' and brought up into </w:t>
      </w:r>
      <w:r w:rsidRPr="002650CB">
        <w:rPr>
          <w:rFonts w:ascii="Garamond" w:hAnsi="Garamond"/>
          <w:sz w:val="24"/>
          <w:szCs w:val="24"/>
        </w:rPr>
        <w:t>the public re</w:t>
      </w:r>
      <w:r>
        <w:rPr>
          <w:rFonts w:ascii="Garamond" w:hAnsi="Garamond"/>
          <w:sz w:val="24"/>
          <w:szCs w:val="24"/>
        </w:rPr>
        <w:t xml:space="preserve">alm for discussion and debate. </w:t>
      </w:r>
      <w:r w:rsidRPr="002650CB">
        <w:rPr>
          <w:rFonts w:ascii="Garamond" w:hAnsi="Garamond"/>
          <w:sz w:val="24"/>
          <w:szCs w:val="24"/>
        </w:rPr>
        <w:t>Leiden Agains</w:t>
      </w:r>
      <w:r>
        <w:rPr>
          <w:rFonts w:ascii="Garamond" w:hAnsi="Garamond"/>
          <w:sz w:val="24"/>
          <w:szCs w:val="24"/>
        </w:rPr>
        <w:t>t Apartheid</w:t>
      </w:r>
      <w:r w:rsidRPr="002650CB">
        <w:rPr>
          <w:rFonts w:ascii="Garamond" w:hAnsi="Garamond"/>
          <w:sz w:val="24"/>
          <w:szCs w:val="24"/>
        </w:rPr>
        <w:t xml:space="preserve"> aimed to create the conditions for this to </w:t>
      </w:r>
      <w:r>
        <w:rPr>
          <w:rFonts w:ascii="Garamond" w:hAnsi="Garamond"/>
          <w:sz w:val="24"/>
          <w:szCs w:val="24"/>
        </w:rPr>
        <w:t>arise. The BOA aimed to nurture</w:t>
      </w:r>
      <w:r w:rsidRPr="002650CB">
        <w:rPr>
          <w:rFonts w:ascii="Garamond" w:hAnsi="Garamond"/>
          <w:sz w:val="24"/>
          <w:szCs w:val="24"/>
        </w:rPr>
        <w:t xml:space="preserve"> an infor</w:t>
      </w:r>
      <w:r>
        <w:rPr>
          <w:rFonts w:ascii="Garamond" w:hAnsi="Garamond"/>
          <w:sz w:val="24"/>
          <w:szCs w:val="24"/>
        </w:rPr>
        <w:t>mal and convivial atmosphere across Leiden during the three week period. Cafe's Against Apartheid</w:t>
      </w:r>
      <w:r w:rsidRPr="002650CB">
        <w:rPr>
          <w:rFonts w:ascii="Garamond" w:hAnsi="Garamond"/>
          <w:sz w:val="24"/>
          <w:szCs w:val="24"/>
        </w:rPr>
        <w:t xml:space="preserve"> arranged a schedule of musicians and poets to tour Leiden's places of eating, drinking and </w:t>
      </w:r>
      <w:r>
        <w:rPr>
          <w:rFonts w:ascii="Garamond" w:hAnsi="Garamond"/>
          <w:sz w:val="24"/>
          <w:szCs w:val="24"/>
        </w:rPr>
        <w:t>socializing</w:t>
      </w:r>
      <w:r w:rsidRPr="002650CB">
        <w:rPr>
          <w:rFonts w:ascii="Garamond" w:hAnsi="Garamond"/>
          <w:sz w:val="24"/>
          <w:szCs w:val="24"/>
        </w:rPr>
        <w:t xml:space="preserve">. </w:t>
      </w:r>
      <w:r w:rsidRPr="002650CB">
        <w:rPr>
          <w:rFonts w:ascii="Garamond" w:hAnsi="Garamond"/>
          <w:sz w:val="24"/>
          <w:szCs w:val="24"/>
          <w:shd w:val="clear" w:color="auto" w:fill="FFFFFF"/>
        </w:rPr>
        <w:t>A street-level convivial culture was fostered</w:t>
      </w:r>
      <w:r>
        <w:rPr>
          <w:rFonts w:ascii="Garamond" w:hAnsi="Garamond"/>
          <w:sz w:val="24"/>
          <w:szCs w:val="24"/>
          <w:shd w:val="clear" w:color="auto" w:fill="FFFFFF"/>
        </w:rPr>
        <w:t>. BOA enthusiasts from Germany recorded the lukewarm reception</w:t>
      </w:r>
      <w:r w:rsidRPr="002650CB">
        <w:rPr>
          <w:rFonts w:ascii="Garamond" w:hAnsi="Garamond"/>
          <w:sz w:val="24"/>
          <w:szCs w:val="24"/>
        </w:rPr>
        <w:t xml:space="preserve"> </w:t>
      </w:r>
      <w:r>
        <w:rPr>
          <w:rFonts w:ascii="Garamond" w:hAnsi="Garamond"/>
          <w:sz w:val="24"/>
          <w:szCs w:val="24"/>
        </w:rPr>
        <w:t>for engaging in discussions on racism among the Dutch public:</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The cafes and other places during the performances were well-attended. The audience was hardly receptive to talking about racism, but musical performa</w:t>
      </w:r>
      <w:r>
        <w:rPr>
          <w:rFonts w:ascii="Garamond" w:hAnsi="Garamond"/>
        </w:rPr>
        <w:t>nces afforded an entry point...The experience demonstrates that in the spontaneous and relaxed atmosphere, which comes about in such situations, the latent racisms held by otherwise politically correct and careful Dutch people, begins to bubble up, but here at least the racisms is open to discussion.</w:t>
      </w:r>
      <w:r w:rsidRPr="009601FE">
        <w:rPr>
          <w:rFonts w:ascii="Garamond" w:eastAsia="BatangChe" w:hAnsi="Garamond"/>
        </w:rPr>
        <w:t xml:space="preserve"> </w:t>
      </w:r>
      <w:r w:rsidRPr="009601FE">
        <w:rPr>
          <w:rFonts w:ascii="Garamond" w:eastAsia="BatangChe" w:hAnsi="Garamond"/>
          <w:shd w:val="clear" w:color="auto" w:fill="FFFFFF"/>
        </w:rPr>
        <w:t xml:space="preserve"> </w:t>
      </w:r>
      <w:r>
        <w:rPr>
          <w:rFonts w:ascii="Garamond" w:eastAsia="BatangChe" w:hAnsi="Garamond"/>
          <w:shd w:val="clear" w:color="auto" w:fill="FFFFFF"/>
        </w:rPr>
        <w:t>(</w:t>
      </w:r>
      <w:r w:rsidRPr="009601FE">
        <w:rPr>
          <w:rFonts w:ascii="Garamond" w:eastAsia="BatangChe" w:hAnsi="Garamond"/>
          <w:i/>
          <w:shd w:val="clear" w:color="auto" w:fill="FFFFFF"/>
        </w:rPr>
        <w:t>Abschlußbericht der Aktion,</w:t>
      </w:r>
      <w:r w:rsidRPr="009601FE">
        <w:rPr>
          <w:rFonts w:ascii="Garamond" w:eastAsia="BatangChe" w:hAnsi="Garamond"/>
          <w:shd w:val="clear" w:color="auto" w:fill="FFFFFF"/>
        </w:rPr>
        <w:t xml:space="preserve"> 1980: 16).</w:t>
      </w:r>
      <w:r>
        <w:rPr>
          <w:rStyle w:val="FootnoteReference"/>
          <w:rFonts w:ascii="Garamond" w:eastAsia="BatangChe" w:hAnsi="Garamond"/>
          <w:shd w:val="clear" w:color="auto" w:fill="FFFFFF"/>
        </w:rPr>
        <w:footnoteReference w:id="279"/>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Music, art and consumption were utilized to conjoin local traditions, conviviality and antiracist pedagogy. The exiled South African musician, Brian Isaacs visited from Sweden to perform in Leiden's pubs during the three weeks of action. The Mayibuye Collective, Jubula, Judith de Kom and Zapata were also hosted b</w:t>
      </w:r>
      <w:r>
        <w:rPr>
          <w:rFonts w:ascii="Garamond" w:hAnsi="Garamond"/>
          <w:sz w:val="24"/>
          <w:szCs w:val="24"/>
        </w:rPr>
        <w:t>y cafes and bars across Leiden</w:t>
      </w:r>
      <w:r w:rsidRPr="002650CB">
        <w:rPr>
          <w:rFonts w:ascii="Garamond" w:hAnsi="Garamond"/>
          <w:sz w:val="24"/>
          <w:szCs w:val="24"/>
        </w:rPr>
        <w:t>. Leiden's Women's Orchestra performed four times across December; they combined Leiden-based music themes with anti-apartheid battle</w:t>
      </w:r>
      <w:r>
        <w:rPr>
          <w:rFonts w:ascii="Garamond" w:hAnsi="Garamond"/>
          <w:sz w:val="24"/>
          <w:szCs w:val="24"/>
        </w:rPr>
        <w:t xml:space="preserve"> songs (ibid: 1980). The group Artists Against Apartheid</w:t>
      </w:r>
      <w:r w:rsidRPr="002650CB">
        <w:rPr>
          <w:rFonts w:ascii="Garamond" w:hAnsi="Garamond"/>
          <w:sz w:val="24"/>
          <w:szCs w:val="24"/>
        </w:rPr>
        <w:t xml:space="preserve"> hosted an exhibition in the culturally significant 'De Waag' (</w:t>
      </w:r>
      <w:r>
        <w:rPr>
          <w:rFonts w:ascii="Garamond" w:hAnsi="Garamond"/>
          <w:sz w:val="24"/>
          <w:szCs w:val="24"/>
        </w:rPr>
        <w:t>'the weighing house', or corn exchange as it might be known to English speakers</w:t>
      </w:r>
      <w:r w:rsidRPr="002650CB">
        <w:rPr>
          <w:rFonts w:ascii="Garamond" w:hAnsi="Garamond"/>
          <w:sz w:val="24"/>
          <w:szCs w:val="24"/>
        </w:rPr>
        <w:t>). Exiled South African artists Gavin Jantjes and Lefifi Tladi exhibited several artworks alongside work by seventeen local artists: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 xml:space="preserve">They were asked to present work at the art exhibitions; they came to Leiden to be physically present, but then they left very important material, their own work, to the BOA. </w:t>
      </w:r>
      <w:r w:rsidRPr="002650CB">
        <w:rPr>
          <w:rFonts w:ascii="Garamond" w:hAnsi="Garamond"/>
        </w:rPr>
        <w:lastRenderedPageBreak/>
        <w:t>Material that we used in other urban campaigns and exhibitions, and</w:t>
      </w:r>
      <w:r>
        <w:rPr>
          <w:rFonts w:ascii="Garamond" w:hAnsi="Garamond"/>
        </w:rPr>
        <w:t xml:space="preserve"> th</w:t>
      </w:r>
      <w:r w:rsidR="00D04F1F">
        <w:rPr>
          <w:rFonts w:ascii="Garamond" w:hAnsi="Garamond"/>
        </w:rPr>
        <w:t>at was very gracious of them. (I</w:t>
      </w:r>
      <w:r>
        <w:rPr>
          <w:rFonts w:ascii="Garamond" w:hAnsi="Garamond"/>
        </w:rPr>
        <w:t>nterview du Plessis, 2013)</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7E10F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w:t>
      </w:r>
      <w:r>
        <w:rPr>
          <w:rFonts w:ascii="Garamond" w:hAnsi="Garamond"/>
          <w:sz w:val="24"/>
          <w:szCs w:val="24"/>
        </w:rPr>
        <w:t>he exhibition organized by the Artists Against Apartheid co-ordinated with the Trade Unions Against Apartheid</w:t>
      </w:r>
      <w:r w:rsidRPr="002650CB">
        <w:rPr>
          <w:rFonts w:ascii="Garamond" w:hAnsi="Garamond"/>
          <w:sz w:val="24"/>
          <w:szCs w:val="24"/>
        </w:rPr>
        <w:t xml:space="preserve"> to showcase art based around solidarity with SACTU and the exploitation o</w:t>
      </w:r>
      <w:r w:rsidR="0048108D">
        <w:rPr>
          <w:rFonts w:ascii="Garamond" w:hAnsi="Garamond"/>
          <w:sz w:val="24"/>
          <w:szCs w:val="24"/>
        </w:rPr>
        <w:t>f South African labour (see Figure 86</w:t>
      </w:r>
      <w:r w:rsidRPr="002650CB">
        <w:rPr>
          <w:rFonts w:ascii="Garamond" w:hAnsi="Garamond"/>
          <w:sz w:val="24"/>
          <w:szCs w:val="24"/>
        </w:rPr>
        <w:t>). The art was offered for sale with the proceeds raising funds for SACTU and the ANC</w:t>
      </w:r>
      <w:r>
        <w:rPr>
          <w:rFonts w:ascii="Garamond" w:hAnsi="Garamond"/>
          <w:sz w:val="24"/>
          <w:szCs w:val="24"/>
        </w:rPr>
        <w:t>.</w:t>
      </w:r>
    </w:p>
    <w:p w:rsidR="007E10FB" w:rsidRDefault="007E10FB" w:rsidP="00A371B8">
      <w:pPr>
        <w:autoSpaceDE w:val="0"/>
        <w:autoSpaceDN w:val="0"/>
        <w:adjustRightInd w:val="0"/>
        <w:spacing w:after="0" w:line="360" w:lineRule="auto"/>
        <w:jc w:val="both"/>
        <w:rPr>
          <w:rFonts w:ascii="Garamond" w:hAnsi="Garamond"/>
          <w:sz w:val="24"/>
          <w:szCs w:val="24"/>
        </w:rPr>
      </w:pPr>
    </w:p>
    <w:p w:rsidR="00A371B8" w:rsidRPr="00B27C0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ind w:left="284" w:right="284"/>
        <w:jc w:val="both"/>
        <w:rPr>
          <w:rFonts w:ascii="Garamond" w:hAnsi="Garamond"/>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3927"/>
        <w:gridCol w:w="99"/>
        <w:gridCol w:w="4496"/>
      </w:tblGrid>
      <w:tr w:rsidR="00A371B8">
        <w:tc>
          <w:tcPr>
            <w:tcW w:w="4272" w:type="dxa"/>
            <w:gridSpan w:val="2"/>
          </w:tcPr>
          <w:p w:rsidR="00446259" w:rsidRPr="00446259" w:rsidRDefault="00462E99" w:rsidP="00446259">
            <w:pPr>
              <w:pStyle w:val="Caption"/>
              <w:rPr>
                <w:rFonts w:ascii="Perpetua" w:hAnsi="Perpetua"/>
                <w:b w:val="0"/>
                <w:color w:val="auto"/>
                <w:sz w:val="20"/>
              </w:rPr>
            </w:pPr>
            <w:bookmarkStart w:id="834" w:name="_Toc263509083"/>
            <w:bookmarkStart w:id="835" w:name="_Toc263510870"/>
            <w:bookmarkStart w:id="836" w:name="_Toc244577348"/>
            <w:bookmarkStart w:id="837" w:name="_Toc263495817"/>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86</w:t>
            </w:r>
            <w:r w:rsidR="00DF2DF8" w:rsidRPr="00446259">
              <w:rPr>
                <w:rFonts w:ascii="Perpetua" w:hAnsi="Perpetua"/>
                <w:b w:val="0"/>
                <w:color w:val="auto"/>
                <w:sz w:val="20"/>
              </w:rPr>
              <w:fldChar w:fldCharType="end"/>
            </w:r>
            <w:r w:rsidRPr="00446259">
              <w:rPr>
                <w:rFonts w:ascii="Perpetua" w:hAnsi="Perpetua"/>
                <w:b w:val="0"/>
                <w:color w:val="auto"/>
                <w:sz w:val="20"/>
              </w:rPr>
              <w:t xml:space="preserve">: </w:t>
            </w:r>
            <w:r w:rsidR="00A371B8" w:rsidRPr="00446259">
              <w:rPr>
                <w:rFonts w:ascii="Perpetua" w:hAnsi="Perpetua"/>
                <w:b w:val="0"/>
                <w:color w:val="auto"/>
                <w:sz w:val="20"/>
              </w:rPr>
              <w:t>1979 poster advertising the programme and activities for the BOA's first urban cam</w:t>
            </w:r>
            <w:r w:rsidR="00446259" w:rsidRPr="00446259">
              <w:rPr>
                <w:rFonts w:ascii="Perpetua" w:hAnsi="Perpetua"/>
                <w:b w:val="0"/>
                <w:color w:val="auto"/>
                <w:sz w:val="20"/>
              </w:rPr>
              <w:t>paign, Leiden Against Apartheid.</w:t>
            </w:r>
            <w:bookmarkEnd w:id="834"/>
            <w:bookmarkEnd w:id="835"/>
          </w:p>
          <w:p w:rsidR="00446259" w:rsidRDefault="00446259" w:rsidP="00462E99">
            <w:pPr>
              <w:autoSpaceDE w:val="0"/>
              <w:autoSpaceDN w:val="0"/>
              <w:adjustRightInd w:val="0"/>
              <w:spacing w:after="0" w:line="240" w:lineRule="auto"/>
              <w:jc w:val="both"/>
              <w:rPr>
                <w:rFonts w:ascii="Perpetua" w:hAnsi="Perpetua"/>
                <w:sz w:val="20"/>
                <w:szCs w:val="20"/>
              </w:rPr>
            </w:pPr>
          </w:p>
          <w:p w:rsidR="00446259" w:rsidRPr="00446259" w:rsidRDefault="00446259" w:rsidP="00446259">
            <w:pPr>
              <w:pStyle w:val="clearformatting"/>
              <w:jc w:val="left"/>
              <w:rPr>
                <w:rFonts w:ascii="Perpetua" w:hAnsi="Perpetua"/>
                <w:i/>
                <w:iCs/>
                <w:sz w:val="20"/>
              </w:rPr>
            </w:pPr>
            <w:r w:rsidRPr="00446259">
              <w:rPr>
                <w:rFonts w:ascii="Perpetua" w:hAnsi="Perpetua"/>
                <w:sz w:val="20"/>
              </w:rPr>
              <w:t xml:space="preserve">Translated form Dutch as: </w:t>
            </w:r>
            <w:r w:rsidR="00A371B8" w:rsidRPr="00446259">
              <w:rPr>
                <w:rFonts w:ascii="Perpetua" w:hAnsi="Perpetua"/>
                <w:sz w:val="20"/>
              </w:rPr>
              <w:t xml:space="preserve">"International Solidarity 1-22 December. </w:t>
            </w:r>
            <w:r w:rsidR="00A371B8" w:rsidRPr="00446259">
              <w:rPr>
                <w:rStyle w:val="hps"/>
                <w:rFonts w:ascii="Perpetua" w:hAnsi="Perpetua"/>
                <w:sz w:val="20"/>
                <w:szCs w:val="20"/>
              </w:rPr>
              <w:t>This action</w:t>
            </w:r>
            <w:r w:rsidR="00A371B8" w:rsidRPr="00446259">
              <w:rPr>
                <w:rFonts w:ascii="Perpetua" w:hAnsi="Perpetua"/>
                <w:sz w:val="20"/>
              </w:rPr>
              <w:t xml:space="preserve"> </w:t>
            </w:r>
            <w:r w:rsidR="00A371B8" w:rsidRPr="00446259">
              <w:rPr>
                <w:rStyle w:val="hps"/>
                <w:rFonts w:ascii="Perpetua" w:hAnsi="Perpetua"/>
                <w:sz w:val="20"/>
                <w:szCs w:val="20"/>
              </w:rPr>
              <w:t>includes</w:t>
            </w:r>
            <w:r w:rsidR="00A371B8" w:rsidRPr="00446259">
              <w:rPr>
                <w:rFonts w:ascii="Perpetua" w:hAnsi="Perpetua"/>
                <w:sz w:val="20"/>
              </w:rPr>
              <w:t xml:space="preserve"> </w:t>
            </w:r>
            <w:r w:rsidR="00A371B8" w:rsidRPr="00446259">
              <w:rPr>
                <w:rStyle w:val="hps"/>
                <w:rFonts w:ascii="Perpetua" w:hAnsi="Perpetua"/>
                <w:sz w:val="20"/>
                <w:szCs w:val="20"/>
              </w:rPr>
              <w:t>the following organizations:</w:t>
            </w:r>
            <w:r w:rsidR="00A371B8" w:rsidRPr="00446259">
              <w:rPr>
                <w:rFonts w:ascii="Perpetua" w:hAnsi="Perpetua"/>
                <w:sz w:val="20"/>
              </w:rPr>
              <w:t xml:space="preserve"> </w:t>
            </w:r>
            <w:r w:rsidR="00A371B8" w:rsidRPr="00446259">
              <w:rPr>
                <w:rStyle w:val="hps"/>
                <w:rFonts w:ascii="Perpetua" w:hAnsi="Perpetua"/>
                <w:sz w:val="20"/>
                <w:szCs w:val="20"/>
              </w:rPr>
              <w:t>Leiden</w:t>
            </w:r>
            <w:r w:rsidR="00A371B8" w:rsidRPr="00446259">
              <w:rPr>
                <w:rFonts w:ascii="Perpetua" w:hAnsi="Perpetua"/>
                <w:sz w:val="20"/>
              </w:rPr>
              <w:t xml:space="preserve"> </w:t>
            </w:r>
            <w:r w:rsidR="00A371B8" w:rsidRPr="00446259">
              <w:rPr>
                <w:rStyle w:val="hps"/>
                <w:rFonts w:ascii="Perpetua" w:hAnsi="Perpetua"/>
                <w:sz w:val="20"/>
                <w:szCs w:val="20"/>
              </w:rPr>
              <w:t>council</w:t>
            </w:r>
            <w:r w:rsidR="00A371B8" w:rsidRPr="00446259">
              <w:rPr>
                <w:rFonts w:ascii="Perpetua" w:hAnsi="Perpetua"/>
                <w:sz w:val="20"/>
              </w:rPr>
              <w:t xml:space="preserve">, </w:t>
            </w:r>
            <w:r w:rsidR="00A371B8" w:rsidRPr="00446259">
              <w:rPr>
                <w:rStyle w:val="hps"/>
                <w:rFonts w:ascii="Perpetua" w:hAnsi="Perpetua"/>
                <w:sz w:val="20"/>
                <w:szCs w:val="20"/>
              </w:rPr>
              <w:t>schools</w:t>
            </w:r>
            <w:r w:rsidR="00A371B8" w:rsidRPr="00446259">
              <w:rPr>
                <w:rFonts w:ascii="Perpetua" w:hAnsi="Perpetua"/>
                <w:sz w:val="20"/>
              </w:rPr>
              <w:t xml:space="preserve">, </w:t>
            </w:r>
            <w:r w:rsidR="00A371B8" w:rsidRPr="00446259">
              <w:rPr>
                <w:rStyle w:val="hps"/>
                <w:rFonts w:ascii="Perpetua" w:hAnsi="Perpetua"/>
                <w:sz w:val="20"/>
                <w:szCs w:val="20"/>
              </w:rPr>
              <w:t>churches</w:t>
            </w:r>
            <w:r w:rsidR="00A371B8" w:rsidRPr="00446259">
              <w:rPr>
                <w:rFonts w:ascii="Perpetua" w:hAnsi="Perpetua"/>
                <w:sz w:val="20"/>
              </w:rPr>
              <w:t xml:space="preserve">, </w:t>
            </w:r>
            <w:r w:rsidR="00A371B8" w:rsidRPr="00446259">
              <w:rPr>
                <w:rStyle w:val="hps"/>
                <w:rFonts w:ascii="Perpetua" w:hAnsi="Perpetua"/>
                <w:sz w:val="20"/>
                <w:szCs w:val="20"/>
              </w:rPr>
              <w:t>unions</w:t>
            </w:r>
            <w:r w:rsidR="00A371B8" w:rsidRPr="00446259">
              <w:rPr>
                <w:rFonts w:ascii="Perpetua" w:hAnsi="Perpetua"/>
                <w:sz w:val="20"/>
              </w:rPr>
              <w:t xml:space="preserve">, </w:t>
            </w:r>
            <w:r w:rsidR="00A371B8" w:rsidRPr="00446259">
              <w:rPr>
                <w:rStyle w:val="hps"/>
                <w:rFonts w:ascii="Perpetua" w:hAnsi="Perpetua"/>
                <w:sz w:val="20"/>
                <w:szCs w:val="20"/>
              </w:rPr>
              <w:t>political</w:t>
            </w:r>
            <w:r w:rsidR="00A371B8" w:rsidRPr="00446259">
              <w:rPr>
                <w:rFonts w:ascii="Perpetua" w:hAnsi="Perpetua"/>
                <w:sz w:val="20"/>
              </w:rPr>
              <w:t xml:space="preserve"> </w:t>
            </w:r>
            <w:r w:rsidR="00A371B8" w:rsidRPr="00446259">
              <w:rPr>
                <w:rStyle w:val="hps"/>
                <w:rFonts w:ascii="Perpetua" w:hAnsi="Perpetua"/>
                <w:sz w:val="20"/>
                <w:szCs w:val="20"/>
              </w:rPr>
              <w:t>parties</w:t>
            </w:r>
            <w:r w:rsidR="00A371B8" w:rsidRPr="00446259">
              <w:rPr>
                <w:rFonts w:ascii="Perpetua" w:hAnsi="Perpetua"/>
                <w:sz w:val="20"/>
              </w:rPr>
              <w:t xml:space="preserve">, </w:t>
            </w:r>
            <w:r w:rsidR="00A371B8" w:rsidRPr="00446259">
              <w:rPr>
                <w:rStyle w:val="hps"/>
                <w:rFonts w:ascii="Perpetua" w:hAnsi="Perpetua"/>
                <w:sz w:val="20"/>
                <w:szCs w:val="20"/>
              </w:rPr>
              <w:t>student groups, community</w:t>
            </w:r>
            <w:r w:rsidR="00A371B8" w:rsidRPr="00446259">
              <w:rPr>
                <w:rFonts w:ascii="Perpetua" w:hAnsi="Perpetua"/>
                <w:sz w:val="20"/>
              </w:rPr>
              <w:t xml:space="preserve"> </w:t>
            </w:r>
            <w:r w:rsidR="00A371B8" w:rsidRPr="00446259">
              <w:rPr>
                <w:rStyle w:val="hps"/>
                <w:rFonts w:ascii="Perpetua" w:hAnsi="Perpetua"/>
                <w:sz w:val="20"/>
                <w:szCs w:val="20"/>
              </w:rPr>
              <w:t>workers, theaters</w:t>
            </w:r>
            <w:r w:rsidR="00A371B8" w:rsidRPr="00446259">
              <w:rPr>
                <w:rFonts w:ascii="Perpetua" w:hAnsi="Perpetua"/>
                <w:sz w:val="20"/>
              </w:rPr>
              <w:t xml:space="preserve">, </w:t>
            </w:r>
            <w:r w:rsidR="00A371B8" w:rsidRPr="00446259">
              <w:rPr>
                <w:rStyle w:val="hps"/>
                <w:rFonts w:ascii="Perpetua" w:hAnsi="Perpetua"/>
                <w:sz w:val="20"/>
                <w:szCs w:val="20"/>
              </w:rPr>
              <w:t>musicians and</w:t>
            </w:r>
            <w:r w:rsidR="00A371B8" w:rsidRPr="00446259">
              <w:rPr>
                <w:rFonts w:ascii="Perpetua" w:hAnsi="Perpetua"/>
                <w:sz w:val="20"/>
              </w:rPr>
              <w:t xml:space="preserve"> </w:t>
            </w:r>
            <w:r w:rsidR="00A371B8" w:rsidRPr="00446259">
              <w:rPr>
                <w:rStyle w:val="hps"/>
                <w:rFonts w:ascii="Perpetua" w:hAnsi="Perpetua"/>
                <w:sz w:val="20"/>
                <w:szCs w:val="20"/>
              </w:rPr>
              <w:t>artists</w:t>
            </w:r>
            <w:r w:rsidR="00A371B8" w:rsidRPr="00446259">
              <w:rPr>
                <w:rFonts w:ascii="Perpetua" w:hAnsi="Perpetua"/>
                <w:sz w:val="20"/>
              </w:rPr>
              <w:t xml:space="preserve">, </w:t>
            </w:r>
            <w:r w:rsidR="00A371B8" w:rsidRPr="00446259">
              <w:rPr>
                <w:rStyle w:val="hps"/>
                <w:rFonts w:ascii="Perpetua" w:hAnsi="Perpetua"/>
                <w:sz w:val="20"/>
                <w:szCs w:val="20"/>
              </w:rPr>
              <w:t>writers and</w:t>
            </w:r>
            <w:r w:rsidR="00A371B8" w:rsidRPr="00446259">
              <w:rPr>
                <w:rFonts w:ascii="Perpetua" w:hAnsi="Perpetua"/>
                <w:sz w:val="20"/>
              </w:rPr>
              <w:t xml:space="preserve"> </w:t>
            </w:r>
            <w:r w:rsidR="00A371B8" w:rsidRPr="00446259">
              <w:rPr>
                <w:rStyle w:val="hps"/>
                <w:rFonts w:ascii="Perpetua" w:hAnsi="Perpetua"/>
                <w:sz w:val="20"/>
                <w:szCs w:val="20"/>
              </w:rPr>
              <w:t>poets</w:t>
            </w:r>
            <w:r w:rsidR="00A371B8" w:rsidRPr="00446259">
              <w:rPr>
                <w:rFonts w:ascii="Perpetua" w:hAnsi="Perpetua"/>
                <w:sz w:val="20"/>
              </w:rPr>
              <w:t xml:space="preserve">, </w:t>
            </w:r>
            <w:r w:rsidR="00A371B8" w:rsidRPr="00446259">
              <w:rPr>
                <w:rStyle w:val="hps"/>
                <w:rFonts w:ascii="Perpetua" w:hAnsi="Perpetua"/>
                <w:sz w:val="20"/>
                <w:szCs w:val="20"/>
              </w:rPr>
              <w:t>libraries</w:t>
            </w:r>
            <w:r w:rsidR="00A371B8" w:rsidRPr="00446259">
              <w:rPr>
                <w:rFonts w:ascii="Perpetua" w:hAnsi="Perpetua"/>
                <w:sz w:val="20"/>
              </w:rPr>
              <w:t xml:space="preserve">, </w:t>
            </w:r>
            <w:r w:rsidR="00462E99" w:rsidRPr="00446259">
              <w:rPr>
                <w:rFonts w:ascii="Perpetua" w:hAnsi="Perpetua"/>
                <w:sz w:val="20"/>
              </w:rPr>
              <w:t>l</w:t>
            </w:r>
            <w:r w:rsidR="00A371B8" w:rsidRPr="00446259">
              <w:rPr>
                <w:rStyle w:val="hps"/>
                <w:rFonts w:ascii="Perpetua" w:hAnsi="Perpetua"/>
                <w:sz w:val="20"/>
                <w:szCs w:val="20"/>
              </w:rPr>
              <w:t xml:space="preserve">egal organizations, university </w:t>
            </w:r>
            <w:r w:rsidR="00A371B8" w:rsidRPr="00446259">
              <w:rPr>
                <w:rFonts w:ascii="Perpetua" w:hAnsi="Perpetua"/>
                <w:sz w:val="20"/>
              </w:rPr>
              <w:t xml:space="preserve">institutes, </w:t>
            </w:r>
            <w:r w:rsidR="00A371B8" w:rsidRPr="00446259">
              <w:rPr>
                <w:rStyle w:val="hps"/>
                <w:rFonts w:ascii="Perpetua" w:hAnsi="Perpetua"/>
                <w:sz w:val="20"/>
                <w:szCs w:val="20"/>
              </w:rPr>
              <w:t>cafes. Highlights</w:t>
            </w:r>
            <w:r w:rsidR="00A371B8" w:rsidRPr="00446259">
              <w:rPr>
                <w:rFonts w:ascii="Perpetua" w:hAnsi="Perpetua"/>
                <w:sz w:val="20"/>
              </w:rPr>
              <w:t xml:space="preserve">: </w:t>
            </w:r>
            <w:r w:rsidR="00A371B8" w:rsidRPr="00446259">
              <w:rPr>
                <w:rStyle w:val="hps"/>
                <w:rFonts w:ascii="Perpetua" w:hAnsi="Perpetua"/>
                <w:sz w:val="20"/>
                <w:szCs w:val="20"/>
              </w:rPr>
              <w:t>exhibition</w:t>
            </w:r>
            <w:r w:rsidR="00A371B8" w:rsidRPr="00446259">
              <w:rPr>
                <w:rFonts w:ascii="Perpetua" w:hAnsi="Perpetua"/>
                <w:sz w:val="20"/>
              </w:rPr>
              <w:t xml:space="preserve"> '</w:t>
            </w:r>
            <w:r w:rsidR="00A371B8" w:rsidRPr="00446259">
              <w:rPr>
                <w:rStyle w:val="hps"/>
                <w:rFonts w:ascii="Perpetua" w:hAnsi="Perpetua"/>
                <w:sz w:val="20"/>
                <w:szCs w:val="20"/>
              </w:rPr>
              <w:t>On The Line'</w:t>
            </w:r>
            <w:r w:rsidR="00A371B8" w:rsidRPr="00446259">
              <w:rPr>
                <w:rFonts w:ascii="Perpetua" w:hAnsi="Perpetua"/>
                <w:sz w:val="20"/>
              </w:rPr>
              <w:t xml:space="preserve"> </w:t>
            </w:r>
            <w:r w:rsidR="00A371B8" w:rsidRPr="00446259">
              <w:rPr>
                <w:rStyle w:val="hps"/>
                <w:rFonts w:ascii="Perpetua" w:hAnsi="Perpetua"/>
                <w:sz w:val="20"/>
                <w:szCs w:val="20"/>
              </w:rPr>
              <w:t>7</w:t>
            </w:r>
            <w:r w:rsidR="00A371B8" w:rsidRPr="00446259">
              <w:rPr>
                <w:rFonts w:ascii="Perpetua" w:hAnsi="Perpetua"/>
                <w:sz w:val="20"/>
              </w:rPr>
              <w:t>-</w:t>
            </w:r>
            <w:r w:rsidR="00A371B8" w:rsidRPr="00446259">
              <w:rPr>
                <w:rStyle w:val="hps"/>
                <w:rFonts w:ascii="Perpetua" w:hAnsi="Perpetua"/>
                <w:sz w:val="20"/>
                <w:szCs w:val="20"/>
              </w:rPr>
              <w:t>22</w:t>
            </w:r>
            <w:r w:rsidR="00A371B8" w:rsidRPr="00446259">
              <w:rPr>
                <w:rFonts w:ascii="Perpetua" w:hAnsi="Perpetua"/>
                <w:sz w:val="20"/>
              </w:rPr>
              <w:t xml:space="preserve"> </w:t>
            </w:r>
            <w:r w:rsidR="00A371B8" w:rsidRPr="00446259">
              <w:rPr>
                <w:rStyle w:val="hps"/>
                <w:rFonts w:ascii="Perpetua" w:hAnsi="Perpetua"/>
                <w:sz w:val="20"/>
                <w:szCs w:val="20"/>
              </w:rPr>
              <w:t>Dec</w:t>
            </w:r>
            <w:r w:rsidR="00A371B8" w:rsidRPr="00446259">
              <w:rPr>
                <w:rFonts w:ascii="Perpetua" w:hAnsi="Perpetua"/>
                <w:sz w:val="20"/>
              </w:rPr>
              <w:t xml:space="preserve">, </w:t>
            </w:r>
            <w:r w:rsidR="00A371B8" w:rsidRPr="00446259">
              <w:rPr>
                <w:rStyle w:val="hps"/>
                <w:rFonts w:ascii="Perpetua" w:hAnsi="Perpetua"/>
                <w:sz w:val="20"/>
                <w:szCs w:val="20"/>
              </w:rPr>
              <w:t>political party manifestation Saturday</w:t>
            </w:r>
            <w:r w:rsidR="00A371B8" w:rsidRPr="00446259">
              <w:rPr>
                <w:rFonts w:ascii="Perpetua" w:hAnsi="Perpetua"/>
                <w:sz w:val="20"/>
              </w:rPr>
              <w:t xml:space="preserve"> </w:t>
            </w:r>
            <w:r w:rsidR="00A371B8" w:rsidRPr="00446259">
              <w:rPr>
                <w:rStyle w:val="hps"/>
                <w:rFonts w:ascii="Perpetua" w:hAnsi="Perpetua"/>
                <w:sz w:val="20"/>
                <w:szCs w:val="20"/>
              </w:rPr>
              <w:t>Dec 15</w:t>
            </w:r>
            <w:r w:rsidR="00A371B8" w:rsidRPr="00446259">
              <w:rPr>
                <w:rFonts w:ascii="Perpetua" w:hAnsi="Perpetua"/>
                <w:sz w:val="20"/>
              </w:rPr>
              <w:t>, '</w:t>
            </w:r>
            <w:r w:rsidR="00A371B8" w:rsidRPr="00446259">
              <w:rPr>
                <w:rStyle w:val="hps"/>
                <w:rFonts w:ascii="Perpetua" w:hAnsi="Perpetua"/>
                <w:sz w:val="20"/>
                <w:szCs w:val="20"/>
              </w:rPr>
              <w:t>pop music</w:t>
            </w:r>
            <w:r w:rsidR="00A371B8" w:rsidRPr="00446259">
              <w:rPr>
                <w:rFonts w:ascii="Perpetua" w:hAnsi="Perpetua"/>
                <w:sz w:val="20"/>
              </w:rPr>
              <w:t xml:space="preserve"> </w:t>
            </w:r>
            <w:r w:rsidR="00A371B8" w:rsidRPr="00446259">
              <w:rPr>
                <w:rStyle w:val="hps"/>
                <w:rFonts w:ascii="Perpetua" w:hAnsi="Perpetua"/>
                <w:sz w:val="20"/>
                <w:szCs w:val="20"/>
              </w:rPr>
              <w:t>against Apartheid'</w:t>
            </w:r>
            <w:r w:rsidR="00A371B8" w:rsidRPr="00446259">
              <w:rPr>
                <w:rFonts w:ascii="Perpetua" w:hAnsi="Perpetua"/>
                <w:sz w:val="20"/>
              </w:rPr>
              <w:t xml:space="preserve"> </w:t>
            </w:r>
            <w:r w:rsidR="00A371B8" w:rsidRPr="00446259">
              <w:rPr>
                <w:rStyle w:val="hps"/>
                <w:rFonts w:ascii="Perpetua" w:hAnsi="Perpetua"/>
                <w:sz w:val="20"/>
                <w:szCs w:val="20"/>
              </w:rPr>
              <w:t>Friday, December 14th</w:t>
            </w:r>
            <w:r w:rsidR="00A371B8" w:rsidRPr="00446259">
              <w:rPr>
                <w:rFonts w:ascii="Perpetua" w:hAnsi="Perpetua"/>
                <w:sz w:val="20"/>
              </w:rPr>
              <w:t xml:space="preserve"> </w:t>
            </w:r>
            <w:r w:rsidR="00A371B8" w:rsidRPr="00446259">
              <w:rPr>
                <w:rStyle w:val="hps"/>
                <w:rFonts w:ascii="Perpetua" w:hAnsi="Perpetua"/>
                <w:sz w:val="20"/>
                <w:szCs w:val="20"/>
              </w:rPr>
              <w:t>in the</w:t>
            </w:r>
            <w:r w:rsidR="00A371B8" w:rsidRPr="00446259">
              <w:rPr>
                <w:rFonts w:ascii="Perpetua" w:hAnsi="Perpetua"/>
                <w:sz w:val="20"/>
              </w:rPr>
              <w:t xml:space="preserve"> </w:t>
            </w:r>
            <w:r w:rsidR="00A371B8" w:rsidRPr="00446259">
              <w:rPr>
                <w:rStyle w:val="hps"/>
                <w:rFonts w:ascii="Perpetua" w:hAnsi="Perpetua"/>
                <w:sz w:val="20"/>
                <w:szCs w:val="20"/>
              </w:rPr>
              <w:t>leisure center,</w:t>
            </w:r>
            <w:r w:rsidR="00A371B8" w:rsidRPr="00446259">
              <w:rPr>
                <w:rFonts w:ascii="Perpetua" w:hAnsi="Perpetua"/>
                <w:sz w:val="20"/>
              </w:rPr>
              <w:t xml:space="preserve"> </w:t>
            </w:r>
            <w:r w:rsidR="00A371B8" w:rsidRPr="00446259">
              <w:rPr>
                <w:rStyle w:val="hps"/>
                <w:rFonts w:ascii="Perpetua" w:hAnsi="Perpetua"/>
                <w:sz w:val="20"/>
                <w:szCs w:val="20"/>
              </w:rPr>
              <w:t>South Africa</w:t>
            </w:r>
            <w:r w:rsidR="00A371B8" w:rsidRPr="00446259">
              <w:rPr>
                <w:rFonts w:ascii="Perpetua" w:hAnsi="Perpetua"/>
                <w:sz w:val="20"/>
              </w:rPr>
              <w:t xml:space="preserve"> </w:t>
            </w:r>
            <w:r w:rsidR="00A371B8" w:rsidRPr="00446259">
              <w:rPr>
                <w:rStyle w:val="hps"/>
                <w:rFonts w:ascii="Perpetua" w:hAnsi="Perpetua"/>
                <w:sz w:val="20"/>
                <w:szCs w:val="20"/>
              </w:rPr>
              <w:t>themed services</w:t>
            </w:r>
            <w:r w:rsidR="00A371B8" w:rsidRPr="00446259">
              <w:rPr>
                <w:rFonts w:ascii="Perpetua" w:hAnsi="Perpetua"/>
                <w:sz w:val="20"/>
              </w:rPr>
              <w:t xml:space="preserve"> </w:t>
            </w:r>
            <w:r w:rsidR="00A371B8" w:rsidRPr="00446259">
              <w:rPr>
                <w:rStyle w:val="hps"/>
                <w:rFonts w:ascii="Perpetua" w:hAnsi="Perpetua"/>
                <w:sz w:val="20"/>
                <w:szCs w:val="20"/>
              </w:rPr>
              <w:t>on Sunday</w:t>
            </w:r>
            <w:r w:rsidR="00A371B8" w:rsidRPr="00446259">
              <w:rPr>
                <w:rFonts w:ascii="Perpetua" w:hAnsi="Perpetua"/>
                <w:sz w:val="20"/>
              </w:rPr>
              <w:t xml:space="preserve"> </w:t>
            </w:r>
            <w:r w:rsidR="00A371B8" w:rsidRPr="00446259">
              <w:rPr>
                <w:rStyle w:val="hps"/>
                <w:rFonts w:ascii="Perpetua" w:hAnsi="Perpetua"/>
                <w:sz w:val="20"/>
                <w:szCs w:val="20"/>
              </w:rPr>
              <w:t>December 16</w:t>
            </w:r>
            <w:r w:rsidR="00A371B8" w:rsidRPr="00446259">
              <w:rPr>
                <w:rFonts w:ascii="Perpetua" w:hAnsi="Perpetua"/>
                <w:sz w:val="20"/>
              </w:rPr>
              <w:t xml:space="preserve"> </w:t>
            </w:r>
            <w:r w:rsidR="00A371B8" w:rsidRPr="00446259">
              <w:rPr>
                <w:rStyle w:val="hps"/>
                <w:rFonts w:ascii="Perpetua" w:hAnsi="Perpetua"/>
                <w:sz w:val="20"/>
                <w:szCs w:val="20"/>
              </w:rPr>
              <w:t>in</w:t>
            </w:r>
            <w:r w:rsidR="00A371B8" w:rsidRPr="00446259">
              <w:rPr>
                <w:rFonts w:ascii="Perpetua" w:hAnsi="Perpetua"/>
                <w:sz w:val="20"/>
              </w:rPr>
              <w:t xml:space="preserve"> </w:t>
            </w:r>
            <w:r w:rsidR="00A371B8" w:rsidRPr="00446259">
              <w:rPr>
                <w:rStyle w:val="hps"/>
                <w:rFonts w:ascii="Perpetua" w:hAnsi="Perpetua"/>
                <w:sz w:val="20"/>
                <w:szCs w:val="20"/>
              </w:rPr>
              <w:t>Leiden's</w:t>
            </w:r>
            <w:r w:rsidR="00A371B8" w:rsidRPr="00446259">
              <w:rPr>
                <w:rFonts w:ascii="Perpetua" w:hAnsi="Perpetua"/>
                <w:sz w:val="20"/>
              </w:rPr>
              <w:t xml:space="preserve"> </w:t>
            </w:r>
            <w:r w:rsidR="00A371B8" w:rsidRPr="00446259">
              <w:rPr>
                <w:rStyle w:val="hps"/>
                <w:rFonts w:ascii="Perpetua" w:hAnsi="Perpetua"/>
                <w:sz w:val="20"/>
                <w:szCs w:val="20"/>
              </w:rPr>
              <w:t>churches</w:t>
            </w:r>
            <w:r w:rsidR="00A371B8" w:rsidRPr="00446259">
              <w:rPr>
                <w:rFonts w:ascii="Perpetua" w:hAnsi="Perpetua"/>
                <w:sz w:val="20"/>
              </w:rPr>
              <w:t>".</w:t>
            </w:r>
            <w:bookmarkEnd w:id="836"/>
            <w:bookmarkEnd w:id="837"/>
            <w:r w:rsidRPr="00446259">
              <w:rPr>
                <w:rFonts w:ascii="Perpetua" w:hAnsi="Perpetua"/>
                <w:sz w:val="20"/>
              </w:rPr>
              <w:t xml:space="preserve"> </w:t>
            </w:r>
          </w:p>
          <w:p w:rsidR="00446259" w:rsidRPr="00446259" w:rsidRDefault="00446259" w:rsidP="00446259">
            <w:pPr>
              <w:pStyle w:val="clearformatting"/>
              <w:rPr>
                <w:rFonts w:ascii="Perpetua" w:hAnsi="Perpetua"/>
                <w:i/>
                <w:iCs/>
                <w:sz w:val="20"/>
              </w:rPr>
            </w:pPr>
          </w:p>
          <w:p w:rsidR="00A371B8" w:rsidRPr="00446259" w:rsidRDefault="00446259" w:rsidP="00446259">
            <w:pPr>
              <w:pStyle w:val="clearformatting"/>
              <w:jc w:val="left"/>
              <w:rPr>
                <w:rFonts w:ascii="Perpetua" w:hAnsi="Perpetua"/>
                <w:sz w:val="20"/>
              </w:rPr>
            </w:pPr>
            <w:r w:rsidRPr="00446259">
              <w:rPr>
                <w:rFonts w:ascii="Perpetua" w:hAnsi="Perpetua"/>
                <w:iCs/>
                <w:sz w:val="20"/>
              </w:rPr>
              <w:t>Image courtesy of</w:t>
            </w:r>
            <w:r w:rsidRPr="00446259">
              <w:rPr>
                <w:rFonts w:ascii="Perpetua" w:hAnsi="Perpetua"/>
                <w:i/>
                <w:iCs/>
                <w:sz w:val="20"/>
              </w:rPr>
              <w:t xml:space="preserve"> </w:t>
            </w:r>
            <w:r w:rsidRPr="00446259">
              <w:rPr>
                <w:rFonts w:ascii="Perpetua" w:hAnsi="Perpetua"/>
                <w:sz w:val="20"/>
              </w:rPr>
              <w:t>IISH archives. http://search.socialhistory.org /Record/819697. Last accessed 20/7/2013.</w:t>
            </w:r>
          </w:p>
          <w:p w:rsidR="00A371B8" w:rsidRDefault="00A371B8" w:rsidP="00D04F1F">
            <w:pPr>
              <w:autoSpaceDE w:val="0"/>
              <w:autoSpaceDN w:val="0"/>
              <w:adjustRightInd w:val="0"/>
              <w:spacing w:line="360" w:lineRule="auto"/>
              <w:ind w:right="284"/>
              <w:rPr>
                <w:rFonts w:ascii="Garamond" w:hAnsi="Garamond"/>
                <w:shd w:val="clear" w:color="auto" w:fill="FFFFFF"/>
              </w:rPr>
            </w:pPr>
          </w:p>
          <w:p w:rsidR="00A371B8" w:rsidRDefault="00A371B8" w:rsidP="00D04F1F">
            <w:pPr>
              <w:autoSpaceDE w:val="0"/>
              <w:autoSpaceDN w:val="0"/>
              <w:adjustRightInd w:val="0"/>
              <w:spacing w:line="360" w:lineRule="auto"/>
              <w:ind w:right="284"/>
              <w:rPr>
                <w:rFonts w:ascii="Garamond" w:hAnsi="Garamond"/>
                <w:shd w:val="clear" w:color="auto" w:fill="FFFFFF"/>
              </w:rPr>
            </w:pPr>
          </w:p>
          <w:p w:rsidR="00A371B8" w:rsidRDefault="00A371B8" w:rsidP="00D04F1F">
            <w:pPr>
              <w:autoSpaceDE w:val="0"/>
              <w:autoSpaceDN w:val="0"/>
              <w:adjustRightInd w:val="0"/>
              <w:spacing w:line="360" w:lineRule="auto"/>
              <w:ind w:right="284"/>
              <w:rPr>
                <w:rFonts w:ascii="Garamond" w:hAnsi="Garamond"/>
                <w:shd w:val="clear" w:color="auto" w:fill="FFFFFF"/>
              </w:rPr>
            </w:pPr>
          </w:p>
        </w:tc>
        <w:tc>
          <w:tcPr>
            <w:tcW w:w="4250" w:type="dxa"/>
          </w:tcPr>
          <w:p w:rsidR="00A371B8" w:rsidRDefault="00A371B8" w:rsidP="00446259">
            <w:pPr>
              <w:autoSpaceDE w:val="0"/>
              <w:autoSpaceDN w:val="0"/>
              <w:adjustRightInd w:val="0"/>
              <w:spacing w:line="360" w:lineRule="auto"/>
              <w:rPr>
                <w:rFonts w:ascii="Garamond" w:hAnsi="Garamond"/>
                <w:shd w:val="clear" w:color="auto" w:fill="FFFFFF"/>
              </w:rPr>
            </w:pPr>
            <w:r w:rsidRPr="002650CB">
              <w:rPr>
                <w:rFonts w:ascii="Garamond" w:hAnsi="Garamond"/>
                <w:b/>
                <w:noProof/>
                <w:sz w:val="24"/>
                <w:szCs w:val="24"/>
                <w:lang w:eastAsia="en-GB"/>
              </w:rPr>
              <w:drawing>
                <wp:inline distT="0" distB="0" distL="0" distR="0">
                  <wp:extent cx="2621915" cy="3925836"/>
                  <wp:effectExtent l="50800" t="50800" r="45085" b="11164"/>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a:stretch>
                            <a:fillRect/>
                          </a:stretch>
                        </pic:blipFill>
                        <pic:spPr bwMode="auto">
                          <a:xfrm>
                            <a:off x="0" y="0"/>
                            <a:ext cx="2634536" cy="3944734"/>
                          </a:xfrm>
                          <a:prstGeom prst="rect">
                            <a:avLst/>
                          </a:prstGeom>
                          <a:noFill/>
                          <a:ln w="34925">
                            <a:solidFill>
                              <a:schemeClr val="tx1"/>
                            </a:solidFill>
                            <a:miter lim="800000"/>
                            <a:headEnd/>
                            <a:tailEnd/>
                          </a:ln>
                        </pic:spPr>
                      </pic:pic>
                    </a:graphicData>
                  </a:graphic>
                </wp:inline>
              </w:drawing>
            </w:r>
          </w:p>
        </w:tc>
      </w:tr>
      <w:tr w:rsidR="00A371B8">
        <w:tblPrEx>
          <w:jc w:val="center"/>
        </w:tblPrEx>
        <w:trPr>
          <w:jc w:val="center"/>
        </w:trPr>
        <w:tc>
          <w:tcPr>
            <w:tcW w:w="3936" w:type="dxa"/>
          </w:tcPr>
          <w:p w:rsidR="007E10FB" w:rsidRDefault="007E10FB" w:rsidP="00462E99">
            <w:pPr>
              <w:autoSpaceDE w:val="0"/>
              <w:autoSpaceDN w:val="0"/>
              <w:adjustRightInd w:val="0"/>
              <w:spacing w:line="360" w:lineRule="auto"/>
              <w:rPr>
                <w:rFonts w:ascii="Garamond" w:hAnsi="Garamond"/>
                <w:sz w:val="24"/>
                <w:szCs w:val="24"/>
              </w:rPr>
            </w:pPr>
          </w:p>
          <w:p w:rsidR="00A371B8" w:rsidRDefault="00A371B8" w:rsidP="00462E99">
            <w:pPr>
              <w:autoSpaceDE w:val="0"/>
              <w:autoSpaceDN w:val="0"/>
              <w:adjustRightInd w:val="0"/>
              <w:spacing w:line="360" w:lineRule="auto"/>
              <w:rPr>
                <w:rFonts w:ascii="Garamond" w:hAnsi="Garamond"/>
                <w:sz w:val="24"/>
                <w:szCs w:val="24"/>
              </w:rPr>
            </w:pPr>
            <w:r w:rsidRPr="002650CB">
              <w:rPr>
                <w:rFonts w:ascii="Garamond" w:hAnsi="Garamond"/>
                <w:noProof/>
                <w:sz w:val="24"/>
                <w:szCs w:val="24"/>
                <w:lang w:eastAsia="en-GB"/>
              </w:rPr>
              <w:lastRenderedPageBreak/>
              <w:drawing>
                <wp:inline distT="0" distB="0" distL="0" distR="0">
                  <wp:extent cx="2328545" cy="2685159"/>
                  <wp:effectExtent l="25400" t="50800" r="0" b="0"/>
                  <wp:docPr id="54" name="Picture 1" descr="http://farm4.staticflickr.com/3268/2570777370_a4375b55c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ttp://farm4.staticflickr.com/3268/2570777370_a4375b55c3_o.jpg"/>
                          <pic:cNvPicPr>
                            <a:picLocks noChangeAspect="1" noChangeArrowheads="1"/>
                          </pic:cNvPicPr>
                        </pic:nvPicPr>
                        <pic:blipFill>
                          <a:blip r:embed="rId132" cstate="print"/>
                          <a:srcRect/>
                          <a:stretch>
                            <a:fillRect/>
                          </a:stretch>
                        </pic:blipFill>
                        <pic:spPr bwMode="auto">
                          <a:xfrm>
                            <a:off x="0" y="0"/>
                            <a:ext cx="2335189" cy="2692821"/>
                          </a:xfrm>
                          <a:prstGeom prst="rect">
                            <a:avLst/>
                          </a:prstGeom>
                          <a:noFill/>
                          <a:ln w="31750">
                            <a:solidFill>
                              <a:schemeClr val="tx1"/>
                            </a:solidFill>
                            <a:miter lim="800000"/>
                            <a:headEnd/>
                            <a:tailEnd/>
                          </a:ln>
                          <a:scene3d>
                            <a:camera prst="orthographicFront">
                              <a:rot lat="0" lon="1200000" rev="0"/>
                            </a:camera>
                            <a:lightRig rig="threePt" dir="t"/>
                          </a:scene3d>
                        </pic:spPr>
                      </pic:pic>
                    </a:graphicData>
                  </a:graphic>
                </wp:inline>
              </w:drawing>
            </w:r>
          </w:p>
        </w:tc>
        <w:tc>
          <w:tcPr>
            <w:tcW w:w="4586" w:type="dxa"/>
            <w:gridSpan w:val="2"/>
          </w:tcPr>
          <w:p w:rsidR="00E55C40" w:rsidRDefault="00E55C40" w:rsidP="00462E99">
            <w:pPr>
              <w:pStyle w:val="Caption"/>
              <w:rPr>
                <w:rFonts w:ascii="Perpetua" w:hAnsi="Perpetua"/>
                <w:b w:val="0"/>
                <w:bCs w:val="0"/>
                <w:color w:val="auto"/>
                <w:sz w:val="20"/>
                <w:szCs w:val="20"/>
              </w:rPr>
            </w:pPr>
          </w:p>
          <w:p w:rsidR="00E55C40" w:rsidRDefault="00E55C40" w:rsidP="00462E99">
            <w:pPr>
              <w:pStyle w:val="Caption"/>
              <w:rPr>
                <w:rFonts w:ascii="Perpetua" w:hAnsi="Perpetua"/>
                <w:b w:val="0"/>
                <w:bCs w:val="0"/>
                <w:color w:val="auto"/>
                <w:sz w:val="20"/>
                <w:szCs w:val="20"/>
              </w:rPr>
            </w:pPr>
          </w:p>
          <w:p w:rsidR="00E55C40" w:rsidRDefault="00E55C40" w:rsidP="00462E99">
            <w:pPr>
              <w:pStyle w:val="Caption"/>
              <w:rPr>
                <w:rFonts w:ascii="Perpetua" w:hAnsi="Perpetua"/>
                <w:b w:val="0"/>
                <w:bCs w:val="0"/>
                <w:color w:val="auto"/>
                <w:sz w:val="20"/>
                <w:szCs w:val="20"/>
              </w:rPr>
            </w:pPr>
          </w:p>
          <w:p w:rsidR="00446259" w:rsidRPr="00446259" w:rsidRDefault="00462E99" w:rsidP="00462E99">
            <w:pPr>
              <w:pStyle w:val="Caption"/>
              <w:rPr>
                <w:rFonts w:ascii="Perpetua" w:hAnsi="Perpetua"/>
                <w:b w:val="0"/>
                <w:color w:val="auto"/>
                <w:sz w:val="20"/>
                <w:szCs w:val="20"/>
              </w:rPr>
            </w:pPr>
            <w:bookmarkStart w:id="838" w:name="_Toc263509084"/>
            <w:bookmarkStart w:id="839" w:name="_Toc263510871"/>
            <w:bookmarkStart w:id="840" w:name="_Toc244577349"/>
            <w:bookmarkStart w:id="841" w:name="_Toc263495818"/>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87</w:t>
            </w:r>
            <w:r w:rsidR="00DF2DF8" w:rsidRPr="00446259">
              <w:rPr>
                <w:rFonts w:ascii="Perpetua" w:hAnsi="Perpetua"/>
                <w:b w:val="0"/>
                <w:color w:val="auto"/>
                <w:sz w:val="20"/>
              </w:rPr>
              <w:fldChar w:fldCharType="end"/>
            </w:r>
            <w:r w:rsidR="00A371B8" w:rsidRPr="00446259">
              <w:rPr>
                <w:rFonts w:ascii="Perpetua" w:hAnsi="Perpetua"/>
                <w:b w:val="0"/>
                <w:color w:val="auto"/>
                <w:sz w:val="20"/>
                <w:szCs w:val="20"/>
              </w:rPr>
              <w:t>:</w:t>
            </w:r>
            <w:r w:rsidR="00446259" w:rsidRPr="00446259">
              <w:rPr>
                <w:rFonts w:ascii="Perpetua" w:hAnsi="Perpetua"/>
                <w:b w:val="0"/>
                <w:color w:val="auto"/>
                <w:sz w:val="20"/>
                <w:szCs w:val="20"/>
              </w:rPr>
              <w:t xml:space="preserve"> Photograph of De Waag, t</w:t>
            </w:r>
            <w:r w:rsidR="00A371B8" w:rsidRPr="00446259">
              <w:rPr>
                <w:rFonts w:ascii="Perpetua" w:hAnsi="Perpetua"/>
                <w:b w:val="0"/>
                <w:color w:val="auto"/>
                <w:sz w:val="20"/>
                <w:szCs w:val="20"/>
              </w:rPr>
              <w:t>he seventeenth century weighing house, or Leiden Corn Exchange</w:t>
            </w:r>
            <w:r w:rsidR="00446259" w:rsidRPr="00446259">
              <w:rPr>
                <w:rFonts w:ascii="Perpetua" w:hAnsi="Perpetua"/>
                <w:b w:val="0"/>
                <w:color w:val="auto"/>
                <w:sz w:val="20"/>
                <w:szCs w:val="20"/>
              </w:rPr>
              <w:t>.</w:t>
            </w:r>
            <w:bookmarkEnd w:id="838"/>
            <w:bookmarkEnd w:id="839"/>
          </w:p>
          <w:p w:rsidR="00A371B8" w:rsidRPr="00446259" w:rsidRDefault="00446259" w:rsidP="00446259">
            <w:pPr>
              <w:rPr>
                <w:rFonts w:ascii="Perpetua" w:hAnsi="Perpetua"/>
              </w:rPr>
            </w:pPr>
            <w:r w:rsidRPr="00446259">
              <w:rPr>
                <w:rFonts w:ascii="Perpetua" w:hAnsi="Perpetua"/>
              </w:rPr>
              <w:lastRenderedPageBreak/>
              <w:t>The building is</w:t>
            </w:r>
            <w:r w:rsidR="00A371B8" w:rsidRPr="00446259">
              <w:rPr>
                <w:rFonts w:ascii="Perpetua" w:hAnsi="Perpetua"/>
              </w:rPr>
              <w:t xml:space="preserve"> a monument to Dutch mercantile capitalism and colonialism. Until 1992 De Waag housed a BOA antiracist art exhibition. Image courtesy of M.M Minderhoud.</w:t>
            </w:r>
            <w:bookmarkEnd w:id="840"/>
            <w:bookmarkEnd w:id="841"/>
            <w:r w:rsidR="00A371B8" w:rsidRPr="00446259">
              <w:rPr>
                <w:rFonts w:ascii="Perpetua" w:hAnsi="Perpetua"/>
              </w:rPr>
              <w:t xml:space="preserve"> </w:t>
            </w:r>
          </w:p>
          <w:p w:rsidR="00A371B8" w:rsidRDefault="00A371B8" w:rsidP="00D04F1F">
            <w:pPr>
              <w:keepNext/>
              <w:autoSpaceDE w:val="0"/>
              <w:autoSpaceDN w:val="0"/>
              <w:adjustRightInd w:val="0"/>
              <w:spacing w:line="360" w:lineRule="auto"/>
              <w:jc w:val="both"/>
              <w:rPr>
                <w:rFonts w:ascii="Garamond" w:hAnsi="Garamond"/>
                <w:sz w:val="24"/>
                <w:szCs w:val="24"/>
              </w:rPr>
            </w:pPr>
          </w:p>
        </w:tc>
      </w:tr>
    </w:tbl>
    <w:p w:rsidR="007E10FB" w:rsidRDefault="007E10FB" w:rsidP="00A371B8">
      <w:pPr>
        <w:autoSpaceDE w:val="0"/>
        <w:autoSpaceDN w:val="0"/>
        <w:adjustRightInd w:val="0"/>
        <w:spacing w:after="0" w:line="360" w:lineRule="auto"/>
        <w:jc w:val="both"/>
        <w:rPr>
          <w:rFonts w:ascii="Garamond" w:hAnsi="Garamond"/>
          <w:sz w:val="24"/>
          <w:szCs w:val="24"/>
        </w:rPr>
      </w:pPr>
    </w:p>
    <w:p w:rsidR="007E10FB" w:rsidRDefault="007E10FB" w:rsidP="00A371B8">
      <w:pPr>
        <w:autoSpaceDE w:val="0"/>
        <w:autoSpaceDN w:val="0"/>
        <w:adjustRightInd w:val="0"/>
        <w:spacing w:after="0" w:line="360" w:lineRule="auto"/>
        <w:jc w:val="both"/>
        <w:rPr>
          <w:rFonts w:ascii="Garamond" w:hAnsi="Garamond"/>
          <w:sz w:val="24"/>
          <w:szCs w:val="24"/>
        </w:rPr>
      </w:pPr>
    </w:p>
    <w:p w:rsidR="007E10FB" w:rsidRDefault="007E10FB"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076"/>
        <w:gridCol w:w="3446"/>
      </w:tblGrid>
      <w:tr w:rsidR="00A371B8">
        <w:tc>
          <w:tcPr>
            <w:tcW w:w="4621" w:type="dxa"/>
          </w:tcPr>
          <w:p w:rsidR="00A371B8" w:rsidRDefault="00A371B8" w:rsidP="00D04F1F">
            <w:pPr>
              <w:autoSpaceDE w:val="0"/>
              <w:autoSpaceDN w:val="0"/>
              <w:adjustRightInd w:val="0"/>
              <w:spacing w:line="360" w:lineRule="auto"/>
              <w:jc w:val="center"/>
              <w:rPr>
                <w:rFonts w:ascii="Garamond" w:hAnsi="Garamond"/>
                <w:sz w:val="24"/>
                <w:szCs w:val="24"/>
              </w:rPr>
            </w:pPr>
            <w:r w:rsidRPr="002650CB">
              <w:rPr>
                <w:rFonts w:ascii="Garamond" w:hAnsi="Garamond"/>
                <w:noProof/>
                <w:sz w:val="24"/>
                <w:szCs w:val="24"/>
                <w:lang w:eastAsia="en-GB"/>
              </w:rPr>
              <w:drawing>
                <wp:inline distT="0" distB="0" distL="0" distR="0">
                  <wp:extent cx="3067050" cy="2604747"/>
                  <wp:effectExtent l="19050" t="0" r="0" b="0"/>
                  <wp:docPr id="5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3" cstate="print"/>
                          <a:srcRect/>
                          <a:stretch>
                            <a:fillRect/>
                          </a:stretch>
                        </pic:blipFill>
                        <pic:spPr bwMode="auto">
                          <a:xfrm>
                            <a:off x="0" y="0"/>
                            <a:ext cx="3074972" cy="2611475"/>
                          </a:xfrm>
                          <a:prstGeom prst="rect">
                            <a:avLst/>
                          </a:prstGeom>
                          <a:noFill/>
                          <a:ln w="9525">
                            <a:noFill/>
                            <a:miter lim="800000"/>
                            <a:headEnd/>
                            <a:tailEnd/>
                          </a:ln>
                        </pic:spPr>
                      </pic:pic>
                    </a:graphicData>
                  </a:graphic>
                </wp:inline>
              </w:drawing>
            </w:r>
          </w:p>
        </w:tc>
        <w:tc>
          <w:tcPr>
            <w:tcW w:w="4621" w:type="dxa"/>
          </w:tcPr>
          <w:p w:rsidR="00446259" w:rsidRDefault="00E55C40" w:rsidP="00E55C40">
            <w:pPr>
              <w:pStyle w:val="Caption"/>
              <w:rPr>
                <w:rFonts w:ascii="Perpetua" w:hAnsi="Perpetua"/>
                <w:b w:val="0"/>
                <w:color w:val="auto"/>
                <w:sz w:val="20"/>
                <w:szCs w:val="20"/>
              </w:rPr>
            </w:pPr>
            <w:bookmarkStart w:id="842" w:name="_Toc263509085"/>
            <w:bookmarkStart w:id="843" w:name="_Toc263510872"/>
            <w:bookmarkStart w:id="844" w:name="_Toc244577350"/>
            <w:bookmarkStart w:id="845" w:name="_Toc263495819"/>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88</w:t>
            </w:r>
            <w:r w:rsidR="00DF2DF8" w:rsidRPr="00446259">
              <w:rPr>
                <w:rFonts w:ascii="Perpetua" w:hAnsi="Perpetua"/>
                <w:b w:val="0"/>
                <w:color w:val="auto"/>
                <w:sz w:val="20"/>
              </w:rPr>
              <w:fldChar w:fldCharType="end"/>
            </w:r>
            <w:r w:rsidR="00A371B8" w:rsidRPr="00446259">
              <w:rPr>
                <w:rFonts w:ascii="Perpetua" w:hAnsi="Perpetua"/>
                <w:b w:val="0"/>
                <w:color w:val="auto"/>
                <w:sz w:val="20"/>
                <w:szCs w:val="20"/>
              </w:rPr>
              <w:t>:</w:t>
            </w:r>
            <w:r w:rsidR="00A371B8" w:rsidRPr="00E55C40">
              <w:rPr>
                <w:rFonts w:ascii="Perpetua" w:hAnsi="Perpetua"/>
                <w:b w:val="0"/>
                <w:color w:val="auto"/>
                <w:sz w:val="20"/>
                <w:szCs w:val="20"/>
              </w:rPr>
              <w:t xml:space="preserve"> Photograph from the art exhibition in De Waag during the BOA's union solidarity action-week against apartheid in 1982.</w:t>
            </w:r>
            <w:bookmarkEnd w:id="842"/>
            <w:bookmarkEnd w:id="843"/>
            <w:r w:rsidR="00A371B8" w:rsidRPr="00E55C40">
              <w:rPr>
                <w:rFonts w:ascii="Perpetua" w:hAnsi="Perpetua"/>
                <w:b w:val="0"/>
                <w:color w:val="auto"/>
                <w:sz w:val="20"/>
                <w:szCs w:val="20"/>
              </w:rPr>
              <w:t xml:space="preserve"> </w:t>
            </w:r>
          </w:p>
          <w:p w:rsidR="00A371B8" w:rsidRPr="00446259" w:rsidRDefault="00A371B8" w:rsidP="00446259">
            <w:pPr>
              <w:rPr>
                <w:rFonts w:ascii="Perpetua" w:hAnsi="Perpetua"/>
                <w:sz w:val="20"/>
              </w:rPr>
            </w:pPr>
            <w:r w:rsidRPr="00446259">
              <w:rPr>
                <w:rFonts w:ascii="Perpetua" w:hAnsi="Perpetua"/>
                <w:sz w:val="20"/>
              </w:rPr>
              <w:t>The exhibition which was first shown during Leiden Against Apartheid forged relationships between anti-apartheid artists, SACTU and the Dutch labour movement (the Federatie Nederlandse Vakbeweging).</w:t>
            </w:r>
            <w:bookmarkEnd w:id="844"/>
            <w:bookmarkEnd w:id="845"/>
            <w:r w:rsidR="00446259">
              <w:rPr>
                <w:rStyle w:val="FootnoteReference"/>
                <w:rFonts w:ascii="Perpetua" w:hAnsi="Perpetua"/>
                <w:sz w:val="20"/>
              </w:rPr>
              <w:footnoteReference w:id="280"/>
            </w:r>
          </w:p>
          <w:p w:rsidR="00A371B8" w:rsidRDefault="00A371B8" w:rsidP="00D04F1F">
            <w:pPr>
              <w:autoSpaceDE w:val="0"/>
              <w:autoSpaceDN w:val="0"/>
              <w:adjustRightInd w:val="0"/>
              <w:spacing w:line="360" w:lineRule="auto"/>
              <w:jc w:val="center"/>
              <w:rPr>
                <w:rFonts w:ascii="Garamond" w:hAnsi="Garamond"/>
                <w:sz w:val="24"/>
                <w:szCs w:val="24"/>
              </w:rPr>
            </w:pPr>
          </w:p>
        </w:tc>
      </w:tr>
    </w:tbl>
    <w:p w:rsidR="00A371B8" w:rsidRDefault="00A371B8" w:rsidP="00A371B8">
      <w:pPr>
        <w:autoSpaceDE w:val="0"/>
        <w:autoSpaceDN w:val="0"/>
        <w:adjustRightInd w:val="0"/>
        <w:spacing w:after="0" w:line="360" w:lineRule="auto"/>
        <w:jc w:val="center"/>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p>
    <w:p w:rsidR="00A371B8" w:rsidRDefault="00A371B8" w:rsidP="00A371B8">
      <w:pPr>
        <w:autoSpaceDE w:val="0"/>
        <w:autoSpaceDN w:val="0"/>
        <w:adjustRightInd w:val="0"/>
        <w:spacing w:after="0" w:line="360" w:lineRule="auto"/>
        <w:jc w:val="both"/>
        <w:rPr>
          <w:rFonts w:ascii="Perpetua" w:hAnsi="Perpetua"/>
          <w:sz w:val="20"/>
          <w:szCs w:val="20"/>
        </w:rPr>
      </w:pPr>
    </w:p>
    <w:p w:rsidR="00462E99" w:rsidRDefault="00462E99" w:rsidP="00462E99"/>
    <w:p w:rsidR="00A371B8" w:rsidRPr="002650CB" w:rsidRDefault="00E55C40" w:rsidP="00A371B8">
      <w:pPr>
        <w:autoSpaceDE w:val="0"/>
        <w:autoSpaceDN w:val="0"/>
        <w:adjustRightInd w:val="0"/>
        <w:spacing w:after="0" w:line="360" w:lineRule="auto"/>
        <w:jc w:val="center"/>
        <w:rPr>
          <w:rFonts w:ascii="Garamond" w:hAnsi="Garamond"/>
          <w:sz w:val="24"/>
          <w:szCs w:val="24"/>
        </w:rPr>
      </w:pPr>
      <w:r w:rsidRPr="00E43559">
        <w:rPr>
          <w:rFonts w:ascii="Garamond" w:hAnsi="Garamond"/>
          <w:noProof/>
          <w:sz w:val="24"/>
          <w:szCs w:val="24"/>
          <w:lang w:eastAsia="en-GB"/>
        </w:rPr>
        <w:lastRenderedPageBreak/>
        <w:drawing>
          <wp:inline distT="0" distB="0" distL="0" distR="0">
            <wp:extent cx="2320003" cy="3746500"/>
            <wp:effectExtent l="25400" t="0" r="0" b="0"/>
            <wp:docPr id="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cstate="print"/>
                    <a:srcRect/>
                    <a:stretch>
                      <a:fillRect/>
                    </a:stretch>
                  </pic:blipFill>
                  <pic:spPr bwMode="auto">
                    <a:xfrm>
                      <a:off x="0" y="0"/>
                      <a:ext cx="2319727" cy="3746054"/>
                    </a:xfrm>
                    <a:prstGeom prst="rect">
                      <a:avLst/>
                    </a:prstGeom>
                    <a:noFill/>
                    <a:ln w="9525">
                      <a:noFill/>
                      <a:miter lim="800000"/>
                      <a:headEnd/>
                      <a:tailEnd/>
                    </a:ln>
                  </pic:spPr>
                </pic:pic>
              </a:graphicData>
            </a:graphic>
          </wp:inline>
        </w:drawing>
      </w:r>
      <w:r w:rsidR="00A371B8">
        <w:rPr>
          <w:rFonts w:ascii="Garamond" w:hAnsi="Garamond"/>
          <w:sz w:val="24"/>
          <w:szCs w:val="24"/>
        </w:rPr>
        <w:t xml:space="preserve">            </w:t>
      </w:r>
      <w:r w:rsidR="00A371B8" w:rsidRPr="002650CB">
        <w:rPr>
          <w:rFonts w:ascii="Garamond" w:hAnsi="Garamond"/>
          <w:noProof/>
          <w:sz w:val="24"/>
          <w:szCs w:val="24"/>
          <w:lang w:eastAsia="en-GB"/>
        </w:rPr>
        <w:drawing>
          <wp:inline distT="0" distB="0" distL="0" distR="0">
            <wp:extent cx="2371725" cy="3733611"/>
            <wp:effectExtent l="38100" t="19050" r="28575" b="19239"/>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cstate="print"/>
                    <a:srcRect/>
                    <a:stretch>
                      <a:fillRect/>
                    </a:stretch>
                  </pic:blipFill>
                  <pic:spPr bwMode="auto">
                    <a:xfrm>
                      <a:off x="0" y="0"/>
                      <a:ext cx="2371397" cy="3733095"/>
                    </a:xfrm>
                    <a:prstGeom prst="rect">
                      <a:avLst/>
                    </a:prstGeom>
                    <a:noFill/>
                    <a:ln w="0">
                      <a:solidFill>
                        <a:schemeClr val="tx1"/>
                      </a:solidFill>
                      <a:miter lim="800000"/>
                      <a:headEnd/>
                      <a:tailEnd/>
                    </a:ln>
                  </pic:spPr>
                </pic:pic>
              </a:graphicData>
            </a:graphic>
          </wp:inline>
        </w:drawing>
      </w:r>
    </w:p>
    <w:p w:rsidR="00446259" w:rsidRDefault="00E55C40" w:rsidP="00446259">
      <w:pPr>
        <w:pStyle w:val="Caption"/>
        <w:jc w:val="center"/>
        <w:rPr>
          <w:rStyle w:val="hps"/>
          <w:b w:val="0"/>
          <w:bCs w:val="0"/>
          <w:color w:val="auto"/>
          <w:sz w:val="22"/>
          <w:szCs w:val="22"/>
        </w:rPr>
      </w:pPr>
      <w:bookmarkStart w:id="846" w:name="_Toc263509086"/>
      <w:bookmarkStart w:id="847" w:name="_Toc263510873"/>
      <w:bookmarkStart w:id="848" w:name="_Toc244577351"/>
      <w:bookmarkStart w:id="849" w:name="_Toc263495820"/>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89</w:t>
      </w:r>
      <w:r w:rsidR="00DF2DF8" w:rsidRPr="00446259">
        <w:rPr>
          <w:rFonts w:ascii="Perpetua" w:hAnsi="Perpetua"/>
          <w:b w:val="0"/>
          <w:color w:val="auto"/>
          <w:sz w:val="20"/>
        </w:rPr>
        <w:fldChar w:fldCharType="end"/>
      </w:r>
      <w:r w:rsidRPr="00446259">
        <w:rPr>
          <w:rFonts w:ascii="Perpetua" w:hAnsi="Perpetua"/>
          <w:b w:val="0"/>
          <w:color w:val="auto"/>
          <w:sz w:val="20"/>
        </w:rPr>
        <w:t>:</w:t>
      </w:r>
      <w:r w:rsidR="00446259">
        <w:rPr>
          <w:rStyle w:val="hps"/>
          <w:rFonts w:ascii="Perpetua" w:hAnsi="Perpetua"/>
          <w:b w:val="0"/>
          <w:color w:val="auto"/>
          <w:sz w:val="20"/>
          <w:szCs w:val="20"/>
        </w:rPr>
        <w:t xml:space="preserve"> Pairing front covers to </w:t>
      </w:r>
      <w:r w:rsidR="00446259" w:rsidRPr="00446259">
        <w:rPr>
          <w:rStyle w:val="hps"/>
          <w:rFonts w:ascii="Perpetua" w:hAnsi="Perpetua"/>
          <w:b w:val="0"/>
          <w:i/>
          <w:color w:val="auto"/>
          <w:sz w:val="20"/>
          <w:szCs w:val="20"/>
        </w:rPr>
        <w:t>Writers Against Apartheid</w:t>
      </w:r>
      <w:r w:rsidR="00446259">
        <w:rPr>
          <w:rStyle w:val="hps"/>
          <w:rFonts w:ascii="Perpetua" w:hAnsi="Perpetua"/>
          <w:b w:val="0"/>
          <w:color w:val="auto"/>
          <w:sz w:val="20"/>
          <w:szCs w:val="20"/>
        </w:rPr>
        <w:t xml:space="preserve"> (1979).</w:t>
      </w:r>
      <w:bookmarkEnd w:id="846"/>
      <w:bookmarkEnd w:id="847"/>
    </w:p>
    <w:p w:rsidR="00A371B8" w:rsidRPr="00446259" w:rsidRDefault="00446259" w:rsidP="00446259">
      <w:pPr>
        <w:rPr>
          <w:rFonts w:ascii="Perpetua" w:hAnsi="Perpetua"/>
          <w:sz w:val="20"/>
        </w:rPr>
      </w:pPr>
      <w:r w:rsidRPr="00446259">
        <w:rPr>
          <w:rFonts w:ascii="Perpetua" w:hAnsi="Perpetua"/>
          <w:sz w:val="20"/>
        </w:rPr>
        <w:t>This</w:t>
      </w:r>
      <w:r w:rsidR="00A371B8" w:rsidRPr="00446259">
        <w:rPr>
          <w:rFonts w:ascii="Perpetua" w:hAnsi="Perpetua"/>
          <w:sz w:val="20"/>
        </w:rPr>
        <w:t xml:space="preserve"> anthology</w:t>
      </w:r>
      <w:r w:rsidRPr="00446259">
        <w:rPr>
          <w:rFonts w:ascii="Perpetua" w:hAnsi="Perpetua"/>
          <w:sz w:val="20"/>
        </w:rPr>
        <w:t xml:space="preserve"> is</w:t>
      </w:r>
      <w:r w:rsidR="00A371B8" w:rsidRPr="00446259">
        <w:rPr>
          <w:rFonts w:ascii="Perpetua" w:hAnsi="Perpetua"/>
          <w:sz w:val="20"/>
        </w:rPr>
        <w:t xml:space="preserve"> based on the performances and readings given in De Waag during Leiden Agai</w:t>
      </w:r>
      <w:r w:rsidRPr="00446259">
        <w:rPr>
          <w:rFonts w:ascii="Perpetua" w:hAnsi="Perpetua"/>
          <w:sz w:val="20"/>
        </w:rPr>
        <w:t>nst Apartheid in December 1979, p</w:t>
      </w:r>
      <w:r w:rsidR="00A371B8" w:rsidRPr="00446259">
        <w:rPr>
          <w:rFonts w:ascii="Perpetua" w:hAnsi="Perpetua"/>
          <w:sz w:val="20"/>
        </w:rPr>
        <w:t>ublished by the BOA and Horus. Introduction by Karel Roskam and Barry Feinburg</w:t>
      </w:r>
      <w:bookmarkEnd w:id="848"/>
      <w:bookmarkEnd w:id="849"/>
      <w:r w:rsidRPr="00446259">
        <w:rPr>
          <w:rFonts w:ascii="Perpetua" w:hAnsi="Perpetua"/>
          <w:sz w:val="20"/>
        </w:rPr>
        <w:t>.</w:t>
      </w:r>
    </w:p>
    <w:p w:rsidR="00A371B8" w:rsidRPr="002650CB" w:rsidRDefault="00A371B8" w:rsidP="00A371B8">
      <w:pPr>
        <w:autoSpaceDE w:val="0"/>
        <w:autoSpaceDN w:val="0"/>
        <w:adjustRightInd w:val="0"/>
        <w:spacing w:after="0" w:line="360" w:lineRule="auto"/>
        <w:jc w:val="center"/>
        <w:rPr>
          <w:rFonts w:ascii="Garamond" w:hAnsi="Garamond"/>
          <w:sz w:val="24"/>
          <w:szCs w:val="24"/>
        </w:rPr>
      </w:pPr>
      <w:r w:rsidRPr="002650CB">
        <w:rPr>
          <w:rFonts w:ascii="Garamond" w:hAnsi="Garamond"/>
          <w:noProof/>
          <w:lang w:eastAsia="en-GB"/>
        </w:rPr>
        <w:drawing>
          <wp:inline distT="0" distB="0" distL="0" distR="0">
            <wp:extent cx="4319034" cy="2867125"/>
            <wp:effectExtent l="19050" t="0" r="5316" b="0"/>
            <wp:docPr id="62" name="Picture 4" descr="http://afbeeldingen.gahetna.nl/naa/thumb/800x600/f5fd5e0a-f1f9-0331-017d-945a4429e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fbeeldingen.gahetna.nl/naa/thumb/800x600/f5fd5e0a-f1f9-0331-017d-945a4429e16c.jpg"/>
                    <pic:cNvPicPr>
                      <a:picLocks noChangeAspect="1" noChangeArrowheads="1"/>
                    </pic:cNvPicPr>
                  </pic:nvPicPr>
                  <pic:blipFill>
                    <a:blip r:embed="rId136" cstate="print"/>
                    <a:srcRect/>
                    <a:stretch>
                      <a:fillRect/>
                    </a:stretch>
                  </pic:blipFill>
                  <pic:spPr bwMode="auto">
                    <a:xfrm>
                      <a:off x="0" y="0"/>
                      <a:ext cx="4319702" cy="2867568"/>
                    </a:xfrm>
                    <a:prstGeom prst="rect">
                      <a:avLst/>
                    </a:prstGeom>
                    <a:noFill/>
                    <a:ln w="9525">
                      <a:noFill/>
                      <a:miter lim="800000"/>
                      <a:headEnd/>
                      <a:tailEnd/>
                    </a:ln>
                  </pic:spPr>
                </pic:pic>
              </a:graphicData>
            </a:graphic>
          </wp:inline>
        </w:drawing>
      </w:r>
    </w:p>
    <w:p w:rsidR="00A371B8" w:rsidRPr="002650CB" w:rsidRDefault="00A371B8" w:rsidP="0083568A">
      <w:pPr>
        <w:autoSpaceDE w:val="0"/>
        <w:autoSpaceDN w:val="0"/>
        <w:adjustRightInd w:val="0"/>
        <w:spacing w:after="0" w:line="360" w:lineRule="auto"/>
        <w:ind w:left="709" w:right="651"/>
        <w:jc w:val="both"/>
        <w:rPr>
          <w:rStyle w:val="hps"/>
        </w:rPr>
      </w:pPr>
    </w:p>
    <w:p w:rsidR="00446259" w:rsidRDefault="00A053CA" w:rsidP="0083568A">
      <w:pPr>
        <w:pStyle w:val="Caption"/>
        <w:ind w:left="709" w:right="651"/>
        <w:jc w:val="both"/>
        <w:rPr>
          <w:rFonts w:ascii="Perpetua" w:hAnsi="Perpetua"/>
          <w:b w:val="0"/>
          <w:color w:val="auto"/>
          <w:sz w:val="20"/>
          <w:szCs w:val="20"/>
        </w:rPr>
      </w:pPr>
      <w:bookmarkStart w:id="850" w:name="_Toc263509087"/>
      <w:bookmarkStart w:id="851" w:name="_Toc263510874"/>
      <w:bookmarkStart w:id="852" w:name="_Toc244577352"/>
      <w:bookmarkStart w:id="853" w:name="_Toc263495821"/>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90</w:t>
      </w:r>
      <w:r w:rsidR="00DF2DF8" w:rsidRPr="00446259">
        <w:rPr>
          <w:rFonts w:ascii="Perpetua" w:hAnsi="Perpetua"/>
          <w:b w:val="0"/>
          <w:color w:val="auto"/>
          <w:sz w:val="20"/>
        </w:rPr>
        <w:fldChar w:fldCharType="end"/>
      </w:r>
      <w:r w:rsidR="00A371B8" w:rsidRPr="00446259">
        <w:rPr>
          <w:rFonts w:ascii="Perpetua" w:hAnsi="Perpetua"/>
          <w:b w:val="0"/>
          <w:color w:val="auto"/>
          <w:sz w:val="20"/>
          <w:szCs w:val="20"/>
        </w:rPr>
        <w:t>:</w:t>
      </w:r>
      <w:r w:rsidR="00446259">
        <w:rPr>
          <w:rFonts w:ascii="Perpetua" w:hAnsi="Perpetua"/>
          <w:b w:val="0"/>
          <w:color w:val="auto"/>
          <w:sz w:val="20"/>
          <w:szCs w:val="20"/>
        </w:rPr>
        <w:t xml:space="preserve"> Photograph of the ‘Writers Against Apartheid' (Manuel Kneepkens on left) protesting outside the South African Embassy, 1982.</w:t>
      </w:r>
      <w:bookmarkEnd w:id="850"/>
      <w:bookmarkEnd w:id="851"/>
    </w:p>
    <w:p w:rsidR="00A371B8" w:rsidRPr="00446259" w:rsidRDefault="00A371B8" w:rsidP="00446259">
      <w:pPr>
        <w:ind w:left="709"/>
        <w:rPr>
          <w:rFonts w:ascii="Perpetua" w:hAnsi="Perpetua"/>
          <w:sz w:val="20"/>
        </w:rPr>
      </w:pPr>
      <w:r w:rsidRPr="00446259">
        <w:rPr>
          <w:rFonts w:ascii="Perpetua" w:hAnsi="Perpetua"/>
          <w:sz w:val="20"/>
        </w:rPr>
        <w:t>Several of the organizations initiated by the BOA in Leiden Against Apartheid became autonomous anti-apartheid groups. Source: Nationaal Archief, CC-BY-SA. 930-884.</w:t>
      </w:r>
      <w:bookmarkEnd w:id="852"/>
      <w:bookmarkEnd w:id="853"/>
      <w:r w:rsidRPr="00446259">
        <w:rPr>
          <w:rFonts w:ascii="Perpetua" w:hAnsi="Perpetua"/>
          <w:sz w:val="20"/>
        </w:rPr>
        <w:t xml:space="preserve"> </w:t>
      </w:r>
    </w:p>
    <w:p w:rsidR="00A371B8" w:rsidRPr="007561D1" w:rsidRDefault="00A371B8" w:rsidP="00A371B8">
      <w:pPr>
        <w:spacing w:line="360" w:lineRule="auto"/>
        <w:jc w:val="both"/>
        <w:rPr>
          <w:rFonts w:ascii="Garamond" w:hAnsi="Garamond"/>
          <w: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580"/>
        <w:gridCol w:w="3942"/>
      </w:tblGrid>
      <w:tr w:rsidR="00A371B8">
        <w:tc>
          <w:tcPr>
            <w:tcW w:w="4621" w:type="dxa"/>
          </w:tcPr>
          <w:p w:rsidR="00A371B8" w:rsidRPr="0009707A" w:rsidRDefault="00A371B8" w:rsidP="00D04F1F">
            <w:pPr>
              <w:spacing w:line="360" w:lineRule="auto"/>
              <w:jc w:val="center"/>
              <w:rPr>
                <w:rFonts w:ascii="Garamond" w:hAnsi="Garamond"/>
                <w:i/>
              </w:rPr>
            </w:pPr>
            <w:r w:rsidRPr="0009707A">
              <w:rPr>
                <w:rFonts w:ascii="Garamond" w:hAnsi="Garamond"/>
                <w:i/>
                <w:noProof/>
                <w:lang w:eastAsia="en-GB"/>
              </w:rPr>
              <w:lastRenderedPageBreak/>
              <w:drawing>
                <wp:inline distT="0" distB="0" distL="0" distR="0">
                  <wp:extent cx="2640832" cy="3519376"/>
                  <wp:effectExtent l="19050" t="0" r="7118" b="0"/>
                  <wp:docPr id="63" name="Picture 1" descr="http://disseminate.objectrepository.org/file/level2/10622/3005100272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sseminate.objectrepository.org/file/level2/10622/30051002720701"/>
                          <pic:cNvPicPr>
                            <a:picLocks noChangeAspect="1" noChangeArrowheads="1"/>
                          </pic:cNvPicPr>
                        </pic:nvPicPr>
                        <pic:blipFill>
                          <a:blip r:embed="rId137" cstate="print"/>
                          <a:srcRect/>
                          <a:stretch>
                            <a:fillRect/>
                          </a:stretch>
                        </pic:blipFill>
                        <pic:spPr bwMode="auto">
                          <a:xfrm>
                            <a:off x="0" y="0"/>
                            <a:ext cx="2645269" cy="3525289"/>
                          </a:xfrm>
                          <a:prstGeom prst="rect">
                            <a:avLst/>
                          </a:prstGeom>
                          <a:noFill/>
                          <a:ln w="9525">
                            <a:noFill/>
                            <a:miter lim="800000"/>
                            <a:headEnd/>
                            <a:tailEnd/>
                          </a:ln>
                        </pic:spPr>
                      </pic:pic>
                    </a:graphicData>
                  </a:graphic>
                </wp:inline>
              </w:drawing>
            </w:r>
          </w:p>
        </w:tc>
        <w:tc>
          <w:tcPr>
            <w:tcW w:w="4621" w:type="dxa"/>
          </w:tcPr>
          <w:p w:rsidR="00A371B8" w:rsidRDefault="00A371B8" w:rsidP="00D04F1F">
            <w:pPr>
              <w:rPr>
                <w:rFonts w:ascii="Perpetua" w:hAnsi="Perpetua"/>
                <w:sz w:val="20"/>
                <w:szCs w:val="20"/>
              </w:rPr>
            </w:pPr>
          </w:p>
          <w:p w:rsidR="00A371B8" w:rsidRDefault="00A371B8" w:rsidP="00D04F1F">
            <w:pPr>
              <w:rPr>
                <w:rFonts w:ascii="Perpetua" w:hAnsi="Perpetua"/>
                <w:sz w:val="20"/>
                <w:szCs w:val="20"/>
              </w:rPr>
            </w:pPr>
          </w:p>
          <w:p w:rsidR="00A371B8" w:rsidRPr="00A053CA" w:rsidRDefault="00A371B8" w:rsidP="00D04F1F">
            <w:pPr>
              <w:rPr>
                <w:rFonts w:ascii="Perpetua" w:hAnsi="Perpetua"/>
                <w:sz w:val="20"/>
                <w:szCs w:val="20"/>
              </w:rPr>
            </w:pPr>
          </w:p>
          <w:p w:rsidR="00446259" w:rsidRDefault="00A053CA" w:rsidP="00A053CA">
            <w:pPr>
              <w:pStyle w:val="Caption"/>
              <w:rPr>
                <w:rFonts w:ascii="Perpetua" w:hAnsi="Perpetua"/>
                <w:b w:val="0"/>
                <w:color w:val="auto"/>
                <w:sz w:val="20"/>
                <w:szCs w:val="20"/>
              </w:rPr>
            </w:pPr>
            <w:bookmarkStart w:id="854" w:name="_Toc263509088"/>
            <w:bookmarkStart w:id="855" w:name="_Toc263510875"/>
            <w:bookmarkStart w:id="856" w:name="_Toc244577353"/>
            <w:bookmarkStart w:id="857" w:name="_Toc263495822"/>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91</w:t>
            </w:r>
            <w:r w:rsidR="00DF2DF8" w:rsidRPr="00446259">
              <w:rPr>
                <w:rFonts w:ascii="Perpetua" w:hAnsi="Perpetua"/>
                <w:b w:val="0"/>
                <w:color w:val="auto"/>
                <w:sz w:val="20"/>
              </w:rPr>
              <w:fldChar w:fldCharType="end"/>
            </w:r>
            <w:r w:rsidRPr="00446259">
              <w:rPr>
                <w:rFonts w:ascii="Perpetua" w:hAnsi="Perpetua"/>
                <w:b w:val="0"/>
                <w:color w:val="auto"/>
                <w:sz w:val="20"/>
              </w:rPr>
              <w:t>:</w:t>
            </w:r>
            <w:r w:rsidRPr="00A053CA">
              <w:rPr>
                <w:rFonts w:ascii="Perpetua" w:hAnsi="Perpetua"/>
                <w:b w:val="0"/>
                <w:color w:val="auto"/>
                <w:sz w:val="20"/>
              </w:rPr>
              <w:t xml:space="preserve"> </w:t>
            </w:r>
            <w:r w:rsidR="00446259">
              <w:rPr>
                <w:rFonts w:ascii="Perpetua" w:hAnsi="Perpetua"/>
                <w:b w:val="0"/>
                <w:color w:val="auto"/>
                <w:sz w:val="20"/>
              </w:rPr>
              <w:t>Transnational anti-apartheid music poster for musian Brian Isaacs, “</w:t>
            </w:r>
            <w:r w:rsidR="00A371B8" w:rsidRPr="00A053CA">
              <w:rPr>
                <w:rFonts w:ascii="Perpetua" w:hAnsi="Perpetua"/>
                <w:b w:val="0"/>
                <w:color w:val="auto"/>
                <w:sz w:val="20"/>
                <w:szCs w:val="20"/>
              </w:rPr>
              <w:t>A South African artist against apartheid" (1979).</w:t>
            </w:r>
            <w:bookmarkEnd w:id="854"/>
            <w:bookmarkEnd w:id="855"/>
            <w:r w:rsidR="00A371B8" w:rsidRPr="00A053CA">
              <w:rPr>
                <w:rFonts w:ascii="Perpetua" w:hAnsi="Perpetua"/>
                <w:b w:val="0"/>
                <w:color w:val="auto"/>
                <w:sz w:val="20"/>
                <w:szCs w:val="20"/>
              </w:rPr>
              <w:t xml:space="preserve"> </w:t>
            </w:r>
          </w:p>
          <w:p w:rsidR="00A371B8" w:rsidRPr="00446259" w:rsidRDefault="00446259" w:rsidP="00446259">
            <w:pPr>
              <w:rPr>
                <w:rFonts w:ascii="Perpetua" w:hAnsi="Perpetua"/>
                <w:sz w:val="20"/>
              </w:rPr>
            </w:pPr>
            <w:r w:rsidRPr="00446259">
              <w:rPr>
                <w:rFonts w:ascii="Perpetua" w:hAnsi="Perpetua"/>
                <w:sz w:val="20"/>
              </w:rPr>
              <w:t>Poster</w:t>
            </w:r>
            <w:r w:rsidR="00A371B8" w:rsidRPr="00446259">
              <w:rPr>
                <w:rFonts w:ascii="Perpetua" w:hAnsi="Perpetua"/>
                <w:sz w:val="20"/>
              </w:rPr>
              <w:t xml:space="preserve"> by the BOA's sister organization, the </w:t>
            </w:r>
            <w:r w:rsidRPr="00446259">
              <w:rPr>
                <w:rFonts w:ascii="Perpetua" w:hAnsi="Perpetua"/>
                <w:sz w:val="20"/>
              </w:rPr>
              <w:t xml:space="preserve">CAO. </w:t>
            </w:r>
            <w:r w:rsidR="00A371B8" w:rsidRPr="00446259">
              <w:rPr>
                <w:rFonts w:ascii="Perpetua" w:hAnsi="Perpetua"/>
                <w:sz w:val="20"/>
              </w:rPr>
              <w:t xml:space="preserve">After meeting and becoming friends with du Plessis during an anti-apartheid tour of universities in Sweden, Brian Isaacs performed with the BOA from 1975 onwards. </w:t>
            </w:r>
            <w:bookmarkEnd w:id="856"/>
            <w:bookmarkEnd w:id="857"/>
            <w:r w:rsidRPr="00446259">
              <w:rPr>
                <w:rFonts w:ascii="Perpetua" w:hAnsi="Perpetua"/>
                <w:sz w:val="20"/>
              </w:rPr>
              <w:t>Image courtesy of the IISH.</w:t>
            </w:r>
          </w:p>
          <w:p w:rsidR="00A371B8" w:rsidRDefault="00A371B8" w:rsidP="00D04F1F">
            <w:pPr>
              <w:spacing w:line="360" w:lineRule="auto"/>
              <w:jc w:val="center"/>
              <w:rPr>
                <w:rFonts w:ascii="Garamond" w:hAnsi="Garamond"/>
                <w:i/>
              </w:rPr>
            </w:pPr>
          </w:p>
        </w:tc>
      </w:tr>
    </w:tbl>
    <w:p w:rsidR="00A371B8" w:rsidRPr="002650CB" w:rsidRDefault="00A371B8" w:rsidP="00A371B8">
      <w:pPr>
        <w:spacing w:line="360" w:lineRule="auto"/>
        <w:jc w:val="center"/>
        <w:rPr>
          <w:rFonts w:ascii="Garamond" w:hAnsi="Garamond"/>
          <w:i/>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r w:rsidRPr="002650CB">
        <w:rPr>
          <w:rFonts w:ascii="Garamond" w:hAnsi="Garamond"/>
          <w:noProof/>
          <w:sz w:val="24"/>
          <w:szCs w:val="24"/>
          <w:lang w:eastAsia="en-GB"/>
        </w:rPr>
        <w:drawing>
          <wp:inline distT="0" distB="0" distL="0" distR="0">
            <wp:extent cx="4456706" cy="2794000"/>
            <wp:effectExtent l="25400" t="0" r="0" b="0"/>
            <wp:docPr id="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srcRect/>
                    <a:stretch>
                      <a:fillRect/>
                    </a:stretch>
                  </pic:blipFill>
                  <pic:spPr bwMode="auto">
                    <a:xfrm>
                      <a:off x="0" y="0"/>
                      <a:ext cx="4459759" cy="2795914"/>
                    </a:xfrm>
                    <a:prstGeom prst="rect">
                      <a:avLst/>
                    </a:prstGeom>
                    <a:noFill/>
                    <a:ln w="9525">
                      <a:noFill/>
                      <a:miter lim="800000"/>
                      <a:headEnd/>
                      <a:tailEnd/>
                    </a:ln>
                  </pic:spPr>
                </pic:pic>
              </a:graphicData>
            </a:graphic>
          </wp:inline>
        </w:drawing>
      </w:r>
    </w:p>
    <w:p w:rsidR="00446259" w:rsidRPr="00446259" w:rsidRDefault="00A053CA" w:rsidP="00446259">
      <w:pPr>
        <w:pStyle w:val="Caption"/>
        <w:ind w:left="709" w:right="651"/>
        <w:jc w:val="both"/>
        <w:rPr>
          <w:rStyle w:val="FootnoteReference"/>
          <w:b w:val="0"/>
          <w:bCs w:val="0"/>
          <w:color w:val="auto"/>
          <w:sz w:val="22"/>
          <w:szCs w:val="22"/>
        </w:rPr>
      </w:pPr>
      <w:bookmarkStart w:id="858" w:name="_Toc263509089"/>
      <w:bookmarkStart w:id="859" w:name="_Toc263510876"/>
      <w:bookmarkStart w:id="860" w:name="_Toc244577354"/>
      <w:bookmarkStart w:id="861" w:name="_Toc263495823"/>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92</w:t>
      </w:r>
      <w:r w:rsidR="00DF2DF8" w:rsidRPr="00446259">
        <w:rPr>
          <w:rFonts w:ascii="Perpetua" w:hAnsi="Perpetua"/>
          <w:b w:val="0"/>
          <w:color w:val="auto"/>
          <w:sz w:val="20"/>
        </w:rPr>
        <w:fldChar w:fldCharType="end"/>
      </w:r>
      <w:r w:rsidRPr="00446259">
        <w:rPr>
          <w:rFonts w:ascii="Perpetua" w:hAnsi="Perpetua"/>
          <w:b w:val="0"/>
          <w:color w:val="auto"/>
          <w:sz w:val="20"/>
          <w:szCs w:val="20"/>
        </w:rPr>
        <w:t>:</w:t>
      </w:r>
      <w:r w:rsidR="00446259">
        <w:rPr>
          <w:rFonts w:ascii="Perpetua" w:hAnsi="Perpetua"/>
          <w:b w:val="0"/>
          <w:color w:val="auto"/>
          <w:sz w:val="20"/>
          <w:szCs w:val="20"/>
        </w:rPr>
        <w:t xml:space="preserve"> </w:t>
      </w:r>
      <w:r w:rsidR="00A371B8" w:rsidRPr="00A053CA">
        <w:rPr>
          <w:rFonts w:ascii="Perpetua" w:hAnsi="Perpetua"/>
          <w:b w:val="0"/>
          <w:color w:val="auto"/>
          <w:sz w:val="20"/>
          <w:szCs w:val="20"/>
        </w:rPr>
        <w:t>Photograph of Leiden BOA office window displaying a selection of BOA posters during the 1979 urban campaign.</w:t>
      </w:r>
      <w:bookmarkEnd w:id="858"/>
      <w:bookmarkEnd w:id="859"/>
    </w:p>
    <w:p w:rsidR="00A371B8" w:rsidRPr="00446259" w:rsidRDefault="00446259" w:rsidP="00446259">
      <w:pPr>
        <w:ind w:left="709"/>
        <w:rPr>
          <w:rFonts w:ascii="Perpetua" w:hAnsi="Perpetua"/>
          <w:sz w:val="20"/>
        </w:rPr>
      </w:pPr>
      <w:r w:rsidRPr="00446259">
        <w:rPr>
          <w:rFonts w:ascii="Perpetua" w:hAnsi="Perpetua"/>
          <w:sz w:val="20"/>
        </w:rPr>
        <w:t>Illustrates visual street culture of anti-apartheid and antiracism. Stegeman, J., &amp; Nederlands Instituut voor Zuidelijk Afrika (Amsterdam). Image courtesy of IISH archive</w:t>
      </w:r>
      <w:bookmarkEnd w:id="860"/>
      <w:bookmarkEnd w:id="861"/>
      <w:r w:rsidRPr="00446259">
        <w:rPr>
          <w:rFonts w:ascii="Perpetua" w:hAnsi="Perpetua"/>
          <w:sz w:val="20"/>
        </w:rPr>
        <w:t>s.</w:t>
      </w:r>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center"/>
        <w:rPr>
          <w:rFonts w:ascii="Garamond" w:hAnsi="Garamond"/>
          <w:sz w:val="24"/>
          <w:szCs w:val="24"/>
        </w:rPr>
      </w:pPr>
      <w:r w:rsidRPr="00085121">
        <w:rPr>
          <w:rFonts w:ascii="Garamond" w:hAnsi="Garamond"/>
          <w:noProof/>
          <w:sz w:val="24"/>
          <w:szCs w:val="24"/>
          <w:lang w:eastAsia="en-GB"/>
        </w:rPr>
        <w:lastRenderedPageBreak/>
        <w:drawing>
          <wp:inline distT="0" distB="0" distL="0" distR="0">
            <wp:extent cx="3276181" cy="3835400"/>
            <wp:effectExtent l="25400" t="0" r="419" b="0"/>
            <wp:docPr id="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cstate="print"/>
                    <a:srcRect/>
                    <a:stretch>
                      <a:fillRect/>
                    </a:stretch>
                  </pic:blipFill>
                  <pic:spPr bwMode="auto">
                    <a:xfrm>
                      <a:off x="0" y="0"/>
                      <a:ext cx="3289015" cy="3850425"/>
                    </a:xfrm>
                    <a:prstGeom prst="rect">
                      <a:avLst/>
                    </a:prstGeom>
                    <a:noFill/>
                    <a:ln w="9525">
                      <a:noFill/>
                      <a:miter lim="800000"/>
                      <a:headEnd/>
                      <a:tailEnd/>
                    </a:ln>
                  </pic:spPr>
                </pic:pic>
              </a:graphicData>
            </a:graphic>
          </wp:inline>
        </w:drawing>
      </w:r>
    </w:p>
    <w:p w:rsidR="00446259" w:rsidRDefault="00446259" w:rsidP="00446259">
      <w:pPr>
        <w:pStyle w:val="Caption"/>
        <w:jc w:val="center"/>
        <w:rPr>
          <w:rFonts w:ascii="Perpetua" w:hAnsi="Perpetua"/>
          <w:b w:val="0"/>
          <w:color w:val="auto"/>
          <w:sz w:val="20"/>
          <w:szCs w:val="20"/>
        </w:rPr>
      </w:pPr>
      <w:bookmarkStart w:id="862" w:name="_Toc244577355"/>
      <w:bookmarkStart w:id="863" w:name="_Toc263495824"/>
      <w:r>
        <w:rPr>
          <w:rFonts w:ascii="Perpetua" w:hAnsi="Perpetua"/>
          <w:b w:val="0"/>
          <w:color w:val="auto"/>
          <w:sz w:val="20"/>
        </w:rPr>
        <w:t xml:space="preserve">  </w:t>
      </w:r>
      <w:bookmarkStart w:id="864" w:name="_Toc263509090"/>
      <w:bookmarkStart w:id="865" w:name="_Toc263510877"/>
      <w:r w:rsidR="00A053CA"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00A053CA"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93</w:t>
      </w:r>
      <w:r w:rsidR="00DF2DF8" w:rsidRPr="00446259">
        <w:rPr>
          <w:rFonts w:ascii="Perpetua" w:hAnsi="Perpetua"/>
          <w:b w:val="0"/>
          <w:color w:val="auto"/>
          <w:sz w:val="20"/>
        </w:rPr>
        <w:fldChar w:fldCharType="end"/>
      </w:r>
      <w:r w:rsidR="00A371B8" w:rsidRPr="00446259">
        <w:rPr>
          <w:rFonts w:ascii="Perpetua" w:hAnsi="Perpetua"/>
          <w:b w:val="0"/>
          <w:color w:val="auto"/>
          <w:sz w:val="20"/>
          <w:szCs w:val="20"/>
        </w:rPr>
        <w:t>:</w:t>
      </w:r>
      <w:r w:rsidR="00A371B8" w:rsidRPr="00A053CA">
        <w:rPr>
          <w:rFonts w:ascii="Perpetua" w:hAnsi="Perpetua"/>
          <w:b w:val="0"/>
          <w:color w:val="auto"/>
          <w:sz w:val="20"/>
          <w:szCs w:val="20"/>
        </w:rPr>
        <w:t xml:space="preserve"> 'Artists Against Apartheid' poster 1985 by the BOA and Gavin Jantjes.</w:t>
      </w:r>
      <w:bookmarkEnd w:id="862"/>
      <w:bookmarkEnd w:id="863"/>
      <w:bookmarkEnd w:id="864"/>
      <w:bookmarkEnd w:id="865"/>
    </w:p>
    <w:p w:rsidR="00A371B8" w:rsidRPr="00446259" w:rsidRDefault="00446259" w:rsidP="00446259">
      <w:pPr>
        <w:ind w:left="1276" w:right="1076"/>
        <w:rPr>
          <w:rFonts w:ascii="Perpetua" w:hAnsi="Perpetua"/>
          <w:sz w:val="20"/>
        </w:rPr>
      </w:pPr>
      <w:r w:rsidRPr="00446259">
        <w:rPr>
          <w:rFonts w:ascii="Perpetua" w:hAnsi="Perpetua"/>
          <w:sz w:val="20"/>
        </w:rPr>
        <w:t>Kunstenaars tegen apartheid: Tentoonstelling van Zuid-Afrikaanse en Nederlandse beeldende kunstenaars in de "Burcht", Leiden, 15-31 mei 1985, georganiseerd door de BOA.</w:t>
      </w:r>
    </w:p>
    <w:p w:rsidR="00A371B8" w:rsidRPr="00085121" w:rsidRDefault="00A371B8" w:rsidP="00A371B8">
      <w:pPr>
        <w:tabs>
          <w:tab w:val="left" w:pos="5670"/>
        </w:tabs>
        <w:jc w:val="center"/>
        <w:rPr>
          <w:rFonts w:ascii="Perpetua" w:hAnsi="Perpetua"/>
          <w:sz w:val="20"/>
          <w:szCs w:val="20"/>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On </w:t>
      </w:r>
      <w:r w:rsidR="00A053CA">
        <w:rPr>
          <w:rFonts w:ascii="Garamond" w:hAnsi="Garamond"/>
          <w:sz w:val="24"/>
          <w:szCs w:val="24"/>
        </w:rPr>
        <w:t xml:space="preserve">20 December, </w:t>
      </w:r>
      <w:r w:rsidRPr="002650CB">
        <w:rPr>
          <w:rFonts w:ascii="Garamond" w:hAnsi="Garamond"/>
          <w:sz w:val="24"/>
          <w:szCs w:val="24"/>
        </w:rPr>
        <w:t xml:space="preserve">De Waag hosted performance by the English Travelling Theatre </w:t>
      </w:r>
      <w:r>
        <w:rPr>
          <w:rFonts w:ascii="Garamond" w:hAnsi="Garamond"/>
          <w:sz w:val="24"/>
          <w:szCs w:val="24"/>
        </w:rPr>
        <w:t xml:space="preserve">of Athol Fugard's play, </w:t>
      </w:r>
      <w:r w:rsidRPr="007561D1">
        <w:rPr>
          <w:rFonts w:ascii="Garamond" w:hAnsi="Garamond"/>
          <w:i/>
          <w:sz w:val="24"/>
          <w:szCs w:val="24"/>
        </w:rPr>
        <w:t>Hello and Goodbye</w:t>
      </w:r>
      <w:r>
        <w:rPr>
          <w:rFonts w:ascii="Garamond" w:hAnsi="Garamond"/>
          <w:i/>
          <w:sz w:val="24"/>
          <w:szCs w:val="24"/>
        </w:rPr>
        <w:t xml:space="preserve">, </w:t>
      </w:r>
      <w:r>
        <w:rPr>
          <w:rFonts w:ascii="Garamond" w:hAnsi="Garamond"/>
          <w:sz w:val="24"/>
          <w:szCs w:val="24"/>
        </w:rPr>
        <w:t>a production that</w:t>
      </w:r>
      <w:r w:rsidRPr="002650CB">
        <w:rPr>
          <w:rFonts w:ascii="Garamond" w:hAnsi="Garamond"/>
          <w:sz w:val="24"/>
          <w:szCs w:val="24"/>
        </w:rPr>
        <w:t xml:space="preserve"> </w:t>
      </w:r>
      <w:r>
        <w:rPr>
          <w:rFonts w:ascii="Garamond" w:hAnsi="Garamond"/>
          <w:sz w:val="24"/>
          <w:szCs w:val="24"/>
        </w:rPr>
        <w:t>articulates</w:t>
      </w:r>
      <w:r w:rsidRPr="002650CB">
        <w:rPr>
          <w:rFonts w:ascii="Garamond" w:hAnsi="Garamond"/>
          <w:sz w:val="24"/>
          <w:szCs w:val="24"/>
        </w:rPr>
        <w:t xml:space="preserve"> the contradictions and difficulties of white wor</w:t>
      </w:r>
      <w:r>
        <w:rPr>
          <w:rFonts w:ascii="Garamond" w:hAnsi="Garamond"/>
          <w:sz w:val="24"/>
          <w:szCs w:val="24"/>
        </w:rPr>
        <w:t>king-class South African life. Writers Against Apartheid</w:t>
      </w:r>
      <w:r w:rsidRPr="002650CB">
        <w:rPr>
          <w:rFonts w:ascii="Garamond" w:hAnsi="Garamond"/>
          <w:sz w:val="24"/>
          <w:szCs w:val="24"/>
        </w:rPr>
        <w:t xml:space="preserve"> held a poetr</w:t>
      </w:r>
      <w:r>
        <w:rPr>
          <w:rFonts w:ascii="Garamond" w:hAnsi="Garamond"/>
          <w:sz w:val="24"/>
          <w:szCs w:val="24"/>
        </w:rPr>
        <w:t>y and prose evening at De Waag</w:t>
      </w:r>
      <w:r w:rsidRPr="002650CB">
        <w:rPr>
          <w:rFonts w:ascii="Garamond" w:hAnsi="Garamond"/>
          <w:sz w:val="24"/>
          <w:szCs w:val="24"/>
        </w:rPr>
        <w:t xml:space="preserve"> with readings from</w:t>
      </w:r>
      <w:r>
        <w:rPr>
          <w:rFonts w:ascii="Garamond" w:hAnsi="Garamond"/>
          <w:sz w:val="24"/>
          <w:szCs w:val="24"/>
        </w:rPr>
        <w:t xml:space="preserve"> poets and authors including</w:t>
      </w:r>
      <w:r w:rsidRPr="002650CB">
        <w:rPr>
          <w:rFonts w:ascii="Garamond" w:hAnsi="Garamond"/>
          <w:sz w:val="24"/>
          <w:szCs w:val="24"/>
        </w:rPr>
        <w:t xml:space="preserve"> Manuel Kneepkens, Barry Feinburg, Vernie Febr</w:t>
      </w:r>
      <w:r>
        <w:rPr>
          <w:rFonts w:ascii="Garamond" w:hAnsi="Garamond"/>
          <w:sz w:val="24"/>
          <w:szCs w:val="24"/>
        </w:rPr>
        <w:t xml:space="preserve">uary and Mazisi Kunene. </w:t>
      </w:r>
      <w:r w:rsidRPr="002650CB">
        <w:rPr>
          <w:rFonts w:ascii="Garamond" w:hAnsi="Garamond"/>
          <w:sz w:val="24"/>
          <w:szCs w:val="24"/>
        </w:rPr>
        <w:t>At Leiden leisure centre anti-apartheid films were shown throughout December, and a 'third world market' sold local Leiden goods alongside South African wares. The market acted as a fundraiser for the ANC and encouraged</w:t>
      </w:r>
      <w:r>
        <w:rPr>
          <w:rFonts w:ascii="Garamond" w:hAnsi="Garamond"/>
          <w:sz w:val="24"/>
          <w:szCs w:val="24"/>
        </w:rPr>
        <w:t xml:space="preserve"> consumers to buy into</w:t>
      </w:r>
      <w:r w:rsidRPr="002650CB">
        <w:rPr>
          <w:rFonts w:ascii="Garamond" w:hAnsi="Garamond"/>
          <w:sz w:val="24"/>
          <w:szCs w:val="24"/>
        </w:rPr>
        <w:t xml:space="preserve"> anti-apartheid </w:t>
      </w:r>
      <w:r>
        <w:rPr>
          <w:rFonts w:ascii="Garamond" w:hAnsi="Garamond"/>
          <w:sz w:val="24"/>
          <w:szCs w:val="24"/>
        </w:rPr>
        <w:t>by providing information on</w:t>
      </w:r>
      <w:r w:rsidRPr="002650CB">
        <w:rPr>
          <w:rFonts w:ascii="Garamond" w:hAnsi="Garamond"/>
          <w:sz w:val="24"/>
          <w:szCs w:val="24"/>
        </w:rPr>
        <w:t xml:space="preserve"> boycotted companies and commodities (Outspan, Cape, Shell, Barclays, AMRO),</w:t>
      </w:r>
      <w:r>
        <w:rPr>
          <w:rFonts w:ascii="Garamond" w:hAnsi="Garamond"/>
          <w:sz w:val="24"/>
          <w:szCs w:val="24"/>
        </w:rPr>
        <w:t xml:space="preserve"> and </w:t>
      </w:r>
      <w:r w:rsidRPr="002650CB">
        <w:rPr>
          <w:rFonts w:ascii="Garamond" w:hAnsi="Garamond"/>
          <w:sz w:val="24"/>
          <w:szCs w:val="24"/>
        </w:rPr>
        <w:t>selling handmade product</w:t>
      </w:r>
      <w:r>
        <w:rPr>
          <w:rFonts w:ascii="Garamond" w:hAnsi="Garamond"/>
          <w:sz w:val="24"/>
          <w:szCs w:val="24"/>
        </w:rPr>
        <w:t xml:space="preserve">s from black South Africa. The Women Against Apartheid </w:t>
      </w:r>
      <w:r w:rsidRPr="002650CB">
        <w:rPr>
          <w:rFonts w:ascii="Garamond" w:hAnsi="Garamond"/>
          <w:sz w:val="24"/>
          <w:szCs w:val="24"/>
        </w:rPr>
        <w:t>group hosted tal</w:t>
      </w:r>
      <w:r>
        <w:rPr>
          <w:rFonts w:ascii="Garamond" w:hAnsi="Garamond"/>
          <w:sz w:val="24"/>
          <w:szCs w:val="24"/>
        </w:rPr>
        <w:t>ks by exiled South Africans, and Churches Against Apartheid</w:t>
      </w:r>
      <w:r w:rsidRPr="002650CB">
        <w:rPr>
          <w:rFonts w:ascii="Garamond" w:hAnsi="Garamond"/>
          <w:sz w:val="24"/>
          <w:szCs w:val="24"/>
        </w:rPr>
        <w:t xml:space="preserve"> organized anti-apartheid themed sermo</w:t>
      </w:r>
      <w:r>
        <w:rPr>
          <w:rFonts w:ascii="Garamond" w:hAnsi="Garamond"/>
          <w:sz w:val="24"/>
          <w:szCs w:val="24"/>
        </w:rPr>
        <w:t>ns and worship across Leiden's Catholic and P</w:t>
      </w:r>
      <w:r w:rsidRPr="002650CB">
        <w:rPr>
          <w:rFonts w:ascii="Garamond" w:hAnsi="Garamond"/>
          <w:sz w:val="24"/>
          <w:szCs w:val="24"/>
        </w:rPr>
        <w:t>rotestant churches. During the Leiden Church South-Africa Day</w:t>
      </w:r>
      <w:r>
        <w:rPr>
          <w:rFonts w:ascii="Garamond" w:hAnsi="Garamond"/>
          <w:sz w:val="24"/>
          <w:szCs w:val="24"/>
        </w:rPr>
        <w:t>,</w:t>
      </w:r>
      <w:r w:rsidRPr="002650CB">
        <w:rPr>
          <w:rFonts w:ascii="Garamond" w:hAnsi="Garamond"/>
          <w:sz w:val="24"/>
          <w:szCs w:val="24"/>
        </w:rPr>
        <w:t xml:space="preserve"> Kairos activist and pastor, David De Beer spoke on </w:t>
      </w:r>
      <w:r>
        <w:rPr>
          <w:rFonts w:ascii="Garamond" w:hAnsi="Garamond"/>
          <w:sz w:val="24"/>
          <w:szCs w:val="24"/>
        </w:rPr>
        <w:t>the black struggle in South Africa to a congregation of two thousand</w:t>
      </w:r>
      <w:r w:rsidRPr="002650CB">
        <w:rPr>
          <w:rFonts w:ascii="Garamond" w:hAnsi="Garamond"/>
          <w:sz w:val="24"/>
          <w:szCs w:val="24"/>
        </w:rPr>
        <w:t xml:space="preserve"> (</w:t>
      </w:r>
      <w:r w:rsidRPr="002650CB">
        <w:rPr>
          <w:rFonts w:ascii="Garamond" w:hAnsi="Garamond"/>
          <w:sz w:val="24"/>
          <w:szCs w:val="24"/>
          <w:shd w:val="clear" w:color="auto" w:fill="FFFFFF"/>
        </w:rPr>
        <w:t>Abschlußbericht der Aktion</w:t>
      </w:r>
      <w:r w:rsidRPr="002650CB">
        <w:rPr>
          <w:rFonts w:ascii="Garamond" w:hAnsi="Garamond"/>
          <w:i/>
          <w:sz w:val="24"/>
          <w:szCs w:val="24"/>
          <w:shd w:val="clear" w:color="auto" w:fill="FFFFFF"/>
        </w:rPr>
        <w:t>,</w:t>
      </w:r>
      <w:r w:rsidRPr="002650CB">
        <w:rPr>
          <w:rFonts w:ascii="Garamond" w:hAnsi="Garamond"/>
          <w:sz w:val="24"/>
          <w:szCs w:val="24"/>
          <w:shd w:val="clear" w:color="auto" w:fill="FFFFFF"/>
        </w:rPr>
        <w:t xml:space="preserve"> 1980).    </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Artists and Wr</w:t>
      </w:r>
      <w:r>
        <w:rPr>
          <w:rFonts w:ascii="Garamond" w:hAnsi="Garamond"/>
          <w:sz w:val="24"/>
          <w:szCs w:val="24"/>
        </w:rPr>
        <w:t xml:space="preserve">iters Against Apartheid group </w:t>
      </w:r>
      <w:r w:rsidRPr="002650CB">
        <w:rPr>
          <w:rFonts w:ascii="Garamond" w:hAnsi="Garamond"/>
          <w:sz w:val="24"/>
          <w:szCs w:val="24"/>
        </w:rPr>
        <w:t>continued their activities into the 1980s. Gavin Jantjes worked with the BOA to design a</w:t>
      </w:r>
      <w:r>
        <w:rPr>
          <w:rFonts w:ascii="Garamond" w:hAnsi="Garamond"/>
          <w:sz w:val="24"/>
          <w:szCs w:val="24"/>
        </w:rPr>
        <w:t>nti-</w:t>
      </w:r>
      <w:r w:rsidR="0048108D">
        <w:rPr>
          <w:rFonts w:ascii="Garamond" w:hAnsi="Garamond"/>
          <w:sz w:val="24"/>
          <w:szCs w:val="24"/>
        </w:rPr>
        <w:t>apartheid posters (see Figure 93, above</w:t>
      </w:r>
      <w:r w:rsidRPr="002650CB">
        <w:rPr>
          <w:rFonts w:ascii="Garamond" w:hAnsi="Garamond"/>
          <w:sz w:val="24"/>
          <w:szCs w:val="24"/>
        </w:rPr>
        <w:t>) and to maintain an antiracist exhibition at De Waag. Following a series of workshops on apartheid and racism organized by du Plessis at various Leiden schools in 1979, teachers from 'Schools Against Apartheid' group decided to contribute a special 'schools' edition of the quarterly magazine called</w:t>
      </w:r>
      <w:r w:rsidRPr="002650CB">
        <w:rPr>
          <w:rFonts w:ascii="Garamond" w:hAnsi="Garamond"/>
          <w:i/>
          <w:sz w:val="24"/>
          <w:szCs w:val="24"/>
        </w:rPr>
        <w:t xml:space="preserve"> BOA Perspektief</w:t>
      </w:r>
      <w:r w:rsidRPr="002650CB">
        <w:rPr>
          <w:rFonts w:ascii="Garamond" w:hAnsi="Garamond"/>
          <w:sz w:val="24"/>
          <w:szCs w:val="24"/>
        </w:rPr>
        <w:t xml:space="preserve"> (BOA Perspective). The special edition was distributed to 700 subscribers across Holland, many of them schools (</w:t>
      </w:r>
      <w:r w:rsidRPr="002650CB">
        <w:rPr>
          <w:rFonts w:ascii="Garamond" w:hAnsi="Garamond"/>
          <w:sz w:val="24"/>
          <w:szCs w:val="24"/>
          <w:shd w:val="clear" w:color="auto" w:fill="FFFFFF"/>
        </w:rPr>
        <w:t>Abschulßbericht der Aktion</w:t>
      </w:r>
      <w:r w:rsidRPr="002650CB">
        <w:rPr>
          <w:rFonts w:ascii="Garamond" w:hAnsi="Garamond"/>
          <w:i/>
          <w:sz w:val="24"/>
          <w:szCs w:val="24"/>
          <w:shd w:val="clear" w:color="auto" w:fill="FFFFFF"/>
        </w:rPr>
        <w:t>,</w:t>
      </w:r>
      <w:r w:rsidRPr="002650CB">
        <w:rPr>
          <w:rFonts w:ascii="Garamond" w:hAnsi="Garamond"/>
          <w:sz w:val="24"/>
          <w:szCs w:val="24"/>
          <w:shd w:val="clear" w:color="auto" w:fill="FFFFFF"/>
        </w:rPr>
        <w:t xml:space="preserve"> 1980).</w:t>
      </w:r>
    </w:p>
    <w:p w:rsidR="00A371B8" w:rsidRPr="002650CB" w:rsidRDefault="00A371B8" w:rsidP="00A371B8">
      <w:pPr>
        <w:autoSpaceDE w:val="0"/>
        <w:autoSpaceDN w:val="0"/>
        <w:adjustRightInd w:val="0"/>
        <w:spacing w:after="0" w:line="360" w:lineRule="auto"/>
        <w:jc w:val="center"/>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 In coalition with the BOA and the AABN, several Leiden schools decided to 'adopt' the Soloman Mahlangu Freedom College</w:t>
      </w:r>
      <w:r>
        <w:rPr>
          <w:rFonts w:ascii="Garamond" w:hAnsi="Garamond"/>
          <w:sz w:val="24"/>
          <w:szCs w:val="24"/>
          <w:shd w:val="clear" w:color="auto" w:fill="FFFFFF"/>
        </w:rPr>
        <w:t>' in Mazimbu, Tanzania. During Leiden Against Apartheid</w:t>
      </w:r>
      <w:r w:rsidRPr="002650CB">
        <w:rPr>
          <w:rFonts w:ascii="Garamond" w:hAnsi="Garamond"/>
          <w:sz w:val="24"/>
          <w:szCs w:val="24"/>
          <w:shd w:val="clear" w:color="auto" w:fill="FFFFFF"/>
        </w:rPr>
        <w:t xml:space="preserve"> an exhibition  on the ANC school (for the educational and military training of young South African exiles) was arranged by students and teachers. Photographs of the school's ongoing construction were displayed next to its motto: </w:t>
      </w:r>
      <w:r w:rsidRPr="002650CB">
        <w:rPr>
          <w:rFonts w:ascii="Garamond" w:eastAsia="BatangChe" w:hAnsi="Garamond"/>
          <w:sz w:val="24"/>
          <w:szCs w:val="24"/>
        </w:rPr>
        <w:t>"Tell my people that I love them and they must continue the struggle. My blood will nourish the tree that will bear the fruits of freedom</w:t>
      </w:r>
      <w:r w:rsidRPr="002650CB">
        <w:rPr>
          <w:rFonts w:ascii="Garamond" w:hAnsi="Garamond"/>
          <w:sz w:val="24"/>
          <w:szCs w:val="24"/>
          <w:shd w:val="clear" w:color="auto" w:fill="FFFFFF"/>
        </w:rPr>
        <w:t>".</w:t>
      </w:r>
      <w:r w:rsidRPr="002650CB">
        <w:rPr>
          <w:rStyle w:val="FootnoteReference"/>
          <w:rFonts w:ascii="Garamond" w:hAnsi="Garamond"/>
          <w:sz w:val="24"/>
          <w:szCs w:val="24"/>
          <w:shd w:val="clear" w:color="auto" w:fill="FFFFFF"/>
        </w:rPr>
        <w:footnoteReference w:id="281"/>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390"/>
        <w:gridCol w:w="3132"/>
      </w:tblGrid>
      <w:tr w:rsidR="00A053CA">
        <w:tc>
          <w:tcPr>
            <w:tcW w:w="4261" w:type="dxa"/>
          </w:tcPr>
          <w:p w:rsidR="00A053CA" w:rsidRDefault="00A053CA"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noProof/>
                <w:sz w:val="24"/>
                <w:szCs w:val="24"/>
                <w:shd w:val="clear" w:color="auto" w:fill="FFFFFF"/>
                <w:lang w:eastAsia="en-GB"/>
              </w:rPr>
              <w:lastRenderedPageBreak/>
              <w:drawing>
                <wp:inline distT="0" distB="0" distL="0" distR="0">
                  <wp:extent cx="3266410" cy="4824270"/>
                  <wp:effectExtent l="19050" t="0" r="0" b="0"/>
                  <wp:docPr id="105" name="Picture 11" descr="C:\Users\hugh crosfield\Desktop\Freedom School Campus Mazimbu p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gh crosfield\Desktop\Freedom School Campus Mazimbu part 1.jpg"/>
                          <pic:cNvPicPr>
                            <a:picLocks noChangeAspect="1" noChangeArrowheads="1"/>
                          </pic:cNvPicPr>
                        </pic:nvPicPr>
                        <pic:blipFill>
                          <a:blip r:embed="rId140" cstate="print"/>
                          <a:srcRect/>
                          <a:stretch>
                            <a:fillRect/>
                          </a:stretch>
                        </pic:blipFill>
                        <pic:spPr bwMode="auto">
                          <a:xfrm>
                            <a:off x="0" y="0"/>
                            <a:ext cx="3277882" cy="4841214"/>
                          </a:xfrm>
                          <a:prstGeom prst="rect">
                            <a:avLst/>
                          </a:prstGeom>
                          <a:noFill/>
                          <a:ln w="9525">
                            <a:noFill/>
                            <a:miter lim="800000"/>
                            <a:headEnd/>
                            <a:tailEnd/>
                          </a:ln>
                        </pic:spPr>
                      </pic:pic>
                    </a:graphicData>
                  </a:graphic>
                </wp:inline>
              </w:drawing>
            </w:r>
          </w:p>
        </w:tc>
        <w:tc>
          <w:tcPr>
            <w:tcW w:w="4261" w:type="dxa"/>
          </w:tcPr>
          <w:p w:rsidR="00446259" w:rsidRDefault="00A053CA" w:rsidP="00A053CA">
            <w:pPr>
              <w:pStyle w:val="Caption"/>
              <w:rPr>
                <w:rFonts w:ascii="Garamond" w:hAnsi="Garamond"/>
                <w:b w:val="0"/>
                <w:color w:val="auto"/>
                <w:sz w:val="20"/>
              </w:rPr>
            </w:pPr>
            <w:bookmarkStart w:id="866" w:name="_Toc263509091"/>
            <w:bookmarkStart w:id="867" w:name="_Toc263510878"/>
            <w:bookmarkStart w:id="868" w:name="_Toc244577356"/>
            <w:bookmarkStart w:id="869" w:name="_Toc263495825"/>
            <w:r w:rsidRPr="00446259">
              <w:rPr>
                <w:rFonts w:ascii="Garamond" w:hAnsi="Garamond"/>
                <w:b w:val="0"/>
                <w:color w:val="auto"/>
                <w:sz w:val="20"/>
              </w:rPr>
              <w:t xml:space="preserve">Figure </w:t>
            </w:r>
            <w:r w:rsidR="00DF2DF8" w:rsidRPr="00446259">
              <w:rPr>
                <w:rFonts w:ascii="Garamond" w:hAnsi="Garamond"/>
                <w:b w:val="0"/>
                <w:color w:val="auto"/>
                <w:sz w:val="20"/>
              </w:rPr>
              <w:fldChar w:fldCharType="begin"/>
            </w:r>
            <w:r w:rsidRPr="00446259">
              <w:rPr>
                <w:rFonts w:ascii="Garamond" w:hAnsi="Garamond"/>
                <w:b w:val="0"/>
                <w:color w:val="auto"/>
                <w:sz w:val="20"/>
              </w:rPr>
              <w:instrText xml:space="preserve"> SEQ Figure \* ARABIC </w:instrText>
            </w:r>
            <w:r w:rsidR="00DF2DF8" w:rsidRPr="00446259">
              <w:rPr>
                <w:rFonts w:ascii="Garamond" w:hAnsi="Garamond"/>
                <w:b w:val="0"/>
                <w:color w:val="auto"/>
                <w:sz w:val="20"/>
              </w:rPr>
              <w:fldChar w:fldCharType="separate"/>
            </w:r>
            <w:r w:rsidR="002B3E92">
              <w:rPr>
                <w:rFonts w:ascii="Garamond" w:hAnsi="Garamond"/>
                <w:b w:val="0"/>
                <w:noProof/>
                <w:color w:val="auto"/>
                <w:sz w:val="20"/>
              </w:rPr>
              <w:t>94</w:t>
            </w:r>
            <w:r w:rsidR="00DF2DF8" w:rsidRPr="00446259">
              <w:rPr>
                <w:rFonts w:ascii="Garamond" w:hAnsi="Garamond"/>
                <w:b w:val="0"/>
                <w:color w:val="auto"/>
                <w:sz w:val="20"/>
              </w:rPr>
              <w:fldChar w:fldCharType="end"/>
            </w:r>
            <w:r w:rsidRPr="00446259">
              <w:rPr>
                <w:rFonts w:ascii="Garamond" w:hAnsi="Garamond"/>
                <w:b w:val="0"/>
                <w:color w:val="auto"/>
                <w:sz w:val="20"/>
              </w:rPr>
              <w:t>:</w:t>
            </w:r>
            <w:r w:rsidRPr="00A053CA">
              <w:rPr>
                <w:rFonts w:ascii="Garamond" w:hAnsi="Garamond"/>
                <w:b w:val="0"/>
                <w:color w:val="auto"/>
                <w:sz w:val="20"/>
              </w:rPr>
              <w:t xml:space="preserve"> Regional map of Tanzania showing ANC centres across the country.</w:t>
            </w:r>
            <w:bookmarkEnd w:id="866"/>
            <w:bookmarkEnd w:id="867"/>
            <w:r w:rsidRPr="00A053CA">
              <w:rPr>
                <w:rFonts w:ascii="Garamond" w:hAnsi="Garamond"/>
                <w:b w:val="0"/>
                <w:color w:val="auto"/>
                <w:sz w:val="20"/>
              </w:rPr>
              <w:t xml:space="preserve"> </w:t>
            </w:r>
          </w:p>
          <w:p w:rsidR="00A053CA" w:rsidRPr="00446259" w:rsidRDefault="00446259" w:rsidP="00446259">
            <w:pPr>
              <w:rPr>
                <w:rFonts w:ascii="Perpetua" w:hAnsi="Perpetua"/>
                <w:sz w:val="20"/>
              </w:rPr>
            </w:pPr>
            <w:r w:rsidRPr="00446259">
              <w:rPr>
                <w:rFonts w:ascii="Perpetua" w:hAnsi="Perpetua"/>
                <w:sz w:val="20"/>
              </w:rPr>
              <w:t xml:space="preserve">This maps BOA-ANC solidarities. </w:t>
            </w:r>
            <w:r w:rsidR="00A053CA" w:rsidRPr="00446259">
              <w:rPr>
                <w:rFonts w:ascii="Perpetua" w:hAnsi="Perpetua"/>
                <w:sz w:val="20"/>
              </w:rPr>
              <w:t>The Solomon Mahlangu Freedom College (SOMAFCO) is marked at Mazimbu as one of two ANC centres in Eastern Tanzania (Morrow et al., 2004: xiii).</w:t>
            </w:r>
            <w:bookmarkEnd w:id="868"/>
            <w:bookmarkEnd w:id="869"/>
          </w:p>
          <w:p w:rsidR="00A053CA" w:rsidRDefault="00A053CA" w:rsidP="00A371B8">
            <w:pPr>
              <w:autoSpaceDE w:val="0"/>
              <w:autoSpaceDN w:val="0"/>
              <w:adjustRightInd w:val="0"/>
              <w:spacing w:after="0" w:line="360" w:lineRule="auto"/>
              <w:jc w:val="both"/>
              <w:rPr>
                <w:rFonts w:ascii="Garamond" w:hAnsi="Garamond"/>
                <w:sz w:val="24"/>
                <w:szCs w:val="24"/>
                <w:shd w:val="clear" w:color="auto" w:fill="FFFFFF"/>
              </w:rPr>
            </w:pPr>
          </w:p>
        </w:tc>
      </w:tr>
    </w:tbl>
    <w:p w:rsidR="00A053CA" w:rsidRDefault="00A053CA" w:rsidP="00A371B8">
      <w:pPr>
        <w:autoSpaceDE w:val="0"/>
        <w:autoSpaceDN w:val="0"/>
        <w:adjustRightInd w:val="0"/>
        <w:spacing w:after="0" w:line="360" w:lineRule="auto"/>
        <w:jc w:val="both"/>
        <w:rPr>
          <w:rFonts w:ascii="Garamond" w:hAnsi="Garamond"/>
          <w:sz w:val="24"/>
          <w:szCs w:val="24"/>
          <w:shd w:val="clear" w:color="auto" w:fill="FFFFFF"/>
        </w:rPr>
      </w:pPr>
    </w:p>
    <w:p w:rsidR="00A053CA" w:rsidRDefault="00A053CA"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shd w:val="clear" w:color="auto" w:fill="FFFFFF"/>
        </w:rPr>
        <w:t xml:space="preserve">At the time of </w:t>
      </w:r>
      <w:r>
        <w:rPr>
          <w:rFonts w:ascii="Garamond" w:hAnsi="Garamond"/>
          <w:sz w:val="24"/>
          <w:szCs w:val="24"/>
          <w:shd w:val="clear" w:color="auto" w:fill="FFFFFF"/>
        </w:rPr>
        <w:t>Leiden Against Apartheid</w:t>
      </w:r>
      <w:r w:rsidRPr="002650CB">
        <w:rPr>
          <w:rFonts w:ascii="Garamond" w:hAnsi="Garamond"/>
          <w:sz w:val="24"/>
          <w:szCs w:val="24"/>
          <w:shd w:val="clear" w:color="auto" w:fill="FFFFFF"/>
        </w:rPr>
        <w:t xml:space="preserve"> the school embodied the ANC's hope to mould not simply future military personnel for the MK, but also to build the educational resources required for a post-apartheid society (Morrow </w:t>
      </w:r>
      <w:r>
        <w:rPr>
          <w:rFonts w:ascii="Garamond" w:hAnsi="Garamond"/>
          <w:sz w:val="24"/>
          <w:szCs w:val="24"/>
          <w:shd w:val="clear" w:color="auto" w:fill="FFFFFF"/>
        </w:rPr>
        <w:t>et</w:t>
      </w:r>
      <w:r w:rsidRPr="002650CB">
        <w:rPr>
          <w:rFonts w:ascii="Garamond" w:hAnsi="Garamond"/>
          <w:sz w:val="24"/>
          <w:szCs w:val="24"/>
          <w:shd w:val="clear" w:color="auto" w:fill="FFFFFF"/>
        </w:rPr>
        <w:t xml:space="preserve"> al, 2004). Abschlußbericht der Aktion</w:t>
      </w:r>
      <w:r>
        <w:rPr>
          <w:rFonts w:ascii="Garamond" w:hAnsi="Garamond"/>
          <w:i/>
          <w:sz w:val="24"/>
          <w:szCs w:val="24"/>
          <w:shd w:val="clear" w:color="auto" w:fill="FFFFFF"/>
        </w:rPr>
        <w:t xml:space="preserve"> </w:t>
      </w:r>
      <w:r>
        <w:rPr>
          <w:rFonts w:ascii="Garamond" w:hAnsi="Garamond"/>
          <w:sz w:val="24"/>
          <w:szCs w:val="24"/>
          <w:shd w:val="clear" w:color="auto" w:fill="FFFFFF"/>
        </w:rPr>
        <w:t>(</w:t>
      </w:r>
      <w:r w:rsidRPr="002650CB">
        <w:rPr>
          <w:rFonts w:ascii="Garamond" w:hAnsi="Garamond"/>
          <w:sz w:val="24"/>
          <w:szCs w:val="24"/>
          <w:shd w:val="clear" w:color="auto" w:fill="FFFFFF"/>
        </w:rPr>
        <w:t>1980</w:t>
      </w:r>
      <w:r>
        <w:rPr>
          <w:rFonts w:ascii="Garamond" w:hAnsi="Garamond"/>
          <w:sz w:val="24"/>
          <w:szCs w:val="24"/>
          <w:shd w:val="clear" w:color="auto" w:fill="FFFFFF"/>
        </w:rPr>
        <w:t>)</w:t>
      </w:r>
      <w:r w:rsidRPr="002650CB">
        <w:rPr>
          <w:rFonts w:ascii="Garamond" w:hAnsi="Garamond"/>
          <w:sz w:val="24"/>
          <w:szCs w:val="24"/>
          <w:shd w:val="clear" w:color="auto" w:fill="FFFFFF"/>
        </w:rPr>
        <w:t xml:space="preserve"> states that the equivalent of 5000 Deutsche Marks (circa, £2200) were raised for teaching materials for the school throughout December 1979. The headmaster, Dr Wintshi Njobe, paid a visit to schools in Leiden </w:t>
      </w:r>
      <w:r w:rsidRPr="002650CB">
        <w:rPr>
          <w:rFonts w:ascii="Garamond" w:hAnsi="Garamond"/>
          <w:sz w:val="24"/>
          <w:szCs w:val="24"/>
        </w:rPr>
        <w:t>(</w:t>
      </w:r>
      <w:r w:rsidRPr="002650CB">
        <w:rPr>
          <w:rFonts w:ascii="Garamond" w:hAnsi="Garamond"/>
          <w:sz w:val="24"/>
          <w:szCs w:val="24"/>
          <w:shd w:val="clear" w:color="auto" w:fill="FFFFFF"/>
        </w:rPr>
        <w:t>Abschlußbericht der Aktion</w:t>
      </w:r>
      <w:r w:rsidRPr="002650CB">
        <w:rPr>
          <w:rFonts w:ascii="Garamond" w:hAnsi="Garamond"/>
          <w:i/>
          <w:sz w:val="24"/>
          <w:szCs w:val="24"/>
          <w:shd w:val="clear" w:color="auto" w:fill="FFFFFF"/>
        </w:rPr>
        <w:t>,</w:t>
      </w:r>
      <w:r w:rsidRPr="002650CB">
        <w:rPr>
          <w:rFonts w:ascii="Garamond" w:hAnsi="Garamond"/>
          <w:sz w:val="24"/>
          <w:szCs w:val="24"/>
          <w:shd w:val="clear" w:color="auto" w:fill="FFFFFF"/>
        </w:rPr>
        <w:t xml:space="preserve"> 1980). The mutually benefitting relationships between Dutch anti-apartheid activists, teachers and SOMAFCO were strengthened throughout the 1980s with teachers operating an exchange, and the opening of the 'ANC-Holland Solidarity Hospital' in Mazimbu in 1984 (Morrow </w:t>
      </w:r>
      <w:r>
        <w:rPr>
          <w:rFonts w:ascii="Garamond" w:hAnsi="Garamond"/>
          <w:sz w:val="24"/>
          <w:szCs w:val="24"/>
          <w:shd w:val="clear" w:color="auto" w:fill="FFFFFF"/>
        </w:rPr>
        <w:t>et</w:t>
      </w:r>
      <w:r w:rsidRPr="002650CB">
        <w:rPr>
          <w:rFonts w:ascii="Garamond" w:hAnsi="Garamond"/>
          <w:sz w:val="24"/>
          <w:szCs w:val="24"/>
          <w:shd w:val="clear" w:color="auto" w:fill="FFFFFF"/>
        </w:rPr>
        <w:t xml:space="preserve"> al, 2004; SAHO, 2011).  </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r w:rsidRPr="002650CB">
        <w:rPr>
          <w:rFonts w:ascii="Garamond" w:hAnsi="Garamond"/>
          <w:noProof/>
          <w:lang w:eastAsia="en-GB"/>
        </w:rPr>
        <w:lastRenderedPageBreak/>
        <w:drawing>
          <wp:inline distT="0" distB="0" distL="0" distR="0">
            <wp:extent cx="4516755" cy="3179392"/>
            <wp:effectExtent l="50800" t="50800" r="29845" b="21008"/>
            <wp:docPr id="81" name="Picture 8" descr="http://www.somafcotrust.org.za/uploads/images/solomon-mahlangu-cam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omafcotrust.org.za/uploads/images/solomon-mahlangu-campus.jpg"/>
                    <pic:cNvPicPr>
                      <a:picLocks noChangeAspect="1" noChangeArrowheads="1"/>
                    </pic:cNvPicPr>
                  </pic:nvPicPr>
                  <pic:blipFill>
                    <a:blip r:embed="rId141" cstate="print"/>
                    <a:srcRect/>
                    <a:stretch>
                      <a:fillRect/>
                    </a:stretch>
                  </pic:blipFill>
                  <pic:spPr bwMode="auto">
                    <a:xfrm>
                      <a:off x="0" y="0"/>
                      <a:ext cx="4520899" cy="3182309"/>
                    </a:xfrm>
                    <a:prstGeom prst="rect">
                      <a:avLst/>
                    </a:prstGeom>
                    <a:noFill/>
                    <a:ln w="28575">
                      <a:solidFill>
                        <a:schemeClr val="tx1"/>
                      </a:solidFill>
                      <a:miter lim="800000"/>
                      <a:headEnd/>
                      <a:tailEnd/>
                    </a:ln>
                  </pic:spPr>
                </pic:pic>
              </a:graphicData>
            </a:graphic>
          </wp:inline>
        </w:drawing>
      </w:r>
    </w:p>
    <w:p w:rsidR="00446259" w:rsidRDefault="00A053CA" w:rsidP="00A053CA">
      <w:pPr>
        <w:pStyle w:val="Caption"/>
        <w:ind w:left="567" w:right="509"/>
        <w:jc w:val="both"/>
        <w:rPr>
          <w:rFonts w:ascii="Perpetua" w:hAnsi="Perpetua"/>
          <w:b w:val="0"/>
          <w:color w:val="auto"/>
          <w:sz w:val="20"/>
        </w:rPr>
      </w:pPr>
      <w:bookmarkStart w:id="870" w:name="_Toc263509092"/>
      <w:bookmarkStart w:id="871" w:name="_Toc263510879"/>
      <w:bookmarkStart w:id="872" w:name="_Toc244577357"/>
      <w:bookmarkStart w:id="873" w:name="_Toc263495826"/>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95</w:t>
      </w:r>
      <w:r w:rsidR="00DF2DF8" w:rsidRPr="00446259">
        <w:rPr>
          <w:rFonts w:ascii="Perpetua" w:hAnsi="Perpetua"/>
          <w:b w:val="0"/>
          <w:color w:val="auto"/>
          <w:sz w:val="20"/>
        </w:rPr>
        <w:fldChar w:fldCharType="end"/>
      </w:r>
      <w:r w:rsidR="00A371B8" w:rsidRPr="00446259">
        <w:rPr>
          <w:rFonts w:ascii="Perpetua" w:hAnsi="Perpetua"/>
          <w:b w:val="0"/>
          <w:color w:val="auto"/>
          <w:sz w:val="20"/>
        </w:rPr>
        <w:t>:</w:t>
      </w:r>
      <w:r w:rsidR="00446259">
        <w:rPr>
          <w:rFonts w:ascii="Perpetua" w:hAnsi="Perpetua"/>
          <w:b w:val="0"/>
          <w:color w:val="auto"/>
          <w:sz w:val="20"/>
        </w:rPr>
        <w:t xml:space="preserve"> Photograph of e</w:t>
      </w:r>
      <w:r w:rsidR="00A371B8" w:rsidRPr="00A053CA">
        <w:rPr>
          <w:rFonts w:ascii="Perpetua" w:hAnsi="Perpetua"/>
          <w:b w:val="0"/>
          <w:color w:val="auto"/>
          <w:sz w:val="20"/>
        </w:rPr>
        <w:t>ntrance to the Solomon Mahlangu Campus in Mazimbu, Tanzania</w:t>
      </w:r>
      <w:r w:rsidR="00446259">
        <w:rPr>
          <w:rFonts w:ascii="Perpetua" w:hAnsi="Perpetua"/>
          <w:b w:val="0"/>
          <w:color w:val="auto"/>
          <w:sz w:val="20"/>
        </w:rPr>
        <w:t>.</w:t>
      </w:r>
      <w:bookmarkEnd w:id="870"/>
      <w:bookmarkEnd w:id="871"/>
    </w:p>
    <w:p w:rsidR="00A371B8" w:rsidRPr="00446259" w:rsidRDefault="00446259" w:rsidP="00446259">
      <w:pPr>
        <w:ind w:left="567"/>
        <w:rPr>
          <w:rFonts w:ascii="Perpetua" w:hAnsi="Perpetua"/>
          <w:sz w:val="20"/>
        </w:rPr>
      </w:pPr>
      <w:r w:rsidRPr="00446259">
        <w:rPr>
          <w:rFonts w:ascii="Perpetua" w:hAnsi="Perpetua"/>
          <w:sz w:val="20"/>
        </w:rPr>
        <w:t>This is n</w:t>
      </w:r>
      <w:r w:rsidR="00A371B8" w:rsidRPr="00446259">
        <w:rPr>
          <w:rFonts w:ascii="Perpetua" w:hAnsi="Perpetua"/>
          <w:sz w:val="20"/>
        </w:rPr>
        <w:t>ow the Mazimbu</w:t>
      </w:r>
      <w:r w:rsidRPr="00446259">
        <w:rPr>
          <w:rFonts w:ascii="Perpetua" w:hAnsi="Perpetua"/>
          <w:sz w:val="20"/>
        </w:rPr>
        <w:t xml:space="preserve"> campus of Sokoine University.</w:t>
      </w:r>
      <w:r w:rsidR="00A371B8" w:rsidRPr="00446259">
        <w:rPr>
          <w:rFonts w:ascii="Perpetua" w:hAnsi="Perpetua"/>
          <w:sz w:val="20"/>
        </w:rPr>
        <w:t xml:space="preserve"> Image courtesy of the SOMAFCO Trust</w:t>
      </w:r>
      <w:bookmarkEnd w:id="872"/>
      <w:bookmarkEnd w:id="873"/>
      <w:r w:rsidRPr="00446259">
        <w:rPr>
          <w:rFonts w:ascii="Perpetua" w:hAnsi="Perpetua"/>
          <w:sz w:val="20"/>
        </w:rPr>
        <w:t xml:space="preserve">, available at: </w:t>
      </w:r>
      <w:hyperlink r:id="rId142" w:history="1">
        <w:r w:rsidRPr="00446259">
          <w:rPr>
            <w:rFonts w:ascii="Perpetua" w:hAnsi="Perpetua"/>
            <w:sz w:val="20"/>
          </w:rPr>
          <w:t>http://www.somafcotrust.org.za</w:t>
        </w:r>
      </w:hyperlink>
      <w:r>
        <w:rPr>
          <w:rFonts w:ascii="Perpetua" w:hAnsi="Perpetua"/>
          <w:sz w:val="20"/>
        </w:rPr>
        <w:t xml:space="preserve"> [accessed 10 September 2013].</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'Trade Unions Against Apartheid' continued the BOA's work with the Leiden branch of The Dutch Trade Union Council (the FNV).</w:t>
      </w:r>
      <w:r w:rsidRPr="002650CB">
        <w:rPr>
          <w:rStyle w:val="FootnoteReference"/>
          <w:rFonts w:ascii="Garamond" w:hAnsi="Garamond"/>
          <w:sz w:val="24"/>
          <w:szCs w:val="24"/>
        </w:rPr>
        <w:footnoteReference w:id="282"/>
      </w:r>
      <w:r w:rsidRPr="002650CB">
        <w:rPr>
          <w:rFonts w:ascii="Garamond" w:hAnsi="Garamond"/>
          <w:sz w:val="24"/>
          <w:szCs w:val="24"/>
        </w:rPr>
        <w:t xml:space="preserve"> The national union newspaper, The Wall, carried articles on South African labour and forms of imperial and white capitalism. At a p</w:t>
      </w:r>
      <w:r w:rsidR="00F74C95">
        <w:rPr>
          <w:rFonts w:ascii="Garamond" w:hAnsi="Garamond"/>
          <w:sz w:val="24"/>
          <w:szCs w:val="24"/>
        </w:rPr>
        <w:t>rotest meeting on December 13th</w:t>
      </w:r>
      <w:r w:rsidRPr="002650CB">
        <w:rPr>
          <w:rFonts w:ascii="Garamond" w:hAnsi="Garamond"/>
          <w:sz w:val="24"/>
          <w:szCs w:val="24"/>
        </w:rPr>
        <w:t xml:space="preserve"> with the BOA, FNV and Unilever, the FNV pledged to embark on a tour of Dutch unions accompanied by representatives from the trade unions in South Africa.  Zola Zembe (Archibald Sibeko), former MK military commander and SACTU leader accompanied the FNV on a nationwide "District South Africa Week".</w:t>
      </w:r>
      <w:r w:rsidRPr="002650CB">
        <w:rPr>
          <w:rStyle w:val="FootnoteReference"/>
          <w:rFonts w:ascii="Garamond" w:hAnsi="Garamond"/>
          <w:sz w:val="24"/>
          <w:szCs w:val="24"/>
        </w:rPr>
        <w:footnoteReference w:id="283"/>
      </w:r>
      <w:r w:rsidRPr="002650CB">
        <w:rPr>
          <w:rFonts w:ascii="Garamond" w:hAnsi="Garamond"/>
          <w:sz w:val="24"/>
          <w:szCs w:val="24"/>
        </w:rPr>
        <w:t xml:space="preserve"> The aim was to unify labour resistance to apartheid, and to put pressure on key multinationals that employed labour in both Holland and South Africa. </w:t>
      </w:r>
      <w:r w:rsidRPr="002650CB">
        <w:rPr>
          <w:rFonts w:ascii="Garamond" w:hAnsi="Garamond"/>
          <w:sz w:val="24"/>
          <w:szCs w:val="24"/>
          <w:shd w:val="clear" w:color="auto" w:fill="FFFFFF"/>
        </w:rPr>
        <w:t>Abschlußbericht der Aktio</w:t>
      </w:r>
      <w:r>
        <w:rPr>
          <w:rFonts w:ascii="Garamond" w:hAnsi="Garamond"/>
          <w:sz w:val="24"/>
          <w:szCs w:val="24"/>
          <w:shd w:val="clear" w:color="auto" w:fill="FFFFFF"/>
        </w:rPr>
        <w:t xml:space="preserve">n (1980) </w:t>
      </w:r>
      <w:r>
        <w:rPr>
          <w:rFonts w:ascii="Garamond" w:hAnsi="Garamond"/>
          <w:sz w:val="24"/>
          <w:szCs w:val="24"/>
        </w:rPr>
        <w:t>states</w:t>
      </w:r>
      <w:r w:rsidRPr="002650CB">
        <w:rPr>
          <w:rFonts w:ascii="Garamond" w:hAnsi="Garamond"/>
          <w:sz w:val="24"/>
          <w:szCs w:val="24"/>
        </w:rPr>
        <w:t xml:space="preserve"> that by recounting his own experiences of working in black trade unions from the 1950s, Zembe motivated workers at Unilever factories in Gouda, Delft and Calve to fundraise for SACTU (</w:t>
      </w:r>
      <w:r w:rsidRPr="002650CB">
        <w:rPr>
          <w:rFonts w:ascii="Garamond" w:hAnsi="Garamond"/>
          <w:sz w:val="24"/>
          <w:szCs w:val="24"/>
          <w:shd w:val="clear" w:color="auto" w:fill="FFFFFF"/>
        </w:rPr>
        <w:t>Abschulßbericht der Aktion</w:t>
      </w:r>
      <w:r w:rsidRPr="002650CB">
        <w:rPr>
          <w:rFonts w:ascii="Garamond" w:hAnsi="Garamond"/>
          <w:i/>
          <w:sz w:val="24"/>
          <w:szCs w:val="24"/>
          <w:shd w:val="clear" w:color="auto" w:fill="FFFFFF"/>
        </w:rPr>
        <w:t>,</w:t>
      </w:r>
      <w:r w:rsidRPr="002650CB">
        <w:rPr>
          <w:rFonts w:ascii="Garamond" w:hAnsi="Garamond"/>
          <w:sz w:val="24"/>
          <w:szCs w:val="24"/>
          <w:shd w:val="clear" w:color="auto" w:fill="FFFFFF"/>
        </w:rPr>
        <w:t xml:space="preserve"> 1980).</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shd w:val="clear" w:color="auto" w:fill="FFFFFF"/>
        </w:rPr>
      </w:pPr>
      <w:r w:rsidRPr="002650CB">
        <w:rPr>
          <w:rFonts w:ascii="Garamond" w:hAnsi="Garamond"/>
          <w:noProof/>
          <w:lang w:eastAsia="en-GB"/>
        </w:rPr>
        <w:lastRenderedPageBreak/>
        <w:drawing>
          <wp:inline distT="0" distB="0" distL="0" distR="0">
            <wp:extent cx="3923558" cy="2942669"/>
            <wp:effectExtent l="19050" t="19050" r="19792" b="10081"/>
            <wp:docPr id="82" name="Picture 12" descr="http://disseminate.objectrepository.org/file/level2/10622/3005100130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isseminate.objectrepository.org/file/level2/10622/30051001306353"/>
                    <pic:cNvPicPr>
                      <a:picLocks noChangeAspect="1" noChangeArrowheads="1"/>
                    </pic:cNvPicPr>
                  </pic:nvPicPr>
                  <pic:blipFill>
                    <a:blip r:embed="rId143" cstate="print"/>
                    <a:srcRect/>
                    <a:stretch>
                      <a:fillRect/>
                    </a:stretch>
                  </pic:blipFill>
                  <pic:spPr bwMode="auto">
                    <a:xfrm>
                      <a:off x="0" y="0"/>
                      <a:ext cx="3932408" cy="2949306"/>
                    </a:xfrm>
                    <a:prstGeom prst="rect">
                      <a:avLst/>
                    </a:prstGeom>
                    <a:noFill/>
                    <a:ln w="25400">
                      <a:solidFill>
                        <a:schemeClr val="tx1"/>
                      </a:solidFill>
                      <a:miter lim="800000"/>
                      <a:headEnd/>
                      <a:tailEnd/>
                    </a:ln>
                  </pic:spPr>
                </pic:pic>
              </a:graphicData>
            </a:graphic>
          </wp:inline>
        </w:drawing>
      </w:r>
    </w:p>
    <w:p w:rsidR="00446259" w:rsidRDefault="00EF343A" w:rsidP="00AB16ED">
      <w:pPr>
        <w:pStyle w:val="Caption"/>
        <w:jc w:val="center"/>
        <w:rPr>
          <w:rFonts w:ascii="Perpetua" w:eastAsia="Arial Unicode MS" w:hAnsi="Perpetua"/>
          <w:b w:val="0"/>
          <w:color w:val="auto"/>
          <w:sz w:val="20"/>
          <w:szCs w:val="20"/>
          <w:shd w:val="clear" w:color="auto" w:fill="FFFFFF"/>
        </w:rPr>
      </w:pPr>
      <w:bookmarkStart w:id="874" w:name="_Toc244577358"/>
      <w:bookmarkStart w:id="875" w:name="_Toc263495827"/>
      <w:bookmarkStart w:id="876" w:name="_Toc263509093"/>
      <w:bookmarkStart w:id="877" w:name="_Toc263510880"/>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96</w:t>
      </w:r>
      <w:r w:rsidR="00DF2DF8" w:rsidRPr="00446259">
        <w:rPr>
          <w:rFonts w:ascii="Perpetua" w:hAnsi="Perpetua"/>
          <w:b w:val="0"/>
          <w:color w:val="auto"/>
          <w:sz w:val="20"/>
        </w:rPr>
        <w:fldChar w:fldCharType="end"/>
      </w:r>
      <w:r w:rsidR="00AB16ED" w:rsidRPr="00446259">
        <w:rPr>
          <w:rFonts w:ascii="Perpetua" w:hAnsi="Perpetua"/>
          <w:b w:val="0"/>
          <w:color w:val="auto"/>
          <w:sz w:val="20"/>
        </w:rPr>
        <w:t>:</w:t>
      </w:r>
      <w:r w:rsidR="00AB16ED" w:rsidRPr="00AB16ED">
        <w:rPr>
          <w:rFonts w:ascii="Perpetua" w:hAnsi="Perpetua"/>
          <w:b w:val="0"/>
          <w:color w:val="auto"/>
          <w:sz w:val="20"/>
        </w:rPr>
        <w:t xml:space="preserve"> </w:t>
      </w:r>
      <w:r w:rsidR="00446259">
        <w:rPr>
          <w:rFonts w:ascii="Perpetua" w:hAnsi="Perpetua"/>
          <w:b w:val="0"/>
          <w:color w:val="auto"/>
          <w:sz w:val="20"/>
        </w:rPr>
        <w:t xml:space="preserve">Photograph of </w:t>
      </w:r>
      <w:r w:rsidR="00AB16ED" w:rsidRPr="00AB16ED">
        <w:rPr>
          <w:rFonts w:ascii="Perpetua" w:hAnsi="Perpetua"/>
          <w:b w:val="0"/>
          <w:color w:val="auto"/>
          <w:sz w:val="20"/>
        </w:rPr>
        <w:t>FNV Against Apartheid</w:t>
      </w:r>
      <w:r w:rsidR="00A371B8" w:rsidRPr="00AB16ED">
        <w:rPr>
          <w:rFonts w:ascii="Perpetua" w:eastAsia="Arial Unicode MS" w:hAnsi="Perpetua"/>
          <w:b w:val="0"/>
          <w:color w:val="auto"/>
          <w:sz w:val="20"/>
          <w:szCs w:val="20"/>
          <w:shd w:val="clear" w:color="auto" w:fill="FFFFFF"/>
        </w:rPr>
        <w:t>.</w:t>
      </w:r>
      <w:bookmarkEnd w:id="874"/>
      <w:bookmarkEnd w:id="875"/>
      <w:bookmarkEnd w:id="876"/>
      <w:bookmarkEnd w:id="877"/>
    </w:p>
    <w:p w:rsidR="00A371B8" w:rsidRPr="00446259" w:rsidRDefault="00446259" w:rsidP="00446259">
      <w:pPr>
        <w:jc w:val="center"/>
        <w:rPr>
          <w:rFonts w:ascii="Perpetua" w:hAnsi="Perpetua"/>
          <w:sz w:val="20"/>
        </w:rPr>
      </w:pPr>
      <w:r w:rsidRPr="00446259">
        <w:rPr>
          <w:rFonts w:ascii="Perpetua" w:hAnsi="Perpetua"/>
          <w:sz w:val="20"/>
        </w:rPr>
        <w:t>Image courtesy of the IISH.</w:t>
      </w:r>
    </w:p>
    <w:p w:rsidR="00A371B8" w:rsidRPr="002650CB" w:rsidRDefault="00A371B8" w:rsidP="00A371B8">
      <w:pPr>
        <w:autoSpaceDE w:val="0"/>
        <w:autoSpaceDN w:val="0"/>
        <w:adjustRightInd w:val="0"/>
        <w:spacing w:after="0" w:line="360" w:lineRule="auto"/>
        <w:ind w:firstLine="720"/>
        <w:jc w:val="both"/>
        <w:rPr>
          <w:rFonts w:ascii="Garamond" w:eastAsia="Arial Unicode MS" w:hAnsi="Garamond" w:cs="Arial Unicode MS"/>
          <w:color w:val="392529"/>
          <w:sz w:val="20"/>
          <w:szCs w:val="20"/>
          <w:shd w:val="clear" w:color="auto" w:fill="FFFFFF"/>
        </w:rPr>
      </w:pPr>
      <w:r w:rsidRPr="002650CB">
        <w:rPr>
          <w:rFonts w:ascii="Garamond" w:eastAsia="Arial Unicode MS" w:hAnsi="Garamond" w:cs="Arial Unicode MS"/>
          <w:noProof/>
          <w:color w:val="392529"/>
          <w:sz w:val="20"/>
          <w:szCs w:val="20"/>
          <w:shd w:val="clear" w:color="auto" w:fill="FFFFFF"/>
          <w:lang w:eastAsia="en-GB"/>
        </w:rPr>
        <w:drawing>
          <wp:inline distT="0" distB="0" distL="0" distR="0">
            <wp:extent cx="2384758" cy="3348842"/>
            <wp:effectExtent l="38100" t="19050" r="15542" b="23008"/>
            <wp:docPr id="83" name="Picture 15" descr="C:\Users\hugh crosfield\Desktop\FNV Activis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gh crosfield\Desktop\FNV Activism2.jpg"/>
                    <pic:cNvPicPr>
                      <a:picLocks noChangeAspect="1" noChangeArrowheads="1"/>
                    </pic:cNvPicPr>
                  </pic:nvPicPr>
                  <pic:blipFill>
                    <a:blip r:embed="rId144" cstate="print"/>
                    <a:srcRect/>
                    <a:stretch>
                      <a:fillRect/>
                    </a:stretch>
                  </pic:blipFill>
                  <pic:spPr bwMode="auto">
                    <a:xfrm>
                      <a:off x="0" y="0"/>
                      <a:ext cx="2387165" cy="3352221"/>
                    </a:xfrm>
                    <a:prstGeom prst="rect">
                      <a:avLst/>
                    </a:prstGeom>
                    <a:noFill/>
                    <a:ln w="19050">
                      <a:solidFill>
                        <a:schemeClr val="tx1"/>
                      </a:solidFill>
                      <a:miter lim="800000"/>
                      <a:headEnd/>
                      <a:tailEnd/>
                    </a:ln>
                  </pic:spPr>
                </pic:pic>
              </a:graphicData>
            </a:graphic>
          </wp:inline>
        </w:drawing>
      </w:r>
      <w:r w:rsidRPr="002650CB">
        <w:rPr>
          <w:rFonts w:ascii="Garamond" w:eastAsia="Times New Roman" w:hAnsi="Garamond"/>
          <w:snapToGrid w:val="0"/>
          <w:color w:val="000000"/>
          <w:w w:val="0"/>
          <w:sz w:val="0"/>
          <w:szCs w:val="0"/>
          <w:u w:color="000000"/>
          <w:bdr w:val="none" w:sz="0" w:space="0" w:color="000000"/>
          <w:shd w:val="clear" w:color="000000" w:fill="000000"/>
        </w:rPr>
        <w:t xml:space="preserve"> </w:t>
      </w:r>
      <w:r w:rsidRPr="002650CB">
        <w:rPr>
          <w:rFonts w:ascii="Garamond" w:eastAsia="Arial Unicode MS" w:hAnsi="Garamond" w:cs="Arial Unicode MS"/>
          <w:noProof/>
          <w:color w:val="392529"/>
          <w:sz w:val="20"/>
          <w:szCs w:val="20"/>
          <w:shd w:val="clear" w:color="auto" w:fill="FFFFFF"/>
          <w:lang w:eastAsia="en-GB"/>
        </w:rPr>
        <w:drawing>
          <wp:inline distT="0" distB="0" distL="0" distR="0">
            <wp:extent cx="2269660" cy="3323002"/>
            <wp:effectExtent l="19050" t="19050" r="16340" b="10748"/>
            <wp:docPr id="88" name="Picture 16" descr="C:\Users\hugh crosfield\Desktop\BOA workfolder\FNV Activ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ugh crosfield\Desktop\BOA workfolder\FNV Activism.jpg"/>
                    <pic:cNvPicPr>
                      <a:picLocks noChangeAspect="1" noChangeArrowheads="1"/>
                    </pic:cNvPicPr>
                  </pic:nvPicPr>
                  <pic:blipFill>
                    <a:blip r:embed="rId145" cstate="print"/>
                    <a:srcRect/>
                    <a:stretch>
                      <a:fillRect/>
                    </a:stretch>
                  </pic:blipFill>
                  <pic:spPr bwMode="auto">
                    <a:xfrm>
                      <a:off x="0" y="0"/>
                      <a:ext cx="2272503" cy="3327165"/>
                    </a:xfrm>
                    <a:prstGeom prst="rect">
                      <a:avLst/>
                    </a:prstGeom>
                    <a:noFill/>
                    <a:ln w="25400">
                      <a:solidFill>
                        <a:schemeClr val="tx1"/>
                      </a:solidFill>
                      <a:miter lim="800000"/>
                      <a:headEnd/>
                      <a:tailEnd/>
                    </a:ln>
                  </pic:spPr>
                </pic:pic>
              </a:graphicData>
            </a:graphic>
          </wp:inline>
        </w:drawing>
      </w:r>
    </w:p>
    <w:p w:rsidR="00A371B8" w:rsidRDefault="00A371B8" w:rsidP="00A371B8">
      <w:pPr>
        <w:autoSpaceDE w:val="0"/>
        <w:autoSpaceDN w:val="0"/>
        <w:adjustRightInd w:val="0"/>
        <w:spacing w:after="0" w:line="360" w:lineRule="auto"/>
        <w:jc w:val="center"/>
        <w:rPr>
          <w:rFonts w:ascii="Garamond" w:hAnsi="Garamond"/>
          <w:i/>
          <w:shd w:val="clear" w:color="auto" w:fill="FFFFFF"/>
        </w:rPr>
      </w:pPr>
    </w:p>
    <w:p w:rsidR="009E10F2" w:rsidRDefault="00AB16ED" w:rsidP="00AB16ED">
      <w:pPr>
        <w:pStyle w:val="Caption"/>
        <w:ind w:left="709"/>
        <w:rPr>
          <w:rFonts w:ascii="Perpetua" w:hAnsi="Perpetua"/>
          <w:b w:val="0"/>
          <w:color w:val="auto"/>
          <w:sz w:val="20"/>
          <w:szCs w:val="20"/>
          <w:shd w:val="clear" w:color="auto" w:fill="FFFFFF"/>
        </w:rPr>
      </w:pPr>
      <w:bookmarkStart w:id="878" w:name="_Toc244577359"/>
      <w:bookmarkStart w:id="879" w:name="_Toc263495828"/>
      <w:bookmarkStart w:id="880" w:name="_Toc263509094"/>
      <w:bookmarkStart w:id="881" w:name="_Toc263510881"/>
      <w:r w:rsidRPr="00446259">
        <w:rPr>
          <w:rFonts w:ascii="Perpetua" w:hAnsi="Perpetua"/>
          <w:b w:val="0"/>
          <w:color w:val="auto"/>
          <w:sz w:val="20"/>
        </w:rPr>
        <w:t xml:space="preserve">Figure </w:t>
      </w:r>
      <w:r w:rsidR="00DF2DF8" w:rsidRPr="00446259">
        <w:rPr>
          <w:rFonts w:ascii="Perpetua" w:hAnsi="Perpetua"/>
          <w:b w:val="0"/>
          <w:color w:val="auto"/>
          <w:sz w:val="20"/>
        </w:rPr>
        <w:fldChar w:fldCharType="begin"/>
      </w:r>
      <w:r w:rsidRPr="00446259">
        <w:rPr>
          <w:rFonts w:ascii="Perpetua" w:hAnsi="Perpetua"/>
          <w:b w:val="0"/>
          <w:color w:val="auto"/>
          <w:sz w:val="20"/>
        </w:rPr>
        <w:instrText xml:space="preserve"> SEQ Figure \* ARABIC </w:instrText>
      </w:r>
      <w:r w:rsidR="00DF2DF8" w:rsidRPr="00446259">
        <w:rPr>
          <w:rFonts w:ascii="Perpetua" w:hAnsi="Perpetua"/>
          <w:b w:val="0"/>
          <w:color w:val="auto"/>
          <w:sz w:val="20"/>
        </w:rPr>
        <w:fldChar w:fldCharType="separate"/>
      </w:r>
      <w:r w:rsidR="002B3E92">
        <w:rPr>
          <w:rFonts w:ascii="Perpetua" w:hAnsi="Perpetua"/>
          <w:b w:val="0"/>
          <w:noProof/>
          <w:color w:val="auto"/>
          <w:sz w:val="20"/>
        </w:rPr>
        <w:t>97</w:t>
      </w:r>
      <w:r w:rsidR="00DF2DF8" w:rsidRPr="00446259">
        <w:rPr>
          <w:rFonts w:ascii="Perpetua" w:hAnsi="Perpetua"/>
          <w:b w:val="0"/>
          <w:color w:val="auto"/>
          <w:sz w:val="20"/>
        </w:rPr>
        <w:fldChar w:fldCharType="end"/>
      </w:r>
      <w:r w:rsidRPr="00446259">
        <w:rPr>
          <w:rFonts w:ascii="Perpetua" w:hAnsi="Perpetua"/>
          <w:b w:val="0"/>
          <w:color w:val="auto"/>
          <w:sz w:val="20"/>
          <w:szCs w:val="20"/>
          <w:shd w:val="clear" w:color="auto" w:fill="FFFFFF"/>
        </w:rPr>
        <w:t>:</w:t>
      </w:r>
      <w:r w:rsidR="00A371B8" w:rsidRPr="00AB16ED">
        <w:rPr>
          <w:rFonts w:ascii="Perpetua" w:hAnsi="Perpetua"/>
          <w:b w:val="0"/>
          <w:color w:val="auto"/>
          <w:sz w:val="20"/>
          <w:szCs w:val="20"/>
          <w:shd w:val="clear" w:color="auto" w:fill="FFFFFF"/>
        </w:rPr>
        <w:t xml:space="preserve"> Left, 1978 FNV poster: "Apartheid: Solidarity Against Vorster". Right, 1978 newspaper advert: "With the FNV against apartheid"</w:t>
      </w:r>
      <w:bookmarkEnd w:id="878"/>
      <w:bookmarkEnd w:id="879"/>
      <w:r w:rsidR="009E10F2">
        <w:rPr>
          <w:rFonts w:ascii="Perpetua" w:hAnsi="Perpetua"/>
          <w:b w:val="0"/>
          <w:color w:val="auto"/>
          <w:sz w:val="20"/>
          <w:szCs w:val="20"/>
          <w:shd w:val="clear" w:color="auto" w:fill="FFFFFF"/>
        </w:rPr>
        <w:t>.</w:t>
      </w:r>
      <w:bookmarkEnd w:id="880"/>
      <w:bookmarkEnd w:id="881"/>
    </w:p>
    <w:p w:rsidR="00A371B8" w:rsidRPr="009E10F2" w:rsidRDefault="009E10F2" w:rsidP="009E10F2">
      <w:pPr>
        <w:ind w:left="709"/>
        <w:rPr>
          <w:rFonts w:ascii="Perpetua" w:hAnsi="Perpetua"/>
          <w:sz w:val="20"/>
        </w:rPr>
      </w:pPr>
      <w:r w:rsidRPr="009E10F2">
        <w:rPr>
          <w:rFonts w:ascii="Perpetua" w:hAnsi="Perpetua"/>
          <w:sz w:val="20"/>
        </w:rPr>
        <w:t>Brouwer, H., FNV., &amp; Actie Zuid-Afrika. (1978). Apartheid: 3 ex.: 2x zwart-rood op wit; 1x zwart-blauw op wit. Met tekst op achterzijde, zie D83/157. Images courtesy of  the IISH.</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E75C68"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Leiden Against Apartheid created a festival of anti-apartheid and antiracist activism. Each working group against apartheid contributed unique actions or performances across the </w:t>
      </w:r>
      <w:r w:rsidRPr="002650CB">
        <w:rPr>
          <w:rFonts w:ascii="Garamond" w:hAnsi="Garamond"/>
          <w:sz w:val="24"/>
          <w:szCs w:val="24"/>
          <w:shd w:val="clear" w:color="auto" w:fill="FFFFFF"/>
        </w:rPr>
        <w:lastRenderedPageBreak/>
        <w:t>three week campaign in December and "created new ways of relating" (Featherstone, 2012:5) between SACTU, the ANC, the Dutch public, and each other. The BOA's method of dividing the town campaign into cultural, political and religious constituents enabled creativity through independence and crowd sharing. It meant that multiple types of solidarity could be practiced, and that new linkages, exchanges and contact</w:t>
      </w:r>
      <w:r>
        <w:rPr>
          <w:rFonts w:ascii="Garamond" w:hAnsi="Garamond"/>
          <w:sz w:val="24"/>
          <w:szCs w:val="24"/>
          <w:shd w:val="clear" w:color="auto" w:fill="FFFFFF"/>
        </w:rPr>
        <w:t>s could be forged (ibid.</w:t>
      </w:r>
      <w:r w:rsidRPr="002650CB">
        <w:rPr>
          <w:rFonts w:ascii="Garamond" w:hAnsi="Garamond"/>
          <w:sz w:val="24"/>
          <w:szCs w:val="24"/>
          <w:shd w:val="clear" w:color="auto" w:fill="FFFFFF"/>
        </w:rPr>
        <w:t>). These solidarities were practiced through conversations and mutual support between the BOA, the individual groups and the ANC and SACTU. They were performed across music, theatre and art, and they were enabled by the creation of convivial places of meeting and communication (Massey, 2008). In eschewing the official 'high politics' of national forms of anti-apartheid, and in their appeal to bring race and racism into the public realm, conviviality was central to the BOA's antiracist aims. In their discussion on Featherstone and Massey's geographies of solidarity in relation to the practices of the London Non-Stop Picket (1986-90), Brown and Yaffe concur  that solidarity is more than activating relations between pre-existing communities. Practiced solidarity is about engaging new people and forging "uncommon ground with non-participating witnesses to acts of protest" (2013: 6). At the heart of Leiden Against Apartheid was the</w:t>
      </w:r>
      <w:r>
        <w:rPr>
          <w:rFonts w:ascii="Garamond" w:hAnsi="Garamond"/>
          <w:sz w:val="24"/>
          <w:szCs w:val="24"/>
          <w:shd w:val="clear" w:color="auto" w:fill="FFFFFF"/>
        </w:rPr>
        <w:t xml:space="preserve"> BOA's</w:t>
      </w:r>
      <w:r w:rsidRPr="002650CB">
        <w:rPr>
          <w:rFonts w:ascii="Garamond" w:hAnsi="Garamond"/>
          <w:sz w:val="24"/>
          <w:szCs w:val="24"/>
          <w:shd w:val="clear" w:color="auto" w:fill="FFFFFF"/>
        </w:rPr>
        <w:t xml:space="preserve"> </w:t>
      </w:r>
      <w:r>
        <w:rPr>
          <w:rFonts w:ascii="Garamond" w:hAnsi="Garamond"/>
          <w:sz w:val="24"/>
          <w:szCs w:val="24"/>
          <w:shd w:val="clear" w:color="auto" w:fill="FFFFFF"/>
        </w:rPr>
        <w:t xml:space="preserve">desire to </w:t>
      </w:r>
      <w:r w:rsidRPr="002650CB">
        <w:rPr>
          <w:rFonts w:ascii="Garamond" w:hAnsi="Garamond"/>
          <w:sz w:val="24"/>
          <w:szCs w:val="24"/>
          <w:shd w:val="clear" w:color="auto" w:fill="FFFFFF"/>
        </w:rPr>
        <w:t>act</w:t>
      </w:r>
      <w:r w:rsidR="00AB16ED">
        <w:rPr>
          <w:rFonts w:ascii="Garamond" w:hAnsi="Garamond"/>
          <w:sz w:val="24"/>
          <w:szCs w:val="24"/>
          <w:shd w:val="clear" w:color="auto" w:fill="FFFFFF"/>
        </w:rPr>
        <w:t>ivate</w:t>
      </w:r>
      <w:r>
        <w:rPr>
          <w:rFonts w:ascii="Garamond" w:hAnsi="Garamond"/>
          <w:sz w:val="24"/>
          <w:szCs w:val="24"/>
          <w:shd w:val="clear" w:color="auto" w:fill="FFFFFF"/>
        </w:rPr>
        <w:t xml:space="preserve"> proximate and distanc</w:t>
      </w:r>
      <w:r w:rsidRPr="002650CB">
        <w:rPr>
          <w:rFonts w:ascii="Garamond" w:hAnsi="Garamond"/>
          <w:sz w:val="24"/>
          <w:szCs w:val="24"/>
          <w:shd w:val="clear" w:color="auto" w:fill="FFFFFF"/>
        </w:rPr>
        <w:t>iat</w:t>
      </w:r>
      <w:r>
        <w:rPr>
          <w:rFonts w:ascii="Garamond" w:hAnsi="Garamond"/>
          <w:sz w:val="24"/>
          <w:szCs w:val="24"/>
          <w:shd w:val="clear" w:color="auto" w:fill="FFFFFF"/>
        </w:rPr>
        <w:t xml:space="preserve">ed solidarities, to use art to stimulate and enliven the senses, and to juxtapose cultures, places and bodies in the hope that the friction created could spark self-reflexivity and debate about difference. </w:t>
      </w:r>
    </w:p>
    <w:p w:rsidR="00E75C68" w:rsidRDefault="00E75C68" w:rsidP="00A371B8">
      <w:pPr>
        <w:autoSpaceDE w:val="0"/>
        <w:autoSpaceDN w:val="0"/>
        <w:adjustRightInd w:val="0"/>
        <w:spacing w:after="0" w:line="360" w:lineRule="auto"/>
        <w:jc w:val="both"/>
        <w:rPr>
          <w:rFonts w:ascii="Garamond" w:hAnsi="Garamond"/>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4261"/>
        <w:gridCol w:w="4261"/>
      </w:tblGrid>
      <w:tr w:rsidR="00E75C68">
        <w:tc>
          <w:tcPr>
            <w:tcW w:w="4261" w:type="dxa"/>
          </w:tcPr>
          <w:p w:rsidR="00E75C68" w:rsidRDefault="00E75C6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noProof/>
                <w:sz w:val="24"/>
                <w:szCs w:val="24"/>
                <w:shd w:val="clear" w:color="auto" w:fill="FFFFFF"/>
                <w:lang w:eastAsia="en-GB"/>
              </w:rPr>
              <w:drawing>
                <wp:inline distT="0" distB="0" distL="0" distR="0">
                  <wp:extent cx="2209800" cy="2905125"/>
                  <wp:effectExtent l="19050" t="0" r="0" b="0"/>
                  <wp:docPr id="1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srcRect/>
                          <a:stretch>
                            <a:fillRect/>
                          </a:stretch>
                        </pic:blipFill>
                        <pic:spPr bwMode="auto">
                          <a:xfrm>
                            <a:off x="0" y="0"/>
                            <a:ext cx="2213342" cy="2909781"/>
                          </a:xfrm>
                          <a:prstGeom prst="rect">
                            <a:avLst/>
                          </a:prstGeom>
                          <a:noFill/>
                          <a:ln w="9525">
                            <a:noFill/>
                            <a:miter lim="800000"/>
                            <a:headEnd/>
                            <a:tailEnd/>
                          </a:ln>
                        </pic:spPr>
                      </pic:pic>
                    </a:graphicData>
                  </a:graphic>
                </wp:inline>
              </w:drawing>
            </w:r>
          </w:p>
        </w:tc>
        <w:tc>
          <w:tcPr>
            <w:tcW w:w="4261" w:type="dxa"/>
          </w:tcPr>
          <w:p w:rsidR="009E10F2" w:rsidRPr="009E10F2" w:rsidRDefault="00E75C68" w:rsidP="009E10F2">
            <w:pPr>
              <w:pStyle w:val="Caption"/>
              <w:rPr>
                <w:rFonts w:ascii="Perpetua" w:hAnsi="Perpetua"/>
                <w:b w:val="0"/>
                <w:color w:val="auto"/>
                <w:sz w:val="20"/>
              </w:rPr>
            </w:pPr>
            <w:bookmarkStart w:id="882" w:name="_Toc263509095"/>
            <w:bookmarkStart w:id="883" w:name="_Toc263510882"/>
            <w:bookmarkStart w:id="884" w:name="_Toc244577360"/>
            <w:bookmarkStart w:id="885" w:name="_Toc263495829"/>
            <w:r w:rsidRPr="009E10F2">
              <w:rPr>
                <w:rFonts w:ascii="Perpetua" w:hAnsi="Perpetua"/>
                <w:b w:val="0"/>
                <w:color w:val="auto"/>
                <w:sz w:val="20"/>
              </w:rPr>
              <w:t xml:space="preserve">Figure </w:t>
            </w:r>
            <w:r w:rsidR="00DF2DF8" w:rsidRPr="009E10F2">
              <w:rPr>
                <w:rFonts w:ascii="Perpetua" w:hAnsi="Perpetua"/>
                <w:b w:val="0"/>
                <w:color w:val="auto"/>
                <w:sz w:val="20"/>
              </w:rPr>
              <w:fldChar w:fldCharType="begin"/>
            </w:r>
            <w:r w:rsidRPr="009E10F2">
              <w:rPr>
                <w:rFonts w:ascii="Perpetua" w:hAnsi="Perpetua"/>
                <w:b w:val="0"/>
                <w:color w:val="auto"/>
                <w:sz w:val="20"/>
              </w:rPr>
              <w:instrText xml:space="preserve"> SEQ Figure \* ARABIC </w:instrText>
            </w:r>
            <w:r w:rsidR="00DF2DF8" w:rsidRPr="009E10F2">
              <w:rPr>
                <w:rFonts w:ascii="Perpetua" w:hAnsi="Perpetua"/>
                <w:b w:val="0"/>
                <w:color w:val="auto"/>
                <w:sz w:val="20"/>
              </w:rPr>
              <w:fldChar w:fldCharType="separate"/>
            </w:r>
            <w:r w:rsidR="002B3E92">
              <w:rPr>
                <w:rFonts w:ascii="Perpetua" w:hAnsi="Perpetua"/>
                <w:b w:val="0"/>
                <w:noProof/>
                <w:color w:val="auto"/>
                <w:sz w:val="20"/>
              </w:rPr>
              <w:t>98</w:t>
            </w:r>
            <w:r w:rsidR="00DF2DF8" w:rsidRPr="009E10F2">
              <w:rPr>
                <w:rFonts w:ascii="Perpetua" w:hAnsi="Perpetua"/>
                <w:b w:val="0"/>
                <w:color w:val="auto"/>
                <w:sz w:val="20"/>
              </w:rPr>
              <w:fldChar w:fldCharType="end"/>
            </w:r>
            <w:r w:rsidRPr="009E10F2">
              <w:rPr>
                <w:rFonts w:ascii="Perpetua" w:hAnsi="Perpetua"/>
                <w:b w:val="0"/>
                <w:color w:val="auto"/>
                <w:sz w:val="20"/>
              </w:rPr>
              <w:t>: Recruitment Poster for the Urban Campaigns.</w:t>
            </w:r>
            <w:r w:rsidR="009E10F2" w:rsidRPr="009E10F2">
              <w:rPr>
                <w:rFonts w:ascii="Perpetua" w:hAnsi="Perpetua"/>
                <w:b w:val="0"/>
                <w:color w:val="auto"/>
                <w:sz w:val="20"/>
              </w:rPr>
              <w:t xml:space="preserve"> Boycot Outspan Atkie, Leiden, 1980.</w:t>
            </w:r>
            <w:bookmarkEnd w:id="882"/>
            <w:bookmarkEnd w:id="883"/>
          </w:p>
          <w:p w:rsidR="00E75C68" w:rsidRPr="00E75C68" w:rsidRDefault="009E10F2" w:rsidP="00E75C68">
            <w:pPr>
              <w:rPr>
                <w:rFonts w:ascii="Perpetua" w:hAnsi="Perpetua"/>
                <w:sz w:val="20"/>
                <w:szCs w:val="20"/>
              </w:rPr>
            </w:pPr>
            <w:r w:rsidRPr="009E10F2">
              <w:rPr>
                <w:rFonts w:ascii="Perpetua" w:hAnsi="Perpetua"/>
                <w:iCs/>
                <w:sz w:val="20"/>
              </w:rPr>
              <w:t>Translated from Dutch</w:t>
            </w:r>
            <w:r>
              <w:rPr>
                <w:rFonts w:ascii="Perpetua" w:hAnsi="Perpetua"/>
                <w:i/>
                <w:iCs/>
                <w:sz w:val="20"/>
              </w:rPr>
              <w:t>:</w:t>
            </w:r>
            <w:r w:rsidR="00E75C68" w:rsidRPr="00E75C68">
              <w:rPr>
                <w:rStyle w:val="hps"/>
                <w:rFonts w:ascii="Perpetua" w:hAnsi="Perpetua"/>
                <w:sz w:val="20"/>
                <w:szCs w:val="20"/>
              </w:rPr>
              <w:t xml:space="preserve"> "BOA</w:t>
            </w:r>
            <w:r w:rsidR="00E75C68" w:rsidRPr="00E75C68">
              <w:rPr>
                <w:rFonts w:ascii="Perpetua" w:hAnsi="Perpetua"/>
                <w:sz w:val="20"/>
                <w:szCs w:val="20"/>
              </w:rPr>
              <w:t xml:space="preserve"> </w:t>
            </w:r>
            <w:r w:rsidR="00E75C68" w:rsidRPr="00E75C68">
              <w:rPr>
                <w:rStyle w:val="hps"/>
                <w:rFonts w:ascii="Perpetua" w:hAnsi="Perpetua"/>
                <w:sz w:val="20"/>
                <w:szCs w:val="20"/>
              </w:rPr>
              <w:t>recruits</w:t>
            </w:r>
            <w:r w:rsidR="00E75C68" w:rsidRPr="00E75C68">
              <w:rPr>
                <w:rFonts w:ascii="Perpetua" w:hAnsi="Perpetua"/>
                <w:sz w:val="20"/>
                <w:szCs w:val="20"/>
              </w:rPr>
              <w:t xml:space="preserve"> </w:t>
            </w:r>
            <w:r w:rsidR="00E75C68" w:rsidRPr="00E75C68">
              <w:rPr>
                <w:rStyle w:val="hps"/>
                <w:rFonts w:ascii="Perpetua" w:hAnsi="Perpetua"/>
                <w:sz w:val="20"/>
                <w:szCs w:val="20"/>
              </w:rPr>
              <w:t>voluntary</w:t>
            </w:r>
            <w:r w:rsidR="00E75C68" w:rsidRPr="00E75C68">
              <w:rPr>
                <w:rFonts w:ascii="Perpetua" w:hAnsi="Perpetua"/>
                <w:sz w:val="20"/>
                <w:szCs w:val="20"/>
              </w:rPr>
              <w:t xml:space="preserve"> </w:t>
            </w:r>
            <w:r w:rsidR="00E75C68" w:rsidRPr="00E75C68">
              <w:rPr>
                <w:rStyle w:val="hps"/>
                <w:rFonts w:ascii="Perpetua" w:hAnsi="Perpetua"/>
                <w:sz w:val="20"/>
                <w:szCs w:val="20"/>
              </w:rPr>
              <w:t>(</w:t>
            </w:r>
            <w:r w:rsidR="00E75C68" w:rsidRPr="00E75C68">
              <w:rPr>
                <w:rFonts w:ascii="Perpetua" w:hAnsi="Perpetua"/>
                <w:sz w:val="20"/>
                <w:szCs w:val="20"/>
              </w:rPr>
              <w:t xml:space="preserve">m/f) </w:t>
            </w:r>
            <w:r w:rsidR="00E75C68" w:rsidRPr="00E75C68">
              <w:rPr>
                <w:rStyle w:val="hps"/>
                <w:rFonts w:ascii="Perpetua" w:hAnsi="Perpetua"/>
                <w:sz w:val="20"/>
                <w:szCs w:val="20"/>
              </w:rPr>
              <w:t>staff for distributing</w:t>
            </w:r>
            <w:r w:rsidR="00E75C68" w:rsidRPr="00E75C68">
              <w:rPr>
                <w:rFonts w:ascii="Perpetua" w:hAnsi="Perpetua"/>
                <w:sz w:val="20"/>
                <w:szCs w:val="20"/>
              </w:rPr>
              <w:t xml:space="preserve"> </w:t>
            </w:r>
            <w:r w:rsidR="00E75C68" w:rsidRPr="00E75C68">
              <w:rPr>
                <w:rStyle w:val="hps"/>
                <w:rFonts w:ascii="Perpetua" w:hAnsi="Perpetua"/>
                <w:sz w:val="20"/>
                <w:szCs w:val="20"/>
              </w:rPr>
              <w:t>information</w:t>
            </w:r>
            <w:r w:rsidR="00E75C68" w:rsidRPr="00E75C68">
              <w:rPr>
                <w:rFonts w:ascii="Perpetua" w:hAnsi="Perpetua"/>
                <w:sz w:val="20"/>
                <w:szCs w:val="20"/>
              </w:rPr>
              <w:t xml:space="preserve"> </w:t>
            </w:r>
            <w:r w:rsidR="00E75C68" w:rsidRPr="00E75C68">
              <w:rPr>
                <w:rStyle w:val="hps"/>
                <w:rFonts w:ascii="Perpetua" w:hAnsi="Perpetua"/>
                <w:sz w:val="20"/>
                <w:szCs w:val="20"/>
              </w:rPr>
              <w:t>about South</w:t>
            </w:r>
            <w:r w:rsidR="00E75C68" w:rsidRPr="00E75C68">
              <w:rPr>
                <w:rFonts w:ascii="Perpetua" w:hAnsi="Perpetua"/>
                <w:sz w:val="20"/>
                <w:szCs w:val="20"/>
              </w:rPr>
              <w:t xml:space="preserve"> </w:t>
            </w:r>
            <w:r w:rsidR="00E75C68" w:rsidRPr="00E75C68">
              <w:rPr>
                <w:rStyle w:val="hps"/>
                <w:rFonts w:ascii="Perpetua" w:hAnsi="Perpetua"/>
                <w:sz w:val="20"/>
                <w:szCs w:val="20"/>
              </w:rPr>
              <w:t>Africa and</w:t>
            </w:r>
            <w:r w:rsidR="00E75C68" w:rsidRPr="00E75C68">
              <w:rPr>
                <w:rFonts w:ascii="Perpetua" w:hAnsi="Perpetua"/>
                <w:sz w:val="20"/>
                <w:szCs w:val="20"/>
              </w:rPr>
              <w:t xml:space="preserve"> </w:t>
            </w:r>
            <w:r w:rsidR="00E75C68" w:rsidRPr="00E75C68">
              <w:rPr>
                <w:rStyle w:val="hps"/>
                <w:rFonts w:ascii="Perpetua" w:hAnsi="Perpetua"/>
                <w:sz w:val="20"/>
                <w:szCs w:val="20"/>
              </w:rPr>
              <w:t>actions against</w:t>
            </w:r>
            <w:r w:rsidR="00E75C68" w:rsidRPr="00E75C68">
              <w:rPr>
                <w:rFonts w:ascii="Perpetua" w:hAnsi="Perpetua"/>
                <w:sz w:val="20"/>
                <w:szCs w:val="20"/>
              </w:rPr>
              <w:t xml:space="preserve"> </w:t>
            </w:r>
            <w:r w:rsidR="00E75C68" w:rsidRPr="00E75C68">
              <w:rPr>
                <w:rStyle w:val="hps"/>
                <w:rFonts w:ascii="Perpetua" w:hAnsi="Perpetua"/>
                <w:sz w:val="20"/>
                <w:szCs w:val="20"/>
              </w:rPr>
              <w:t>apartheid</w:t>
            </w:r>
            <w:r w:rsidR="00E75C68" w:rsidRPr="00E75C68">
              <w:rPr>
                <w:rFonts w:ascii="Perpetua" w:hAnsi="Perpetua"/>
                <w:sz w:val="20"/>
                <w:szCs w:val="20"/>
              </w:rPr>
              <w:t xml:space="preserve">. </w:t>
            </w:r>
            <w:r w:rsidR="00E75C68" w:rsidRPr="00E75C68">
              <w:rPr>
                <w:rStyle w:val="hps"/>
                <w:rFonts w:ascii="Perpetua" w:hAnsi="Perpetua"/>
                <w:sz w:val="20"/>
                <w:szCs w:val="20"/>
              </w:rPr>
              <w:t>Give us a hand</w:t>
            </w:r>
            <w:r w:rsidR="00E75C68" w:rsidRPr="00E75C68">
              <w:rPr>
                <w:rFonts w:ascii="Perpetua" w:hAnsi="Perpetua"/>
                <w:sz w:val="20"/>
                <w:szCs w:val="20"/>
              </w:rPr>
              <w:t xml:space="preserve">! </w:t>
            </w:r>
            <w:r w:rsidR="00E75C68" w:rsidRPr="00E75C68">
              <w:rPr>
                <w:rStyle w:val="hps"/>
                <w:rFonts w:ascii="Perpetua" w:hAnsi="Perpetua"/>
                <w:sz w:val="20"/>
                <w:szCs w:val="20"/>
              </w:rPr>
              <w:t>Call or</w:t>
            </w:r>
            <w:r w:rsidR="00E75C68" w:rsidRPr="00E75C68">
              <w:rPr>
                <w:rFonts w:ascii="Perpetua" w:hAnsi="Perpetua"/>
                <w:sz w:val="20"/>
                <w:szCs w:val="20"/>
              </w:rPr>
              <w:t xml:space="preserve"> </w:t>
            </w:r>
            <w:r w:rsidR="00E75C68" w:rsidRPr="00E75C68">
              <w:rPr>
                <w:rStyle w:val="hps"/>
                <w:rFonts w:ascii="Perpetua" w:hAnsi="Perpetua"/>
                <w:sz w:val="20"/>
                <w:szCs w:val="20"/>
              </w:rPr>
              <w:t>drop by</w:t>
            </w:r>
            <w:r w:rsidR="00E75C68" w:rsidRPr="00E75C68">
              <w:rPr>
                <w:rFonts w:ascii="Perpetua" w:hAnsi="Perpetua"/>
                <w:sz w:val="20"/>
                <w:szCs w:val="20"/>
              </w:rPr>
              <w:t xml:space="preserve"> </w:t>
            </w:r>
            <w:r w:rsidR="00E75C68" w:rsidRPr="00E75C68">
              <w:rPr>
                <w:rStyle w:val="hps"/>
                <w:rFonts w:ascii="Perpetua" w:hAnsi="Perpetua"/>
                <w:sz w:val="20"/>
                <w:szCs w:val="20"/>
              </w:rPr>
              <w:t>for an interview"</w:t>
            </w:r>
            <w:r w:rsidR="00E75C68" w:rsidRPr="00E75C68">
              <w:rPr>
                <w:rFonts w:ascii="Perpetua" w:hAnsi="Perpetua"/>
                <w:sz w:val="20"/>
              </w:rPr>
              <w:t>. Image courtesy of IISH archives</w:t>
            </w:r>
            <w:bookmarkEnd w:id="884"/>
            <w:bookmarkEnd w:id="885"/>
            <w:r>
              <w:rPr>
                <w:rFonts w:ascii="Perpetua" w:hAnsi="Perpetua"/>
                <w:sz w:val="20"/>
              </w:rPr>
              <w:t>.</w:t>
            </w:r>
          </w:p>
          <w:p w:rsidR="00E75C68" w:rsidRDefault="00E75C68" w:rsidP="00A371B8">
            <w:pPr>
              <w:autoSpaceDE w:val="0"/>
              <w:autoSpaceDN w:val="0"/>
              <w:adjustRightInd w:val="0"/>
              <w:spacing w:after="0" w:line="360" w:lineRule="auto"/>
              <w:jc w:val="both"/>
              <w:rPr>
                <w:rFonts w:ascii="Garamond" w:hAnsi="Garamond"/>
                <w:sz w:val="24"/>
                <w:szCs w:val="24"/>
                <w:shd w:val="clear" w:color="auto" w:fill="FFFFFF"/>
              </w:rPr>
            </w:pPr>
          </w:p>
        </w:tc>
      </w:tr>
    </w:tbl>
    <w:p w:rsidR="00A371B8"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E75C68">
      <w:pPr>
        <w:pStyle w:val="Caption"/>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lastRenderedPageBreak/>
        <w:t xml:space="preserve">To historicise a couple of terms from Barnett </w:t>
      </w:r>
      <w:r>
        <w:rPr>
          <w:rFonts w:ascii="Garamond" w:hAnsi="Garamond"/>
          <w:sz w:val="24"/>
          <w:szCs w:val="24"/>
          <w:shd w:val="clear" w:color="auto" w:fill="FFFFFF"/>
        </w:rPr>
        <w:t>et</w:t>
      </w:r>
      <w:r w:rsidRPr="002650CB">
        <w:rPr>
          <w:rFonts w:ascii="Garamond" w:hAnsi="Garamond"/>
          <w:sz w:val="24"/>
          <w:szCs w:val="24"/>
          <w:shd w:val="clear" w:color="auto" w:fill="FFFFFF"/>
        </w:rPr>
        <w:t xml:space="preserve"> al</w:t>
      </w:r>
      <w:r>
        <w:rPr>
          <w:rFonts w:ascii="Garamond" w:hAnsi="Garamond"/>
          <w:sz w:val="24"/>
          <w:szCs w:val="24"/>
          <w:shd w:val="clear" w:color="auto" w:fill="FFFFFF"/>
        </w:rPr>
        <w:t>.’</w:t>
      </w:r>
      <w:r w:rsidRPr="002650CB">
        <w:rPr>
          <w:rFonts w:ascii="Garamond" w:hAnsi="Garamond"/>
          <w:sz w:val="24"/>
          <w:szCs w:val="24"/>
          <w:shd w:val="clear" w:color="auto" w:fill="FFFFFF"/>
        </w:rPr>
        <w:t xml:space="preserve">s, </w:t>
      </w:r>
      <w:r w:rsidRPr="002650CB">
        <w:rPr>
          <w:rFonts w:ascii="Garamond" w:hAnsi="Garamond"/>
          <w:i/>
          <w:sz w:val="24"/>
          <w:szCs w:val="24"/>
          <w:shd w:val="clear" w:color="auto" w:fill="FFFFFF"/>
        </w:rPr>
        <w:t>Globalizing Responsibility</w:t>
      </w:r>
      <w:r>
        <w:rPr>
          <w:rFonts w:ascii="Garamond" w:hAnsi="Garamond"/>
          <w:sz w:val="24"/>
          <w:szCs w:val="24"/>
          <w:shd w:val="clear" w:color="auto" w:fill="FFFFFF"/>
        </w:rPr>
        <w:t xml:space="preserve"> (2011</w:t>
      </w:r>
      <w:r w:rsidRPr="002650CB">
        <w:rPr>
          <w:rFonts w:ascii="Garamond" w:hAnsi="Garamond"/>
          <w:sz w:val="24"/>
          <w:szCs w:val="24"/>
          <w:shd w:val="clear" w:color="auto" w:fill="FFFFFF"/>
        </w:rPr>
        <w:t xml:space="preserve">), the BOA intended to 'cultivate' antiracist citizens by intervening in the 'lay ethics' of cultural, social and economic activities. On the surface Leiden Against Apartheid seems an interesting pre-internet antecedent to the neoliberal and culturally dispersed practices of ethical consumption movements described in </w:t>
      </w:r>
      <w:r w:rsidRPr="002650CB">
        <w:rPr>
          <w:rFonts w:ascii="Garamond" w:hAnsi="Garamond"/>
          <w:i/>
          <w:sz w:val="24"/>
          <w:szCs w:val="24"/>
          <w:shd w:val="clear" w:color="auto" w:fill="FFFFFF"/>
        </w:rPr>
        <w:t>Globalizing Responsibility.</w:t>
      </w:r>
      <w:r w:rsidRPr="002650CB">
        <w:rPr>
          <w:rFonts w:ascii="Garamond" w:hAnsi="Garamond"/>
          <w:sz w:val="24"/>
          <w:szCs w:val="24"/>
          <w:shd w:val="clear" w:color="auto" w:fill="FFFFFF"/>
        </w:rPr>
        <w:t xml:space="preserve"> However, the BOA's urban campaigns were underpinned by a commitment to socialist ideals and Marxist thinking. The organization placed itself at the hub of a labour-intensive web of organizations, committees, unions and cultural producers that worked to pressurize the Dutch government, corporations, trade-unions, churches, and the broader anti-apartheid movement into accepting BOA doctrine of </w:t>
      </w:r>
      <w:r>
        <w:rPr>
          <w:rFonts w:ascii="Garamond" w:hAnsi="Garamond"/>
          <w:sz w:val="24"/>
          <w:szCs w:val="24"/>
          <w:shd w:val="clear" w:color="auto" w:fill="FFFFFF"/>
        </w:rPr>
        <w:t>racism here, apartheid there</w:t>
      </w:r>
      <w:r w:rsidRPr="002650CB">
        <w:rPr>
          <w:rFonts w:ascii="Garamond" w:hAnsi="Garamond"/>
          <w:sz w:val="24"/>
          <w:szCs w:val="24"/>
          <w:shd w:val="clear" w:color="auto" w:fill="FFFFFF"/>
        </w:rPr>
        <w:t xml:space="preserve">. </w:t>
      </w:r>
      <w:r>
        <w:rPr>
          <w:rFonts w:ascii="Garamond" w:hAnsi="Garamond"/>
          <w:sz w:val="24"/>
          <w:szCs w:val="24"/>
          <w:shd w:val="clear" w:color="auto" w:fill="FFFFFF"/>
        </w:rPr>
        <w:t>The eleven page dossier published</w:t>
      </w:r>
      <w:r w:rsidRPr="002650CB">
        <w:rPr>
          <w:rFonts w:ascii="Garamond" w:hAnsi="Garamond"/>
          <w:sz w:val="24"/>
          <w:szCs w:val="24"/>
          <w:shd w:val="clear" w:color="auto" w:fill="FFFFFF"/>
        </w:rPr>
        <w:t xml:space="preserve"> in 1988 entitled </w:t>
      </w:r>
      <w:r w:rsidRPr="002650CB">
        <w:rPr>
          <w:rFonts w:ascii="Garamond" w:hAnsi="Garamond"/>
          <w:i/>
          <w:sz w:val="24"/>
          <w:szCs w:val="24"/>
          <w:shd w:val="clear" w:color="auto" w:fill="FFFFFF"/>
        </w:rPr>
        <w:t xml:space="preserve">A Brief Sketch of the BOA-Urban Campaigns in Holland </w:t>
      </w:r>
      <w:r w:rsidRPr="002650CB">
        <w:rPr>
          <w:rFonts w:ascii="Garamond" w:hAnsi="Garamond"/>
          <w:sz w:val="24"/>
          <w:szCs w:val="24"/>
          <w:shd w:val="clear" w:color="auto" w:fill="FFFFFF"/>
        </w:rPr>
        <w:t xml:space="preserve">reads as part activist-instruction manual, part cultural manifesto. There are hints of Althusser's ideological state apparatuses and Debord's </w:t>
      </w:r>
      <w:r w:rsidRPr="002650CB">
        <w:rPr>
          <w:rFonts w:ascii="Garamond" w:hAnsi="Garamond"/>
          <w:i/>
          <w:sz w:val="24"/>
          <w:szCs w:val="24"/>
          <w:shd w:val="clear" w:color="auto" w:fill="FFFFFF"/>
        </w:rPr>
        <w:t>Situationist International</w:t>
      </w:r>
      <w:r w:rsidRPr="002650CB">
        <w:rPr>
          <w:rFonts w:ascii="Garamond" w:hAnsi="Garamond"/>
          <w:sz w:val="24"/>
          <w:szCs w:val="24"/>
          <w:shd w:val="clear" w:color="auto" w:fill="FFFFFF"/>
        </w:rPr>
        <w:t xml:space="preserve"> in its painting of an urban (racial) dystopia. The Dutch public are positioned as largely apathetic requiring interpolating, mobilizing and organizing through grassroots political apparatus. But the trope to which these thick dystopic brushstrokes are adhered remains the causal chain of complicity and implication that was so distinguished in the Outspan boycott. The general objective of the </w:t>
      </w:r>
      <w:r>
        <w:rPr>
          <w:rFonts w:ascii="Garamond" w:hAnsi="Garamond"/>
          <w:sz w:val="24"/>
          <w:szCs w:val="24"/>
          <w:shd w:val="clear" w:color="auto" w:fill="FFFFFF"/>
        </w:rPr>
        <w:t>Leiden Against Apartheid</w:t>
      </w:r>
      <w:r w:rsidRPr="002650CB">
        <w:rPr>
          <w:rFonts w:ascii="Garamond" w:hAnsi="Garamond"/>
          <w:sz w:val="24"/>
          <w:szCs w:val="24"/>
          <w:shd w:val="clear" w:color="auto" w:fill="FFFFFF"/>
        </w:rPr>
        <w:t xml:space="preserve"> was,</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hAnsi="Garamond"/>
          <w:shd w:val="clear" w:color="auto" w:fill="FFFFFF"/>
        </w:rPr>
      </w:pPr>
      <w:r w:rsidRPr="002650CB">
        <w:rPr>
          <w:rFonts w:ascii="Garamond" w:hAnsi="Garamond"/>
          <w:shd w:val="clear" w:color="auto" w:fill="FFFFFF"/>
        </w:rPr>
        <w:t>to supply information about South Africa in such a manner that the grassroots within a city become so activated that they exert pressure on the vested interests in their city and in South Africa which maintain racism here and apartheid there. This objective is achieved by stimulating and mobilizing different groups that are representative of the local population. A further aim is to create solidarity with the struggle against apartheid in such a way that a continual connection is made between the situation 'here' and 'there' (e.g. racism, the North-South divide, militarization/disarmament, e</w:t>
      </w:r>
      <w:r>
        <w:rPr>
          <w:rFonts w:ascii="Garamond" w:hAnsi="Garamond"/>
          <w:shd w:val="clear" w:color="auto" w:fill="FFFFFF"/>
        </w:rPr>
        <w:t>ducation, work, companies, etc). (du Plessis, 1988a: 9)</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6B620C">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Boycotting citrus or white migration is replaced here by an expansive form of reflexivity over white privilege that should permeate everyday life. This placed demands on the public, the citrus and migration boycotts came attached with emotive bodily tropes, and provided tangible markers for 'racism here</w:t>
      </w:r>
      <w:r>
        <w:rPr>
          <w:rFonts w:ascii="Garamond" w:hAnsi="Garamond"/>
          <w:sz w:val="24"/>
          <w:szCs w:val="24"/>
          <w:shd w:val="clear" w:color="auto" w:fill="FFFFFF"/>
        </w:rPr>
        <w:t>,</w:t>
      </w:r>
      <w:r w:rsidRPr="002650CB">
        <w:rPr>
          <w:rFonts w:ascii="Garamond" w:hAnsi="Garamond"/>
          <w:sz w:val="24"/>
          <w:szCs w:val="24"/>
          <w:shd w:val="clear" w:color="auto" w:fill="FFFFFF"/>
        </w:rPr>
        <w:t xml:space="preserve"> apartheid there'. The urban campaigns left out these egregious commodity-body imaginations, and instead challenged individual interest groups to construct alternative imaginaries to white forms of anti-apartheid, and practice antiracist solidarities across their specialist fields. This demanded significant cultural capital and a relational understanding of white privilege; </w:t>
      </w:r>
      <w:r>
        <w:rPr>
          <w:rFonts w:ascii="Garamond" w:hAnsi="Garamond"/>
          <w:sz w:val="24"/>
          <w:szCs w:val="24"/>
          <w:shd w:val="clear" w:color="auto" w:fill="FFFFFF"/>
        </w:rPr>
        <w:t xml:space="preserve">throughout the 1980s </w:t>
      </w:r>
      <w:r w:rsidRPr="002650CB">
        <w:rPr>
          <w:rFonts w:ascii="Garamond" w:hAnsi="Garamond"/>
          <w:sz w:val="24"/>
          <w:szCs w:val="24"/>
          <w:shd w:val="clear" w:color="auto" w:fill="FFFFFF"/>
        </w:rPr>
        <w:lastRenderedPageBreak/>
        <w:t>the BOA invested increas</w:t>
      </w:r>
      <w:r>
        <w:rPr>
          <w:rFonts w:ascii="Garamond" w:hAnsi="Garamond"/>
          <w:sz w:val="24"/>
          <w:szCs w:val="24"/>
          <w:shd w:val="clear" w:color="auto" w:fill="FFFFFF"/>
        </w:rPr>
        <w:t>ing amounts of time on pedagogy</w:t>
      </w:r>
      <w:r w:rsidRPr="002650CB">
        <w:rPr>
          <w:rFonts w:ascii="Garamond" w:hAnsi="Garamond"/>
          <w:sz w:val="24"/>
          <w:szCs w:val="24"/>
          <w:shd w:val="clear" w:color="auto" w:fill="FFFFFF"/>
        </w:rPr>
        <w:t xml:space="preserve">. </w:t>
      </w:r>
      <w:r>
        <w:rPr>
          <w:rFonts w:ascii="Garamond" w:hAnsi="Garamond"/>
          <w:sz w:val="24"/>
          <w:szCs w:val="24"/>
          <w:shd w:val="clear" w:color="auto" w:fill="FFFFFF"/>
        </w:rPr>
        <w:t>Following Leiden Against Apartheid</w:t>
      </w:r>
      <w:r w:rsidRPr="002650CB">
        <w:rPr>
          <w:rFonts w:ascii="Garamond" w:hAnsi="Garamond"/>
          <w:sz w:val="24"/>
          <w:szCs w:val="24"/>
          <w:shd w:val="clear" w:color="auto" w:fill="FFFFFF"/>
        </w:rPr>
        <w:t xml:space="preserve"> the BOA set up initial town meetings with political parties and schools to inform and discuss colonialis</w:t>
      </w:r>
      <w:r>
        <w:rPr>
          <w:rFonts w:ascii="Garamond" w:hAnsi="Garamond"/>
          <w:sz w:val="24"/>
          <w:szCs w:val="24"/>
          <w:shd w:val="clear" w:color="auto" w:fill="FFFFFF"/>
        </w:rPr>
        <w:t>m and racism (interview Veerman</w:t>
      </w:r>
      <w:r w:rsidRPr="002650CB">
        <w:rPr>
          <w:rFonts w:ascii="Garamond" w:hAnsi="Garamond"/>
          <w:sz w:val="24"/>
          <w:szCs w:val="24"/>
          <w:shd w:val="clear" w:color="auto" w:fill="FFFFFF"/>
        </w:rPr>
        <w:t xml:space="preserve"> 2011).</w:t>
      </w:r>
      <w:r>
        <w:rPr>
          <w:rFonts w:ascii="Garamond" w:hAnsi="Garamond"/>
          <w:sz w:val="24"/>
          <w:szCs w:val="24"/>
          <w:shd w:val="clear" w:color="auto" w:fill="FFFFFF"/>
        </w:rPr>
        <w:t xml:space="preserve"> Critical to this was teaching Dutch history to white publics:</w:t>
      </w:r>
    </w:p>
    <w:p w:rsidR="00A371B8" w:rsidRPr="002650CB" w:rsidRDefault="00A371B8" w:rsidP="006B620C">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Do you think the message on apartheid and racism was well received by the public you met?</w:t>
      </w:r>
    </w:p>
    <w:p w:rsidR="00A371B8" w:rsidRPr="002650CB" w:rsidRDefault="00A371B8" w:rsidP="00A371B8">
      <w:pPr>
        <w:spacing w:line="360" w:lineRule="auto"/>
        <w:ind w:left="284" w:right="284"/>
        <w:jc w:val="both"/>
        <w:rPr>
          <w:rFonts w:ascii="Garamond" w:hAnsi="Garamond"/>
        </w:rPr>
      </w:pPr>
      <w:r w:rsidRPr="002650CB">
        <w:rPr>
          <w:rFonts w:ascii="Garamond" w:hAnsi="Garamond"/>
        </w:rPr>
        <w:t>Esau: Yes, but we had the support of the media. We had prepared the media through Karel Roskam. But the reluctance of people to talk about racism, their knowledge was so inadequate and insufficient regarding the history of their own country. They knew that Holland had something to do with South Africa, Indonesia, with Surinam and the Dutch Antilles. But we had to inform about what the Dutch really did in slavery and colonialism.</w:t>
      </w:r>
    </w:p>
    <w:p w:rsidR="00A371B8"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The Dutch knew little about slavery?</w:t>
      </w: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Educated people knew about this, the ones who went to high school. But very selectively. You see schools, teachers, they struggle to provide information about apartheid and racism. But it's one thing to contact people in Amsterdam to ask about racism, and another to have a person right in their vicinity. And that's where I jumped in giving lessons, first of all we had workshop arrangement for teachers, and then a symposium for teachers, like the lecture I gave in Dordrecht.</w:t>
      </w:r>
      <w:r w:rsidR="006B620C">
        <w:rPr>
          <w:rFonts w:ascii="Garamond" w:hAnsi="Garamond"/>
        </w:rPr>
        <w:t xml:space="preserve"> (Interview du Plessis 2013)</w:t>
      </w:r>
    </w:p>
    <w:p w:rsidR="00A371B8" w:rsidRDefault="00A371B8" w:rsidP="00A371B8">
      <w:pPr>
        <w:autoSpaceDE w:val="0"/>
        <w:autoSpaceDN w:val="0"/>
        <w:adjustRightInd w:val="0"/>
        <w:spacing w:after="0" w:line="360" w:lineRule="auto"/>
        <w:jc w:val="both"/>
        <w:rPr>
          <w:rFonts w:ascii="Garamond" w:hAnsi="Garamond"/>
          <w:sz w:val="24"/>
          <w:szCs w:val="24"/>
        </w:rPr>
      </w:pPr>
      <w:r>
        <w:rPr>
          <w:rFonts w:ascii="Garamond" w:hAnsi="Garamond"/>
          <w:sz w:val="24"/>
          <w:szCs w:val="24"/>
        </w:rPr>
        <w:t xml:space="preserve">This was long and incremental process, far removed from the publicity of the Outspan boycott and the staging of anti-apartheid performances that characterized the BOA's work in white migration. Du Plessis theorised it as the next stage of BOA activism, but he did not expect to get stuck. One of the problems the BOA encountered was that only a few people are capable of teaching or sharing antiracism; unlike the Outspan boycott it was not an activism in which many people could participate. </w:t>
      </w:r>
    </w:p>
    <w:p w:rsidR="00A371B8" w:rsidRDefault="00A371B8" w:rsidP="00A371B8">
      <w:pPr>
        <w:autoSpaceDE w:val="0"/>
        <w:autoSpaceDN w:val="0"/>
        <w:adjustRightInd w:val="0"/>
        <w:spacing w:after="0" w:line="360" w:lineRule="auto"/>
        <w:jc w:val="both"/>
        <w:rPr>
          <w:rFonts w:ascii="Garamond" w:hAnsi="Garamond"/>
          <w:b/>
          <w:sz w:val="24"/>
          <w:szCs w:val="24"/>
        </w:rPr>
      </w:pPr>
    </w:p>
    <w:p w:rsidR="00A371B8" w:rsidRPr="0009707A" w:rsidRDefault="00A371B8" w:rsidP="00A371B8">
      <w:pPr>
        <w:pStyle w:val="Heading2"/>
        <w:rPr>
          <w:i/>
        </w:rPr>
      </w:pPr>
      <w:bookmarkStart w:id="886" w:name="_Toc244578413"/>
      <w:bookmarkStart w:id="887" w:name="_Toc244578797"/>
      <w:bookmarkStart w:id="888" w:name="_Toc263452048"/>
      <w:bookmarkStart w:id="889" w:name="_Toc263510966"/>
      <w:r w:rsidRPr="0009707A">
        <w:t>'Workers Of The World United Against Apartheid': SACTU</w:t>
      </w:r>
      <w:r w:rsidRPr="0009707A">
        <w:rPr>
          <w:rStyle w:val="FootnoteReference"/>
          <w:szCs w:val="24"/>
        </w:rPr>
        <w:footnoteReference w:id="284"/>
      </w:r>
      <w:r w:rsidRPr="0009707A">
        <w:t>, Labour and Solidarity</w:t>
      </w:r>
      <w:bookmarkEnd w:id="886"/>
      <w:bookmarkEnd w:id="887"/>
      <w:bookmarkEnd w:id="888"/>
      <w:bookmarkEnd w:id="889"/>
    </w:p>
    <w:p w:rsidR="00A371B8"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International trade union activism against apartheid has largely been considered as secondary in comparison to studies of AAMs in Britain and Scandinavia (Bolsmann, </w:t>
      </w:r>
      <w:r w:rsidRPr="002650CB">
        <w:rPr>
          <w:rFonts w:ascii="Garamond" w:hAnsi="Garamond"/>
          <w:sz w:val="24"/>
          <w:szCs w:val="24"/>
        </w:rPr>
        <w:lastRenderedPageBreak/>
        <w:t>2007). In a wide ranging history of South African international labour solidarities, Rodger Southall (1995) concludes that 'effective solidarity' was limited due to Cold War tensions, but he argues, due to the access to Western governments achieved by union centres in North America and Europe, the ICFTU</w:t>
      </w:r>
      <w:r w:rsidRPr="002650CB">
        <w:rPr>
          <w:rStyle w:val="FootnoteReference"/>
          <w:rFonts w:ascii="Garamond" w:hAnsi="Garamond"/>
          <w:sz w:val="24"/>
          <w:szCs w:val="24"/>
        </w:rPr>
        <w:footnoteReference w:id="285"/>
      </w:r>
      <w:r w:rsidRPr="002650CB">
        <w:rPr>
          <w:rFonts w:ascii="Garamond" w:hAnsi="Garamond"/>
          <w:sz w:val="24"/>
          <w:szCs w:val="24"/>
        </w:rPr>
        <w:t xml:space="preserve"> and national unions were able to apply more pressure for policy changes than voices from the anti-apartheid movement. But equally important to the pressure applied to policy makers in government, were the ways in which the trade unions engaged with AAMs. The transnational labour solidarities constructed by SACTU extended into social movements; exiled SACTU delegates were able to influence the direction of anti-apartheid activism. The relationship between the BOA and SACTU provides a wonderful example of anti-apartheid solidarity practiced through exchange, trust and communication between consumption and labour movements. </w:t>
      </w:r>
    </w:p>
    <w:p w:rsidR="00A371B8" w:rsidRPr="002650CB" w:rsidRDefault="00A371B8" w:rsidP="00A371B8">
      <w:pPr>
        <w:spacing w:line="360" w:lineRule="auto"/>
        <w:jc w:val="both"/>
        <w:rPr>
          <w:rFonts w:ascii="Garamond" w:hAnsi="Garamond"/>
          <w:sz w:val="24"/>
          <w:szCs w:val="24"/>
        </w:rPr>
      </w:pPr>
    </w:p>
    <w:p w:rsidR="00A371B8" w:rsidRPr="006B620C" w:rsidRDefault="00A371B8" w:rsidP="00A371B8">
      <w:pPr>
        <w:spacing w:line="360" w:lineRule="auto"/>
        <w:jc w:val="center"/>
        <w:rPr>
          <w:rFonts w:ascii="Perpetua" w:hAnsi="Perpetua"/>
          <w:b/>
          <w:sz w:val="20"/>
          <w:szCs w:val="24"/>
        </w:rPr>
      </w:pPr>
      <w:r w:rsidRPr="006B620C">
        <w:rPr>
          <w:rFonts w:ascii="Perpetua" w:hAnsi="Perpetua"/>
          <w:b/>
          <w:noProof/>
          <w:sz w:val="20"/>
          <w:szCs w:val="24"/>
          <w:lang w:eastAsia="en-GB"/>
        </w:rPr>
        <w:drawing>
          <wp:inline distT="0" distB="0" distL="0" distR="0">
            <wp:extent cx="2385734" cy="3568700"/>
            <wp:effectExtent l="25400" t="0" r="1866" b="0"/>
            <wp:docPr id="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cstate="print"/>
                    <a:srcRect/>
                    <a:stretch>
                      <a:fillRect/>
                    </a:stretch>
                  </pic:blipFill>
                  <pic:spPr bwMode="auto">
                    <a:xfrm>
                      <a:off x="0" y="0"/>
                      <a:ext cx="2390607" cy="3575989"/>
                    </a:xfrm>
                    <a:prstGeom prst="rect">
                      <a:avLst/>
                    </a:prstGeom>
                    <a:noFill/>
                    <a:ln w="9525">
                      <a:noFill/>
                      <a:miter lim="800000"/>
                      <a:headEnd/>
                      <a:tailEnd/>
                    </a:ln>
                  </pic:spPr>
                </pic:pic>
              </a:graphicData>
            </a:graphic>
          </wp:inline>
        </w:drawing>
      </w:r>
      <w:r w:rsidRPr="006B620C">
        <w:rPr>
          <w:rFonts w:ascii="Perpetua" w:hAnsi="Perpetua"/>
          <w:b/>
          <w:sz w:val="20"/>
          <w:szCs w:val="24"/>
        </w:rPr>
        <w:t xml:space="preserve">           </w:t>
      </w:r>
      <w:r w:rsidRPr="006B620C">
        <w:rPr>
          <w:rFonts w:ascii="Perpetua" w:hAnsi="Perpetua"/>
          <w:b/>
          <w:noProof/>
          <w:sz w:val="20"/>
          <w:szCs w:val="24"/>
          <w:lang w:eastAsia="en-GB"/>
        </w:rPr>
        <w:drawing>
          <wp:inline distT="0" distB="0" distL="0" distR="0">
            <wp:extent cx="2497510" cy="3416300"/>
            <wp:effectExtent l="25400" t="0" r="0" b="0"/>
            <wp:docPr id="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srcRect/>
                    <a:stretch>
                      <a:fillRect/>
                    </a:stretch>
                  </pic:blipFill>
                  <pic:spPr bwMode="auto">
                    <a:xfrm>
                      <a:off x="0" y="0"/>
                      <a:ext cx="2514318" cy="3439292"/>
                    </a:xfrm>
                    <a:prstGeom prst="rect">
                      <a:avLst/>
                    </a:prstGeom>
                    <a:noFill/>
                    <a:ln w="9525">
                      <a:noFill/>
                      <a:miter lim="800000"/>
                      <a:headEnd/>
                      <a:tailEnd/>
                    </a:ln>
                  </pic:spPr>
                </pic:pic>
              </a:graphicData>
            </a:graphic>
          </wp:inline>
        </w:drawing>
      </w:r>
    </w:p>
    <w:p w:rsidR="00A371B8" w:rsidRPr="006B620C" w:rsidRDefault="006B620C" w:rsidP="006B620C">
      <w:pPr>
        <w:pStyle w:val="Caption"/>
        <w:jc w:val="center"/>
        <w:rPr>
          <w:rFonts w:ascii="Perpetua" w:hAnsi="Perpetua"/>
          <w:b w:val="0"/>
          <w:iCs/>
          <w:color w:val="auto"/>
          <w:sz w:val="20"/>
          <w:szCs w:val="20"/>
        </w:rPr>
      </w:pPr>
      <w:bookmarkStart w:id="890" w:name="_Toc244577361"/>
      <w:bookmarkStart w:id="891" w:name="_Toc263495830"/>
      <w:bookmarkStart w:id="892" w:name="_Toc263509096"/>
      <w:bookmarkStart w:id="893" w:name="_Toc263510883"/>
      <w:r w:rsidRPr="009E10F2">
        <w:rPr>
          <w:rFonts w:ascii="Perpetua" w:hAnsi="Perpetua"/>
          <w:b w:val="0"/>
          <w:color w:val="auto"/>
          <w:sz w:val="20"/>
        </w:rPr>
        <w:t xml:space="preserve">Figure </w:t>
      </w:r>
      <w:r w:rsidR="00DF2DF8" w:rsidRPr="009E10F2">
        <w:rPr>
          <w:rFonts w:ascii="Perpetua" w:hAnsi="Perpetua"/>
          <w:b w:val="0"/>
          <w:color w:val="auto"/>
          <w:sz w:val="20"/>
        </w:rPr>
        <w:fldChar w:fldCharType="begin"/>
      </w:r>
      <w:r w:rsidRPr="009E10F2">
        <w:rPr>
          <w:rFonts w:ascii="Perpetua" w:hAnsi="Perpetua"/>
          <w:b w:val="0"/>
          <w:color w:val="auto"/>
          <w:sz w:val="20"/>
        </w:rPr>
        <w:instrText xml:space="preserve"> SEQ Figure \* ARABIC </w:instrText>
      </w:r>
      <w:r w:rsidR="00DF2DF8" w:rsidRPr="009E10F2">
        <w:rPr>
          <w:rFonts w:ascii="Perpetua" w:hAnsi="Perpetua"/>
          <w:b w:val="0"/>
          <w:color w:val="auto"/>
          <w:sz w:val="20"/>
        </w:rPr>
        <w:fldChar w:fldCharType="separate"/>
      </w:r>
      <w:r w:rsidR="002B3E92">
        <w:rPr>
          <w:rFonts w:ascii="Perpetua" w:hAnsi="Perpetua"/>
          <w:b w:val="0"/>
          <w:noProof/>
          <w:color w:val="auto"/>
          <w:sz w:val="20"/>
        </w:rPr>
        <w:t>99</w:t>
      </w:r>
      <w:r w:rsidR="00DF2DF8" w:rsidRPr="009E10F2">
        <w:rPr>
          <w:rFonts w:ascii="Perpetua" w:hAnsi="Perpetua"/>
          <w:b w:val="0"/>
          <w:color w:val="auto"/>
          <w:sz w:val="20"/>
        </w:rPr>
        <w:fldChar w:fldCharType="end"/>
      </w:r>
      <w:r w:rsidR="00A371B8" w:rsidRPr="009E10F2">
        <w:rPr>
          <w:rFonts w:ascii="Perpetua" w:hAnsi="Perpetua"/>
          <w:b w:val="0"/>
          <w:color w:val="auto"/>
          <w:sz w:val="20"/>
          <w:szCs w:val="20"/>
        </w:rPr>
        <w:t>:</w:t>
      </w:r>
      <w:r w:rsidR="00A371B8" w:rsidRPr="006B620C">
        <w:rPr>
          <w:rFonts w:ascii="Perpetua" w:hAnsi="Perpetua"/>
          <w:b w:val="0"/>
          <w:color w:val="auto"/>
          <w:sz w:val="20"/>
          <w:szCs w:val="20"/>
        </w:rPr>
        <w:t xml:space="preserve"> Left,</w:t>
      </w:r>
      <w:r w:rsidR="009E10F2">
        <w:rPr>
          <w:rFonts w:ascii="Perpetua" w:hAnsi="Perpetua"/>
          <w:b w:val="0"/>
          <w:color w:val="auto"/>
          <w:sz w:val="20"/>
          <w:szCs w:val="20"/>
        </w:rPr>
        <w:t xml:space="preserve"> BOA poster,</w:t>
      </w:r>
      <w:r w:rsidR="00A371B8" w:rsidRPr="006B620C">
        <w:rPr>
          <w:rFonts w:ascii="Perpetua" w:hAnsi="Perpetua"/>
          <w:b w:val="0"/>
          <w:color w:val="auto"/>
          <w:sz w:val="20"/>
          <w:szCs w:val="20"/>
        </w:rPr>
        <w:t xml:space="preserve"> 'Proletarians of all countries united against apartheid'. Right, </w:t>
      </w:r>
      <w:r w:rsidR="009E10F2">
        <w:rPr>
          <w:rFonts w:ascii="Perpetua" w:hAnsi="Perpetua"/>
          <w:b w:val="0"/>
          <w:color w:val="auto"/>
          <w:sz w:val="20"/>
          <w:szCs w:val="20"/>
        </w:rPr>
        <w:t>SACTU poster,</w:t>
      </w:r>
      <w:r w:rsidR="00A371B8" w:rsidRPr="006B620C">
        <w:rPr>
          <w:rFonts w:ascii="Perpetua" w:hAnsi="Perpetua"/>
          <w:b w:val="0"/>
          <w:color w:val="auto"/>
          <w:sz w:val="20"/>
          <w:szCs w:val="20"/>
        </w:rPr>
        <w:t xml:space="preserve"> '</w:t>
      </w:r>
      <w:r w:rsidR="00A371B8" w:rsidRPr="006B620C">
        <w:rPr>
          <w:rFonts w:ascii="Perpetua" w:hAnsi="Perpetua"/>
          <w:b w:val="0"/>
          <w:iCs/>
          <w:color w:val="auto"/>
          <w:sz w:val="20"/>
          <w:szCs w:val="20"/>
        </w:rPr>
        <w:t>An injury to one is an injury to all'.</w:t>
      </w:r>
      <w:bookmarkEnd w:id="890"/>
      <w:bookmarkEnd w:id="891"/>
      <w:bookmarkEnd w:id="892"/>
      <w:bookmarkEnd w:id="893"/>
    </w:p>
    <w:p w:rsidR="006B620C" w:rsidRDefault="006B620C" w:rsidP="00A371B8">
      <w:pPr>
        <w:spacing w:line="360" w:lineRule="auto"/>
        <w:ind w:left="284" w:right="284"/>
        <w:jc w:val="both"/>
        <w:rPr>
          <w:rFonts w:ascii="Garamond" w:hAnsi="Garamond"/>
        </w:rPr>
      </w:pPr>
    </w:p>
    <w:p w:rsidR="006B620C" w:rsidRDefault="006B620C" w:rsidP="00A371B8">
      <w:pPr>
        <w:spacing w:line="360" w:lineRule="auto"/>
        <w:ind w:left="284" w:right="284"/>
        <w:jc w:val="both"/>
        <w:rPr>
          <w:rFonts w:ascii="Garamond" w:hAnsi="Garamond"/>
        </w:rPr>
      </w:pPr>
    </w:p>
    <w:p w:rsidR="006B620C" w:rsidRDefault="006B620C" w:rsidP="00A371B8">
      <w:pPr>
        <w:spacing w:line="360" w:lineRule="auto"/>
        <w:ind w:left="284" w:right="284"/>
        <w:jc w:val="both"/>
        <w:rPr>
          <w:rFonts w:ascii="Garamond" w:hAnsi="Garamond"/>
        </w:rPr>
      </w:pPr>
    </w:p>
    <w:p w:rsidR="006B620C" w:rsidRDefault="006B620C" w:rsidP="00A371B8">
      <w:pPr>
        <w:spacing w:line="360" w:lineRule="auto"/>
        <w:ind w:left="284" w:right="284"/>
        <w:jc w:val="both"/>
        <w:rPr>
          <w:rFonts w:ascii="Garamond" w:hAnsi="Garamond"/>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Did you think that the BOA could make a real difference with the conditions of labour from a distance?</w:t>
      </w:r>
    </w:p>
    <w:p w:rsidR="00A371B8" w:rsidRPr="00161D36" w:rsidRDefault="00A371B8" w:rsidP="00A371B8">
      <w:pPr>
        <w:autoSpaceDE w:val="0"/>
        <w:autoSpaceDN w:val="0"/>
        <w:adjustRightInd w:val="0"/>
        <w:spacing w:after="0" w:line="360" w:lineRule="auto"/>
        <w:ind w:left="284" w:right="284"/>
        <w:jc w:val="both"/>
        <w:rPr>
          <w:rFonts w:ascii="Garamond" w:hAnsi="Garamond"/>
          <w:b/>
        </w:rPr>
      </w:pPr>
      <w:r>
        <w:rPr>
          <w:rFonts w:ascii="Garamond" w:hAnsi="Garamond"/>
        </w:rPr>
        <w:t>ESAU</w:t>
      </w:r>
      <w:r w:rsidRPr="002650CB">
        <w:rPr>
          <w:rFonts w:ascii="Garamond" w:hAnsi="Garamond"/>
        </w:rPr>
        <w:t>: Yes, I believe so, because you see, our links and close co-operation with SACTU for instance, that was a direct link to labour, and its conditions in South Africa. And the Dutch Trade Union Council movement, when we invited them to the conference in March '73, we sent them three tickets, and they sent the tickets back - they were not interested. But they changed their minds quickly when they realized that we worked with people on the office floor, because we went to the grassroots, and their own members saw the publicity and joined the campaign. They became enthusiastic supporters of the BOA. And that was one of the successes  we had in Holland, the trade union movement supporting us officially. In 1977 we had an international workers congress conference in Leiden.</w:t>
      </w:r>
      <w:r w:rsidR="006B620C">
        <w:rPr>
          <w:rFonts w:ascii="Garamond" w:hAnsi="Garamond"/>
        </w:rPr>
        <w:t xml:space="preserve"> (Interview du Plessis 2011)</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The relationship between SACTU and the BOA began in 1973. In distinction from other Dutch AAMs whose core solidarities lay with the ANC (the AABN and KZA) and the PAC (Azania </w:t>
      </w:r>
      <w:r w:rsidR="00A6449D">
        <w:rPr>
          <w:rFonts w:ascii="Garamond" w:hAnsi="Garamond"/>
          <w:sz w:val="24"/>
          <w:szCs w:val="24"/>
        </w:rPr>
        <w:t>Committee</w:t>
      </w:r>
      <w:r w:rsidRPr="002650CB">
        <w:rPr>
          <w:rFonts w:ascii="Garamond" w:hAnsi="Garamond"/>
          <w:sz w:val="24"/>
          <w:szCs w:val="24"/>
        </w:rPr>
        <w:t>), from 1970 the BOA offered solidarity to the South African labourer through SACTU. Firstly, this was expressed through the Outspan boycott, and secondly through the anti-emigration campaign. SACTU recognised this support from 1973, when having originally declined to send any delegates to the Leiden BOA Congress Against Apartheid, James Phillips, the European delegate for SACTU agreed to speak at the congress on transnational unionism and the squeezing of the South African labourer. SACTU's commitment to the Kliptown Freedom Charter</w:t>
      </w:r>
      <w:r w:rsidRPr="002650CB">
        <w:rPr>
          <w:rStyle w:val="FootnoteReference"/>
          <w:rFonts w:ascii="Garamond" w:hAnsi="Garamond"/>
          <w:sz w:val="24"/>
          <w:szCs w:val="24"/>
        </w:rPr>
        <w:footnoteReference w:id="286"/>
      </w:r>
      <w:r w:rsidR="006B620C">
        <w:rPr>
          <w:rFonts w:ascii="Garamond" w:hAnsi="Garamond"/>
          <w:sz w:val="24"/>
          <w:szCs w:val="24"/>
        </w:rPr>
        <w:t xml:space="preserve"> and their </w:t>
      </w:r>
      <w:r w:rsidRPr="002650CB">
        <w:rPr>
          <w:rFonts w:ascii="Garamond" w:hAnsi="Garamond"/>
          <w:sz w:val="24"/>
          <w:szCs w:val="24"/>
        </w:rPr>
        <w:t>non-racial and non-violent approach appealed to the BOA: "I liked their motto 'injur</w:t>
      </w:r>
      <w:r w:rsidR="006B620C">
        <w:rPr>
          <w:rFonts w:ascii="Garamond" w:hAnsi="Garamond"/>
          <w:sz w:val="24"/>
          <w:szCs w:val="24"/>
        </w:rPr>
        <w:t>y to one is an injury to all" (Interview du Plessis, 2012):</w:t>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Why did you choose to construct solidarities with the ANC and SACTU?</w:t>
      </w:r>
    </w:p>
    <w:p w:rsidR="00A371B8" w:rsidRPr="00161D36"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xml:space="preserve">: We supported them right from the beginning. SACTU was </w:t>
      </w:r>
      <w:r w:rsidR="00A6449D" w:rsidRPr="002650CB">
        <w:rPr>
          <w:rFonts w:ascii="Garamond" w:hAnsi="Garamond"/>
        </w:rPr>
        <w:t>self-evident</w:t>
      </w:r>
      <w:r w:rsidRPr="002650CB">
        <w:rPr>
          <w:rFonts w:ascii="Garamond" w:hAnsi="Garamond"/>
        </w:rPr>
        <w:t xml:space="preserve"> because solidarity with the labour movement was always the strong point of the BOA. SACTU gave us backing all through our campaigns, and every year we had some people from SACTU speaking at our meetings. But we didn't support the elements of ANC that used European Communist slogans, and we didn't agree with that; it had an adverse effect on </w:t>
      </w:r>
      <w:r w:rsidRPr="002650CB">
        <w:rPr>
          <w:rFonts w:ascii="Garamond" w:hAnsi="Garamond"/>
        </w:rPr>
        <w:lastRenderedPageBreak/>
        <w:t>public who we wanted to reach in Western Europe. And we believed that when liberated, South Africans should not have Communism or Maoism pressed upon them, but attain self-determination as set out in the Congress Alliance Freedom Charter. And it's very sad to see that not happening now. Our solidarity was with the working people in South Africa, and therefore SACTU.</w:t>
      </w:r>
      <w:r>
        <w:rPr>
          <w:rFonts w:ascii="Garamond" w:hAnsi="Garamond"/>
        </w:rPr>
        <w:t xml:space="preserve"> (Interview du Plessis 2011)</w:t>
      </w: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I contest that the solidarities constructed between SACTU and the BOA brought new internationalist possibilities for labour activism, anti-apartheid and antiracism that were forged in specific sites. I show how SACTU provided solidarity with the BOA in their own fight against racism and nationalisms within Holland.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jc w:val="both"/>
        <w:rPr>
          <w:rFonts w:ascii="Garamond" w:hAnsi="Garamond"/>
        </w:rPr>
      </w:pPr>
      <w:r w:rsidRPr="002650CB">
        <w:rPr>
          <w:rFonts w:ascii="Garamond" w:hAnsi="Garamond"/>
          <w:sz w:val="24"/>
          <w:szCs w:val="24"/>
        </w:rPr>
        <w:t xml:space="preserve">The Outspan boycott was inspired and endorsed by SACTU. During the 1970s SACTU came to monopolize all forms of non-white trade unionism in South Africa (Southall, 1995). From their inception in 1955, SACTU aligned themselves with the ANC to pursue a strategy of "political trade unionism, harnessing workers' demands from improved wages and working conditions to the cause of South African nationalism" (Kelk Mager </w:t>
      </w:r>
      <w:r w:rsidR="00F152DB">
        <w:rPr>
          <w:rFonts w:ascii="Garamond" w:hAnsi="Garamond"/>
          <w:sz w:val="24"/>
          <w:szCs w:val="24"/>
        </w:rPr>
        <w:t>and</w:t>
      </w:r>
      <w:r w:rsidRPr="002650CB">
        <w:rPr>
          <w:rFonts w:ascii="Garamond" w:hAnsi="Garamond"/>
          <w:sz w:val="24"/>
          <w:szCs w:val="24"/>
        </w:rPr>
        <w:t xml:space="preserve"> Malaudzi, 2011: 378). As the leading coalition for black labour resistance in South Africa responsible for mobilizing hundreds of thousands of workers across the mining, agricultural and services industries (Luckhardt </w:t>
      </w:r>
      <w:r w:rsidR="00F152DB">
        <w:rPr>
          <w:rFonts w:ascii="Garamond" w:hAnsi="Garamond"/>
          <w:sz w:val="24"/>
          <w:szCs w:val="24"/>
        </w:rPr>
        <w:t>and</w:t>
      </w:r>
      <w:r w:rsidRPr="002650CB">
        <w:rPr>
          <w:rFonts w:ascii="Garamond" w:hAnsi="Garamond"/>
          <w:sz w:val="24"/>
          <w:szCs w:val="24"/>
        </w:rPr>
        <w:t xml:space="preserve"> Wall, 1980), SACTU demanded and sanctioned international boycotts to supplement its internal organization of boycotts, pickets, strikes and demonstrations across South Africa.</w:t>
      </w:r>
      <w:r w:rsidRPr="002650CB">
        <w:rPr>
          <w:rStyle w:val="FootnoteReference"/>
          <w:rFonts w:ascii="Garamond" w:hAnsi="Garamond"/>
          <w:sz w:val="24"/>
          <w:szCs w:val="24"/>
        </w:rPr>
        <w:footnoteReference w:id="287"/>
      </w:r>
      <w:r w:rsidRPr="002650CB">
        <w:rPr>
          <w:rFonts w:ascii="Garamond" w:hAnsi="Garamond"/>
          <w:sz w:val="24"/>
          <w:szCs w:val="24"/>
        </w:rPr>
        <w:t xml:space="preserve">  From the late 1950s onwards SACTU forged international labour solidarities with national and international trade unions across Europe. When the organization was banned and forced underground in 1965 by the apartheid government, these solidarities became an increasingly significant means for synchronising internal and external anti-apartheid actions.</w:t>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
      <w:tblGrid>
        <w:gridCol w:w="5406"/>
        <w:gridCol w:w="3116"/>
      </w:tblGrid>
      <w:tr w:rsidR="00A371B8">
        <w:tc>
          <w:tcPr>
            <w:tcW w:w="4621" w:type="dxa"/>
          </w:tcPr>
          <w:p w:rsidR="00A371B8" w:rsidRDefault="00A371B8" w:rsidP="00D04F1F">
            <w:pPr>
              <w:autoSpaceDE w:val="0"/>
              <w:autoSpaceDN w:val="0"/>
              <w:adjustRightInd w:val="0"/>
              <w:spacing w:after="0" w:line="360" w:lineRule="auto"/>
              <w:jc w:val="both"/>
              <w:rPr>
                <w:rFonts w:ascii="Garamond" w:hAnsi="Garamond"/>
                <w:sz w:val="24"/>
                <w:szCs w:val="24"/>
              </w:rPr>
            </w:pPr>
            <w:r w:rsidRPr="002650CB">
              <w:rPr>
                <w:rFonts w:ascii="Garamond" w:hAnsi="Garamond"/>
                <w:noProof/>
                <w:sz w:val="24"/>
                <w:szCs w:val="24"/>
                <w:lang w:eastAsia="en-GB"/>
              </w:rPr>
              <w:lastRenderedPageBreak/>
              <w:drawing>
                <wp:inline distT="0" distB="0" distL="0" distR="0">
                  <wp:extent cx="3200046" cy="2390775"/>
                  <wp:effectExtent l="57150" t="38100" r="38454" b="28575"/>
                  <wp:docPr id="97" name="Picture 13" descr="C:\Users\hugh crosfield\Desktop\BOA photos\iphone days October 2009-January 2012 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gh crosfield\Desktop\BOA photos\iphone days October 2009-January 2012 365.JPG"/>
                          <pic:cNvPicPr>
                            <a:picLocks noChangeAspect="1" noChangeArrowheads="1"/>
                          </pic:cNvPicPr>
                        </pic:nvPicPr>
                        <pic:blipFill>
                          <a:blip r:embed="rId149" cstate="print"/>
                          <a:srcRect/>
                          <a:stretch>
                            <a:fillRect/>
                          </a:stretch>
                        </pic:blipFill>
                        <pic:spPr bwMode="auto">
                          <a:xfrm>
                            <a:off x="0" y="0"/>
                            <a:ext cx="3201751" cy="2392049"/>
                          </a:xfrm>
                          <a:prstGeom prst="rect">
                            <a:avLst/>
                          </a:prstGeom>
                          <a:noFill/>
                          <a:ln w="31750">
                            <a:solidFill>
                              <a:schemeClr val="tx1"/>
                            </a:solidFill>
                            <a:miter lim="800000"/>
                            <a:headEnd/>
                            <a:tailEnd/>
                          </a:ln>
                        </pic:spPr>
                      </pic:pic>
                    </a:graphicData>
                  </a:graphic>
                </wp:inline>
              </w:drawing>
            </w:r>
          </w:p>
        </w:tc>
        <w:tc>
          <w:tcPr>
            <w:tcW w:w="4621" w:type="dxa"/>
          </w:tcPr>
          <w:p w:rsidR="006B620C" w:rsidRPr="006B620C" w:rsidRDefault="006B620C" w:rsidP="006B620C">
            <w:pPr>
              <w:pStyle w:val="Caption"/>
              <w:rPr>
                <w:rFonts w:ascii="Perpetua" w:hAnsi="Perpetua"/>
                <w:b w:val="0"/>
                <w:color w:val="auto"/>
                <w:sz w:val="20"/>
                <w:szCs w:val="24"/>
              </w:rPr>
            </w:pPr>
            <w:bookmarkStart w:id="894" w:name="_Toc244577362"/>
            <w:bookmarkStart w:id="895" w:name="_Toc263495831"/>
            <w:bookmarkStart w:id="896" w:name="_Toc263509097"/>
            <w:bookmarkStart w:id="897" w:name="_Toc263510884"/>
            <w:r w:rsidRPr="006B620C">
              <w:rPr>
                <w:rFonts w:ascii="Perpetua" w:hAnsi="Perpetua"/>
                <w:color w:val="auto"/>
                <w:sz w:val="20"/>
              </w:rPr>
              <w:t xml:space="preserve">Figure </w:t>
            </w:r>
            <w:r w:rsidR="00DF2DF8" w:rsidRPr="006B620C">
              <w:rPr>
                <w:rFonts w:ascii="Perpetua" w:hAnsi="Perpetua"/>
                <w:color w:val="auto"/>
                <w:sz w:val="20"/>
              </w:rPr>
              <w:fldChar w:fldCharType="begin"/>
            </w:r>
            <w:r w:rsidRPr="006B620C">
              <w:rPr>
                <w:rFonts w:ascii="Perpetua" w:hAnsi="Perpetua"/>
                <w:color w:val="auto"/>
                <w:sz w:val="20"/>
              </w:rPr>
              <w:instrText xml:space="preserve"> SEQ Figure \* ARABIC </w:instrText>
            </w:r>
            <w:r w:rsidR="00DF2DF8" w:rsidRPr="006B620C">
              <w:rPr>
                <w:rFonts w:ascii="Perpetua" w:hAnsi="Perpetua"/>
                <w:color w:val="auto"/>
                <w:sz w:val="20"/>
              </w:rPr>
              <w:fldChar w:fldCharType="separate"/>
            </w:r>
            <w:r w:rsidR="002B3E92">
              <w:rPr>
                <w:rFonts w:ascii="Perpetua" w:hAnsi="Perpetua"/>
                <w:noProof/>
                <w:color w:val="auto"/>
                <w:sz w:val="20"/>
              </w:rPr>
              <w:t>100</w:t>
            </w:r>
            <w:r w:rsidR="00DF2DF8" w:rsidRPr="006B620C">
              <w:rPr>
                <w:rFonts w:ascii="Perpetua" w:hAnsi="Perpetua"/>
                <w:color w:val="auto"/>
                <w:sz w:val="20"/>
              </w:rPr>
              <w:fldChar w:fldCharType="end"/>
            </w:r>
            <w:r w:rsidRPr="006B620C">
              <w:rPr>
                <w:rFonts w:ascii="Perpetua" w:hAnsi="Perpetua"/>
                <w:color w:val="auto"/>
                <w:sz w:val="20"/>
              </w:rPr>
              <w:t>:</w:t>
            </w:r>
            <w:r w:rsidRPr="006B620C">
              <w:rPr>
                <w:rFonts w:ascii="Perpetua" w:hAnsi="Perpetua"/>
                <w:b w:val="0"/>
                <w:color w:val="auto"/>
                <w:sz w:val="20"/>
              </w:rPr>
              <w:t xml:space="preserve"> </w:t>
            </w:r>
            <w:r w:rsidRPr="006B620C">
              <w:rPr>
                <w:rFonts w:ascii="Perpetua" w:hAnsi="Perpetua"/>
                <w:b w:val="0"/>
                <w:color w:val="auto"/>
                <w:sz w:val="20"/>
                <w:szCs w:val="20"/>
              </w:rPr>
              <w:t>The exiled president of SACTU, Stephen Dhlamini (left) and du Plessis  in conversation during the BOA International Trade Unions Conference Leiden , ‘Workers of the World United Against Apartheid’. 9-7 October 1977.</w:t>
            </w:r>
            <w:bookmarkEnd w:id="894"/>
            <w:bookmarkEnd w:id="895"/>
            <w:bookmarkEnd w:id="896"/>
            <w:bookmarkEnd w:id="897"/>
          </w:p>
          <w:p w:rsidR="00A371B8" w:rsidRDefault="00A371B8" w:rsidP="006B620C">
            <w:pPr>
              <w:autoSpaceDE w:val="0"/>
              <w:autoSpaceDN w:val="0"/>
              <w:adjustRightInd w:val="0"/>
              <w:spacing w:after="0" w:line="360" w:lineRule="auto"/>
              <w:jc w:val="both"/>
              <w:rPr>
                <w:rFonts w:ascii="Garamond" w:hAnsi="Garamond"/>
                <w:sz w:val="24"/>
                <w:szCs w:val="24"/>
              </w:rPr>
            </w:pPr>
          </w:p>
        </w:tc>
      </w:tr>
    </w:tbl>
    <w:p w:rsidR="00A371B8" w:rsidRPr="006B620C" w:rsidRDefault="00A371B8" w:rsidP="00A371B8">
      <w:pPr>
        <w:autoSpaceDE w:val="0"/>
        <w:autoSpaceDN w:val="0"/>
        <w:adjustRightInd w:val="0"/>
        <w:spacing w:after="0" w:line="360" w:lineRule="auto"/>
        <w:jc w:val="both"/>
        <w:rPr>
          <w:rFonts w:ascii="Garamond" w:hAnsi="Garamond"/>
          <w:b/>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Producing solidarities based on generative possibilities and relational activities, rather than from a type of solidarity formed from a politics of humanitarian empathy, was a cornerstone of BOA's anti-apartheid activities. Solidarity for the BOA meant, first and foremost, solidarity with the South African labourers. Exiled SACTU members (James Phillips, Aaron Pemba, Stephen Dhlamini, John Gaetsewe) spoke at events during the anti-emigration campaign, the bus tours and the urban campaigns. The premise for the Outpsan boycott was solidarity for the South African labourers, and particularly for the seasonal workers on citrus farms who were paid a living wage twelve times less than white farmers (Ainslie, 1970; </w:t>
      </w:r>
      <w:r w:rsidRPr="002650CB">
        <w:rPr>
          <w:rFonts w:ascii="Garamond" w:eastAsia="Times New Roman" w:hAnsi="Garamond"/>
          <w:i/>
          <w:sz w:val="24"/>
          <w:szCs w:val="24"/>
          <w:lang w:eastAsia="en-GB"/>
        </w:rPr>
        <w:t>Bouwsten Voor Apartheid</w:t>
      </w:r>
      <w:r w:rsidRPr="002650CB">
        <w:rPr>
          <w:rFonts w:ascii="Garamond" w:eastAsia="Times New Roman" w:hAnsi="Garamond"/>
          <w:sz w:val="24"/>
          <w:szCs w:val="24"/>
          <w:lang w:eastAsia="en-GB"/>
        </w:rPr>
        <w:t>, 1972)</w:t>
      </w:r>
      <w:r w:rsidRPr="002650CB">
        <w:rPr>
          <w:rFonts w:ascii="Garamond" w:hAnsi="Garamond"/>
          <w:sz w:val="24"/>
          <w:szCs w:val="24"/>
        </w:rPr>
        <w:t>. The citrus boycott in Holland was aligned with the tradition of utilizing the boycott as a form of non-violent resistance within South Africa over the previous decade:</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An economic boycott is one of those weapons which may still be silently used by all without fear of victimization. Not all the police nor all the military are significantly powerful to compel one penny on a comm</w:t>
      </w:r>
      <w:r w:rsidR="006B620C">
        <w:rPr>
          <w:rFonts w:ascii="Garamond" w:hAnsi="Garamond"/>
        </w:rPr>
        <w:t>odity he does not want.</w:t>
      </w:r>
      <w:r w:rsidRPr="002650CB">
        <w:rPr>
          <w:rFonts w:ascii="Garamond" w:hAnsi="Garamond"/>
        </w:rPr>
        <w:t xml:space="preserve"> (Mbeki, 1958)</w:t>
      </w:r>
      <w:r w:rsidRPr="002650CB">
        <w:rPr>
          <w:rStyle w:val="FootnoteReference"/>
          <w:rFonts w:ascii="Garamond" w:hAnsi="Garamond"/>
        </w:rPr>
        <w:footnoteReference w:id="288"/>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European fear of contributing to the embodied and structural violence of South African labourers through the symbolic and economic effects of boycotts was strongly rebuked by the ANC from Albert Luthuli's speech in 1960. In the 8th SACTU international conference in 1963, SACTU followed this with their own defence of the international boycott mechanism:</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spacing w:after="0" w:line="360" w:lineRule="auto"/>
        <w:ind w:left="284" w:right="284"/>
        <w:jc w:val="both"/>
        <w:rPr>
          <w:rFonts w:ascii="Garamond" w:hAnsi="Garamond"/>
        </w:rPr>
      </w:pPr>
      <w:r w:rsidRPr="002650CB">
        <w:rPr>
          <w:rFonts w:ascii="Garamond" w:hAnsi="Garamond"/>
        </w:rPr>
        <w:lastRenderedPageBreak/>
        <w:t>It is sometimes argued even by well meaning people abroad, that if the world boycotts South Africa, we the working people, will suffer most. Even if this were true- and we don't believe it - let us assure our well-wishers abroad that we do not shrink from any hardship in the cause for our freedom. As it is, we are starving and our children are dying of hunger. The working people of our country do not eat imported food or wear foreign made clothes; nor do we benefit from the export of South African mealies, wool, wine and gold. To our friends and well-wishers abroad we say that trafficking in the fruits of Apartheid can never be in the interest of the wor</w:t>
      </w:r>
      <w:r>
        <w:rPr>
          <w:rFonts w:ascii="Garamond" w:hAnsi="Garamond"/>
        </w:rPr>
        <w:t>kers who suffer under Apartheid.</w:t>
      </w:r>
      <w:r w:rsidRPr="002650CB">
        <w:rPr>
          <w:rFonts w:ascii="Garamond" w:hAnsi="Garamond"/>
        </w:rPr>
        <w:t xml:space="preserve"> (1963: 11)</w:t>
      </w:r>
      <w:r w:rsidRPr="002650CB">
        <w:rPr>
          <w:rStyle w:val="FootnoteReference"/>
          <w:rFonts w:ascii="Garamond" w:hAnsi="Garamond"/>
        </w:rPr>
        <w:footnoteReference w:id="289"/>
      </w:r>
      <w:r w:rsidRPr="002650CB">
        <w:rPr>
          <w:rFonts w:ascii="Garamond" w:hAnsi="Garamond"/>
        </w:rPr>
        <w:t xml:space="preserve"> </w:t>
      </w:r>
    </w:p>
    <w:p w:rsidR="00A371B8" w:rsidRPr="002650CB" w:rsidRDefault="00A371B8" w:rsidP="00A371B8">
      <w:pPr>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In October 1977 the BOA organized their second anti-apartheid congress</w:t>
      </w:r>
      <w:r>
        <w:rPr>
          <w:rFonts w:ascii="Garamond" w:hAnsi="Garamond"/>
          <w:sz w:val="24"/>
          <w:szCs w:val="24"/>
        </w:rPr>
        <w:t xml:space="preserve"> in Holland: 'Workers of the World…</w:t>
      </w:r>
      <w:r w:rsidRPr="002650CB">
        <w:rPr>
          <w:rFonts w:ascii="Garamond" w:hAnsi="Garamond"/>
          <w:sz w:val="24"/>
          <w:szCs w:val="24"/>
        </w:rPr>
        <w:t xml:space="preserve">United Against Apartheid'. </w:t>
      </w:r>
      <w:r>
        <w:rPr>
          <w:rFonts w:ascii="Garamond" w:hAnsi="Garamond"/>
          <w:sz w:val="24"/>
          <w:szCs w:val="24"/>
        </w:rPr>
        <w:t xml:space="preserve"> </w:t>
      </w:r>
      <w:r w:rsidRPr="002650CB">
        <w:rPr>
          <w:rFonts w:ascii="Garamond" w:hAnsi="Garamond"/>
          <w:sz w:val="24"/>
          <w:szCs w:val="24"/>
        </w:rPr>
        <w:t>The congress brought together trade unions from Holland (the FNV, Federation of Dutch Trade Unions), the ICFTU, Belgium, Italy and France with ANC and SACTU representatives.</w:t>
      </w:r>
      <w:r w:rsidRPr="002650CB">
        <w:rPr>
          <w:rStyle w:val="FootnoteReference"/>
          <w:rFonts w:ascii="Garamond" w:hAnsi="Garamond"/>
          <w:sz w:val="24"/>
          <w:szCs w:val="24"/>
        </w:rPr>
        <w:footnoteReference w:id="290"/>
      </w:r>
      <w:r w:rsidRPr="002650CB">
        <w:rPr>
          <w:rFonts w:ascii="Garamond" w:hAnsi="Garamond"/>
          <w:sz w:val="24"/>
          <w:szCs w:val="24"/>
        </w:rPr>
        <w:t xml:space="preserve"> In the programme handed to delegates the BOA outlined their commitment to forging labour solidarities: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With this conference the BOA hopes to make a practical contribution towards strengthening worker solidarity. The aim is to bring Dutch workers more closely into contact with their black brothers and sisters in South Africa. A conference of this nature will become an annual event in Europe, being held in a differe</w:t>
      </w:r>
      <w:r>
        <w:rPr>
          <w:rFonts w:ascii="Garamond" w:hAnsi="Garamond"/>
        </w:rPr>
        <w:t>nt country each year.</w:t>
      </w:r>
      <w:r w:rsidRPr="002650CB">
        <w:rPr>
          <w:rFonts w:ascii="Garamond" w:hAnsi="Garamond"/>
        </w:rPr>
        <w:t xml:space="preserve"> (</w:t>
      </w:r>
      <w:r w:rsidRPr="002650CB">
        <w:rPr>
          <w:rFonts w:ascii="Garamond" w:hAnsi="Garamond"/>
          <w:i/>
        </w:rPr>
        <w:t xml:space="preserve">Workers of The World United, </w:t>
      </w:r>
      <w:r w:rsidRPr="002650CB">
        <w:rPr>
          <w:rFonts w:ascii="Garamond" w:hAnsi="Garamond"/>
        </w:rPr>
        <w:t>1977</w:t>
      </w:r>
      <w:r>
        <w:rPr>
          <w:rFonts w:ascii="Garamond" w:hAnsi="Garamond"/>
        </w:rPr>
        <w:t>:2)</w:t>
      </w:r>
      <w:r w:rsidRPr="002650CB">
        <w:rPr>
          <w:rFonts w:ascii="Garamond" w:hAnsi="Garamond"/>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The BOA situated international solidarity in relation to labour activism in British and Dutch factories during 1977:</w:t>
      </w:r>
    </w:p>
    <w:p w:rsidR="00A371B8" w:rsidRPr="002650CB" w:rsidRDefault="00A371B8" w:rsidP="00A371B8">
      <w:pPr>
        <w:autoSpaceDE w:val="0"/>
        <w:autoSpaceDN w:val="0"/>
        <w:adjustRightInd w:val="0"/>
        <w:spacing w:after="0" w:line="360" w:lineRule="auto"/>
        <w:ind w:left="284" w:right="284"/>
        <w:jc w:val="both"/>
        <w:rPr>
          <w:rFonts w:ascii="Garamond" w:hAnsi="Garamond"/>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 xml:space="preserve">It is especially on the shop floor level that international solidarity has taken on the most concrete forms. Thus the workers at British Leyland took action in support of the African Metal and Allied </w:t>
      </w:r>
      <w:r>
        <w:rPr>
          <w:rFonts w:ascii="Garamond" w:hAnsi="Garamond"/>
        </w:rPr>
        <w:t>Workers' union in South Africa…</w:t>
      </w:r>
      <w:r w:rsidRPr="002650CB">
        <w:rPr>
          <w:rFonts w:ascii="Garamond" w:hAnsi="Garamond"/>
        </w:rPr>
        <w:t>similar action was taken by workers at Pilkingtons in Britain when black workers went on strike at Pilkingtons South Africa last year. In The Netherlands workers at Hoogovens Estel Steelworks took action to prevent investment in South Africa</w:t>
      </w:r>
      <w:r>
        <w:rPr>
          <w:rFonts w:ascii="Garamond" w:hAnsi="Garamond"/>
        </w:rPr>
        <w:t xml:space="preserve"> by the management of this firm. (Ibid.: 2)</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The </w:t>
      </w:r>
      <w:r w:rsidR="00A6449D">
        <w:rPr>
          <w:rFonts w:ascii="Garamond" w:hAnsi="Garamond"/>
          <w:sz w:val="24"/>
          <w:szCs w:val="24"/>
        </w:rPr>
        <w:t>inaugural evening on October 7</w:t>
      </w:r>
      <w:r w:rsidR="00A6449D">
        <w:rPr>
          <w:rFonts w:ascii="Garamond" w:hAnsi="Garamond"/>
          <w:sz w:val="24"/>
          <w:szCs w:val="24"/>
          <w:vertAlign w:val="superscript"/>
        </w:rPr>
        <w:t xml:space="preserve">th </w:t>
      </w:r>
      <w:r w:rsidRPr="002650CB">
        <w:rPr>
          <w:rFonts w:ascii="Garamond" w:hAnsi="Garamond"/>
          <w:sz w:val="24"/>
          <w:szCs w:val="24"/>
        </w:rPr>
        <w:t xml:space="preserve">witnessed addresses by the International Confederation of </w:t>
      </w:r>
      <w:r w:rsidR="00A6449D">
        <w:rPr>
          <w:rFonts w:ascii="Garamond" w:hAnsi="Garamond"/>
          <w:sz w:val="24"/>
          <w:szCs w:val="24"/>
        </w:rPr>
        <w:t xml:space="preserve">Free </w:t>
      </w:r>
      <w:r w:rsidRPr="002650CB">
        <w:rPr>
          <w:rFonts w:ascii="Garamond" w:hAnsi="Garamond"/>
          <w:sz w:val="24"/>
          <w:szCs w:val="24"/>
        </w:rPr>
        <w:t xml:space="preserve">Trade Unions (ICFTU), the Dutch Trade Union Council  (FNV) and the ANC. For evening entertainment the BOA invited anti-apartheid, anti-colonial and antiracist musicians and agitprop groups from across Europe to perform. In this way </w:t>
      </w:r>
      <w:r w:rsidRPr="002650CB">
        <w:rPr>
          <w:rFonts w:ascii="Garamond" w:hAnsi="Garamond"/>
          <w:sz w:val="24"/>
          <w:szCs w:val="24"/>
        </w:rPr>
        <w:lastRenderedPageBreak/>
        <w:t>the Leiden congress encouraged new alliances between cultural and labour orientated forms of anti-apartheid and antiracism. The following morning SACTU</w:t>
      </w:r>
      <w:r>
        <w:rPr>
          <w:rFonts w:ascii="Garamond" w:hAnsi="Garamond"/>
          <w:sz w:val="24"/>
          <w:szCs w:val="24"/>
        </w:rPr>
        <w:t xml:space="preserve"> began proceedings with an hour-</w:t>
      </w:r>
      <w:r w:rsidRPr="002650CB">
        <w:rPr>
          <w:rFonts w:ascii="Garamond" w:hAnsi="Garamond"/>
          <w:sz w:val="24"/>
          <w:szCs w:val="24"/>
        </w:rPr>
        <w:t>long address. The general secretary of SACTU, John Gaetsewe gave a version of a speech he had given at a conference of the British trade union movement the previous year:</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More and more clearly we can see that the true basis of solidarity with the struggle of the black workers lies in the international working class...This is not just a question of sympathy; not just a matter of identifying on emotional grounds with the struggle of the oppressed. It is a matter also of the common interests of the workers of</w:t>
      </w:r>
      <w:r>
        <w:rPr>
          <w:rFonts w:ascii="Garamond" w:hAnsi="Garamond"/>
        </w:rPr>
        <w:t xml:space="preserve"> every country in the world.</w:t>
      </w:r>
      <w:r w:rsidRPr="002650CB">
        <w:rPr>
          <w:rFonts w:ascii="Garamond" w:hAnsi="Garamond"/>
        </w:rPr>
        <w:t xml:space="preserve"> (Gaetsewe, 1977)</w:t>
      </w:r>
      <w:r w:rsidRPr="002650CB">
        <w:rPr>
          <w:rStyle w:val="FootnoteReference"/>
          <w:rFonts w:ascii="Garamond" w:hAnsi="Garamond"/>
        </w:rPr>
        <w:footnoteReference w:id="291"/>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Anti-apartheid solidarities, Gaetsewe asserts, are better forged through the common struggles of labour internationalism, rather than through sympathy for a victim of egregious circumstance. As a device for achieving social relations between black South Africa and the outside world, Gaetsewe clearly valued worker solidarity over humanitarian sympathy. David Featherstone demonstrates that peace activists in Cold War Europe valued a similar approach to solidarities: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color w:val="111111"/>
          <w:shd w:val="clear" w:color="auto" w:fill="FFFFFF"/>
        </w:rPr>
      </w:pPr>
      <w:r w:rsidRPr="002650CB">
        <w:rPr>
          <w:rFonts w:ascii="Garamond" w:hAnsi="Garamond"/>
          <w:color w:val="111111"/>
          <w:shd w:val="clear" w:color="auto" w:fill="FFFFFF"/>
        </w:rPr>
        <w:t>Solidarity must not be motivated solely by humanitarian considerations. Of course su</w:t>
      </w:r>
      <w:r w:rsidR="006B620C">
        <w:rPr>
          <w:rFonts w:ascii="Garamond" w:hAnsi="Garamond"/>
          <w:color w:val="111111"/>
          <w:shd w:val="clear" w:color="auto" w:fill="FFFFFF"/>
        </w:rPr>
        <w:t xml:space="preserve">ch solidarity is important and </w:t>
      </w:r>
      <w:r w:rsidRPr="002650CB">
        <w:rPr>
          <w:rFonts w:ascii="Garamond" w:hAnsi="Garamond"/>
          <w:color w:val="111111"/>
          <w:shd w:val="clear" w:color="auto" w:fill="FFFFFF"/>
        </w:rPr>
        <w:t>merits profound tribute. But it is not enough...We are now confronted with the all-important task of formulating a common, universal, and all-embracing strategy for the democratic transformation of Eur</w:t>
      </w:r>
      <w:r>
        <w:rPr>
          <w:rFonts w:ascii="Garamond" w:hAnsi="Garamond"/>
          <w:color w:val="111111"/>
          <w:shd w:val="clear" w:color="auto" w:fill="FFFFFF"/>
        </w:rPr>
        <w:t>ope.</w:t>
      </w:r>
      <w:r w:rsidRPr="002650CB">
        <w:rPr>
          <w:rFonts w:ascii="Garamond" w:hAnsi="Garamond"/>
          <w:color w:val="111111"/>
          <w:shd w:val="clear" w:color="auto" w:fill="FFFFFF"/>
        </w:rPr>
        <w:t xml:space="preserve"> (</w:t>
      </w:r>
      <w:r w:rsidRPr="002650CB">
        <w:rPr>
          <w:rFonts w:ascii="Garamond" w:hAnsi="Garamond"/>
          <w:bCs/>
          <w:color w:val="000000"/>
          <w:shd w:val="clear" w:color="auto" w:fill="FFFFFF"/>
        </w:rPr>
        <w:t>Šabata</w:t>
      </w:r>
      <w:r w:rsidRPr="002650CB">
        <w:rPr>
          <w:rFonts w:ascii="Garamond" w:hAnsi="Garamond"/>
          <w:color w:val="111111"/>
          <w:shd w:val="clear" w:color="auto" w:fill="FFFFFF"/>
        </w:rPr>
        <w:t>, 1983:7</w:t>
      </w:r>
      <w:r>
        <w:rPr>
          <w:rFonts w:ascii="Garamond" w:hAnsi="Garamond"/>
          <w:color w:val="111111"/>
          <w:shd w:val="clear" w:color="auto" w:fill="FFFFFF"/>
        </w:rPr>
        <w:t>0 in Featherstone 2012: 29-30)</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Borrowing from Karl Marx's observations during his time in Manchester, Featherstone writes that the working class solidarities constructed between cotton workers in Lancashire and the anti-slavery movement in the 1860s were "constructed by pressure without" (2012: 4). The dispossessed cotton workers acted selflessly in refusing to break the cotton blockade. The labour based actions that took place following the international BOA congress also displayed an attendant selflessness to solidarity.  Trade unions in Norway persuaded their government to boycott South African commodities. In Holland, Belgium and West Germany stevedores refused to handle South African goods despite </w:t>
      </w:r>
      <w:r w:rsidRPr="002650CB">
        <w:rPr>
          <w:rFonts w:ascii="Garamond" w:hAnsi="Garamond"/>
          <w:sz w:val="24"/>
          <w:szCs w:val="24"/>
        </w:rPr>
        <w:lastRenderedPageBreak/>
        <w:t xml:space="preserve">the threat of dismissal. Italian unionists boycotted South African aircraft, and in France postal workers blacked out South African mail (Luckhardt </w:t>
      </w:r>
      <w:r w:rsidR="00F152DB">
        <w:rPr>
          <w:rFonts w:ascii="Garamond" w:hAnsi="Garamond"/>
          <w:sz w:val="24"/>
          <w:szCs w:val="24"/>
        </w:rPr>
        <w:t>and</w:t>
      </w:r>
      <w:r w:rsidRPr="002650CB">
        <w:rPr>
          <w:rFonts w:ascii="Garamond" w:hAnsi="Garamond"/>
          <w:sz w:val="24"/>
          <w:szCs w:val="24"/>
        </w:rPr>
        <w:t xml:space="preserve"> Wall, 1980).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For the BOA, constructing solidarity meant the individual or organizational ceding of control over an internal part to South African resistance and labour organization. In short, this involved 'staying in line' with SACTU. This concession was made on the basis of trust, and often concerned the ceding of knowledge, and the recognition that others were better placed to make key decisions: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When you realized you could never return to South Africa, and you had to work purely from the outside - did that ever become frustrating?</w:t>
      </w: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Yes and no. I was so involved with the BOA, and I considered it was such a mountain of work that needed to be done outside, considering the collaboration and the support they gave to apartheid by investment, trade and migration, and the military support. And I didn't worry too much because I thought there were enough people in South Africa to do that work as long as we stayed in line.</w:t>
      </w:r>
      <w:r>
        <w:rPr>
          <w:rFonts w:ascii="Garamond" w:hAnsi="Garamond"/>
        </w:rPr>
        <w:t xml:space="preserve"> (Interview du Plessis 2011)</w:t>
      </w: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In similarity to the advantages afforded to the figure of the Atlantic Creole in the formation of eighteenth century anti-slavery solidarities (see Berlan, 1998), the embodied condition of transnationality and exile shared by du Plessis and SACTU delegates predicated an advantageous position in solidarity-making processes. But ascribing solidarity to shared experience of exile is risky</w:t>
      </w:r>
      <w:r w:rsidR="00A6449D">
        <w:rPr>
          <w:rFonts w:ascii="Garamond" w:hAnsi="Garamond"/>
          <w:sz w:val="24"/>
          <w:szCs w:val="24"/>
        </w:rPr>
        <w:t>. For Theo Veerman, the BOA secret</w:t>
      </w:r>
      <w:r w:rsidRPr="002650CB">
        <w:rPr>
          <w:rFonts w:ascii="Garamond" w:hAnsi="Garamond"/>
          <w:sz w:val="24"/>
          <w:szCs w:val="24"/>
        </w:rPr>
        <w:t>ary, element</w:t>
      </w:r>
      <w:r w:rsidR="00A6449D">
        <w:rPr>
          <w:rFonts w:ascii="Garamond" w:hAnsi="Garamond"/>
          <w:sz w:val="24"/>
          <w:szCs w:val="24"/>
        </w:rPr>
        <w:t>s of</w:t>
      </w:r>
      <w:r w:rsidRPr="002650CB">
        <w:rPr>
          <w:rFonts w:ascii="Garamond" w:hAnsi="Garamond"/>
          <w:sz w:val="24"/>
          <w:szCs w:val="24"/>
        </w:rPr>
        <w:t xml:space="preserve"> the South African exile community was soured by distrust and anxieties over infiltration:</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sidRPr="002650CB">
        <w:rPr>
          <w:rFonts w:ascii="Garamond" w:hAnsi="Garamond"/>
        </w:rPr>
        <w:t xml:space="preserve">I think some of the community of white and black exiles, there was this atmosphere that was understandable, they were all looking at each other, are you real or not? </w:t>
      </w:r>
      <w:r>
        <w:rPr>
          <w:rFonts w:ascii="Garamond" w:hAnsi="Garamond"/>
        </w:rPr>
        <w:t>Because there were infiltrators. (I</w:t>
      </w:r>
      <w:r w:rsidR="006B620C">
        <w:rPr>
          <w:rFonts w:ascii="Garamond" w:hAnsi="Garamond"/>
        </w:rPr>
        <w:t xml:space="preserve">nterview </w:t>
      </w:r>
      <w:r>
        <w:rPr>
          <w:rFonts w:ascii="Garamond" w:hAnsi="Garamond"/>
        </w:rPr>
        <w:t>Veerman 2011)</w:t>
      </w: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Trust, and ceding knowledge was paramount. The acceptance of dispersed and situated knowledge is perhaps easier when you are not operating from totally outside, and you already have a little knowledge, a little experience of the uneven geographies across and through which solidarities must work. This ceding of knowledge is also central to the BOA's approach to antiracism: during the antiracism Dordrecht lecture du Plessis advised  'never become a past-master at anything'.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lastRenderedPageBreak/>
        <w:t xml:space="preserve">The BOA's 1972-73 blood-citrus trope caused controversy in Holland from its appearance at the launch of the Outspan boycott, and one angle of critique is to highlight the ambiguous racial affects of white on black anthropophagic suggestion. But the blood trope was not solely a European addition to anti-apartheid activism; a decade earlier, a similar visceral language of complicity was used during the SACTU endorsed potato boycott in South Africa. A blood-potato topos was mobilized in 1959 to accompany a wider internal boycott of 'nationalist' commodities including Senator Coffee, Braganza Tea, Neptune and Glenryck Canned Fish, Laaiplek Seeds, Rothman's Cigarettes and Eastern Cape oranges (Luckhardt </w:t>
      </w:r>
      <w:r w:rsidR="00F152DB">
        <w:rPr>
          <w:rFonts w:ascii="Garamond" w:hAnsi="Garamond"/>
          <w:sz w:val="24"/>
          <w:szCs w:val="24"/>
        </w:rPr>
        <w:t>and</w:t>
      </w:r>
      <w:r w:rsidRPr="002650CB">
        <w:rPr>
          <w:rFonts w:ascii="Garamond" w:hAnsi="Garamond"/>
          <w:sz w:val="24"/>
          <w:szCs w:val="24"/>
        </w:rPr>
        <w:t xml:space="preserve"> Wall, 1980). SACTU delegates informed black labourers and consumers that, "if you ate a potato, you are eating the blood of a fellow worker who has been killed or buried in those farms" (ibid: 344).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6B620C"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SACTU imparted boycotting advice to the BOA on activating the Outspan boycott, and they also supported the BOA against allegations of 'indecency' and racism over the BOA squeezing image. James Phillips, the European delegate for SACTU, spoke at the 1973 BOA Leiden Congress on resistance to the worsening conditions of black labour on farms and mines. The image of a mutilated black boy's head atop of a squeezer had been banned by the Reclame Code Commissie in Holland for its 'indecency' and candour. Upon standing to speak at the International Congress, with the banned image adorning the wall behind him, Phillips immediately launched into a trenchant moral defence of the BOA's use of the blood-citrus topos:</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6B620C" w:rsidRPr="002650CB" w:rsidRDefault="006B620C" w:rsidP="006B620C">
      <w:pPr>
        <w:spacing w:line="360" w:lineRule="auto"/>
        <w:ind w:left="284" w:right="284"/>
        <w:jc w:val="both"/>
        <w:rPr>
          <w:rFonts w:ascii="Garamond" w:hAnsi="Garamond"/>
        </w:rPr>
      </w:pPr>
      <w:r w:rsidRPr="002650CB">
        <w:rPr>
          <w:rFonts w:ascii="Garamond" w:hAnsi="Garamond"/>
        </w:rPr>
        <w:t>First of all a note regarding the poster of the Boycott Outspan Action. I have heard many reactions to the poster. Some said that it is a bit too cruel, others that it was exactly the way it should be. When I look at this image of the hand on the head of what appears to be a child or a man, I think that this hand is not doing what it should be doing. He should squeeze a bit harder, because that is in fact what I think is happening in South Africa. The circumstances are going from bad to worse in the system. The situations are becoming increasingly difficult for our people. And I believe that the hand itself should show how tense the muscles are as they squ</w:t>
      </w:r>
      <w:r>
        <w:rPr>
          <w:rFonts w:ascii="Garamond" w:hAnsi="Garamond"/>
        </w:rPr>
        <w:t>eeze the life out of our people.</w:t>
      </w:r>
      <w:r w:rsidRPr="002650CB">
        <w:rPr>
          <w:rFonts w:ascii="Garamond" w:hAnsi="Garamond"/>
        </w:rPr>
        <w:t xml:space="preserve"> (</w:t>
      </w:r>
      <w:r w:rsidRPr="002650CB">
        <w:rPr>
          <w:rFonts w:ascii="Garamond" w:hAnsi="Garamond"/>
          <w:i/>
        </w:rPr>
        <w:t>Translated from Dutch.</w:t>
      </w:r>
      <w:r w:rsidRPr="002650CB">
        <w:rPr>
          <w:rFonts w:ascii="Garamond" w:hAnsi="Garamond"/>
        </w:rPr>
        <w:t xml:space="preserve"> BO</w:t>
      </w:r>
      <w:r>
        <w:rPr>
          <w:rFonts w:ascii="Garamond" w:hAnsi="Garamond"/>
        </w:rPr>
        <w:t>A Dokumentatiemap I</w:t>
      </w:r>
      <w:r w:rsidR="00A6449D">
        <w:rPr>
          <w:rFonts w:ascii="Garamond" w:hAnsi="Garamond"/>
        </w:rPr>
        <w:t>I, 1973</w:t>
      </w:r>
      <w:r>
        <w:rPr>
          <w:rFonts w:ascii="Garamond" w:hAnsi="Garamond"/>
        </w:rPr>
        <w:t>: 15)</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jc w:val="center"/>
        <w:rPr>
          <w:rFonts w:ascii="Garamond" w:hAnsi="Garamond"/>
          <w:sz w:val="24"/>
          <w:szCs w:val="24"/>
        </w:rPr>
      </w:pPr>
      <w:r w:rsidRPr="002650CB">
        <w:rPr>
          <w:rFonts w:ascii="Garamond" w:hAnsi="Garamond"/>
          <w:noProof/>
          <w:sz w:val="24"/>
          <w:szCs w:val="24"/>
          <w:lang w:eastAsia="en-GB"/>
        </w:rPr>
        <w:lastRenderedPageBreak/>
        <w:drawing>
          <wp:inline distT="0" distB="0" distL="0" distR="0">
            <wp:extent cx="4990272" cy="3544984"/>
            <wp:effectExtent l="19050" t="0" r="828" b="0"/>
            <wp:docPr id="98" name="Picture 1" descr="C:\Users\hugh crosfield\Downloads\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ownloads\photo (2).JPG"/>
                    <pic:cNvPicPr>
                      <a:picLocks noChangeAspect="1" noChangeArrowheads="1"/>
                    </pic:cNvPicPr>
                  </pic:nvPicPr>
                  <pic:blipFill>
                    <a:blip r:embed="rId150" cstate="print"/>
                    <a:srcRect/>
                    <a:stretch>
                      <a:fillRect/>
                    </a:stretch>
                  </pic:blipFill>
                  <pic:spPr bwMode="auto">
                    <a:xfrm>
                      <a:off x="0" y="0"/>
                      <a:ext cx="4990855" cy="3545398"/>
                    </a:xfrm>
                    <a:prstGeom prst="rect">
                      <a:avLst/>
                    </a:prstGeom>
                    <a:noFill/>
                    <a:ln w="9525">
                      <a:noFill/>
                      <a:miter lim="800000"/>
                      <a:headEnd/>
                      <a:tailEnd/>
                    </a:ln>
                  </pic:spPr>
                </pic:pic>
              </a:graphicData>
            </a:graphic>
          </wp:inline>
        </w:drawing>
      </w:r>
    </w:p>
    <w:p w:rsidR="009E10F2" w:rsidRDefault="006B620C" w:rsidP="009E10F2">
      <w:pPr>
        <w:pStyle w:val="Caption"/>
        <w:ind w:left="284"/>
        <w:rPr>
          <w:rFonts w:ascii="Perpetua" w:hAnsi="Perpetua"/>
          <w:color w:val="auto"/>
          <w:sz w:val="20"/>
          <w:szCs w:val="20"/>
        </w:rPr>
      </w:pPr>
      <w:bookmarkStart w:id="898" w:name="_Toc263509098"/>
      <w:bookmarkStart w:id="899" w:name="_Toc263510885"/>
      <w:bookmarkStart w:id="900" w:name="_Toc244577363"/>
      <w:bookmarkStart w:id="901" w:name="_Toc263495832"/>
      <w:r w:rsidRPr="009E10F2">
        <w:rPr>
          <w:rFonts w:ascii="Perpetua" w:hAnsi="Perpetua"/>
          <w:b w:val="0"/>
          <w:color w:val="auto"/>
          <w:sz w:val="20"/>
        </w:rPr>
        <w:t xml:space="preserve">Figure </w:t>
      </w:r>
      <w:r w:rsidR="00DF2DF8" w:rsidRPr="009E10F2">
        <w:rPr>
          <w:rFonts w:ascii="Perpetua" w:hAnsi="Perpetua"/>
          <w:b w:val="0"/>
          <w:color w:val="auto"/>
          <w:sz w:val="20"/>
        </w:rPr>
        <w:fldChar w:fldCharType="begin"/>
      </w:r>
      <w:r w:rsidRPr="009E10F2">
        <w:rPr>
          <w:rFonts w:ascii="Perpetua" w:hAnsi="Perpetua"/>
          <w:b w:val="0"/>
          <w:color w:val="auto"/>
          <w:sz w:val="20"/>
        </w:rPr>
        <w:instrText xml:space="preserve"> SEQ Figure \* ARABIC </w:instrText>
      </w:r>
      <w:r w:rsidR="00DF2DF8" w:rsidRPr="009E10F2">
        <w:rPr>
          <w:rFonts w:ascii="Perpetua" w:hAnsi="Perpetua"/>
          <w:b w:val="0"/>
          <w:color w:val="auto"/>
          <w:sz w:val="20"/>
        </w:rPr>
        <w:fldChar w:fldCharType="separate"/>
      </w:r>
      <w:r w:rsidR="002B3E92">
        <w:rPr>
          <w:rFonts w:ascii="Perpetua" w:hAnsi="Perpetua"/>
          <w:b w:val="0"/>
          <w:noProof/>
          <w:color w:val="auto"/>
          <w:sz w:val="20"/>
        </w:rPr>
        <w:t>101</w:t>
      </w:r>
      <w:r w:rsidR="00DF2DF8" w:rsidRPr="009E10F2">
        <w:rPr>
          <w:rFonts w:ascii="Perpetua" w:hAnsi="Perpetua"/>
          <w:b w:val="0"/>
          <w:color w:val="auto"/>
          <w:sz w:val="20"/>
        </w:rPr>
        <w:fldChar w:fldCharType="end"/>
      </w:r>
      <w:r w:rsidR="00DD5ACC" w:rsidRPr="009E10F2">
        <w:rPr>
          <w:rFonts w:ascii="Perpetua" w:hAnsi="Perpetua"/>
          <w:b w:val="0"/>
          <w:color w:val="auto"/>
          <w:sz w:val="20"/>
          <w:szCs w:val="20"/>
        </w:rPr>
        <w:t xml:space="preserve">: </w:t>
      </w:r>
      <w:r w:rsidR="009E10F2" w:rsidRPr="009E10F2">
        <w:rPr>
          <w:rFonts w:ascii="Perpetua" w:hAnsi="Perpetua"/>
          <w:b w:val="0"/>
          <w:color w:val="auto"/>
          <w:sz w:val="20"/>
          <w:szCs w:val="20"/>
        </w:rPr>
        <w:t xml:space="preserve">Photograph of </w:t>
      </w:r>
      <w:r w:rsidR="009E10F2" w:rsidRPr="00DD5ACC">
        <w:rPr>
          <w:rFonts w:ascii="Perpetua" w:hAnsi="Perpetua"/>
          <w:b w:val="0"/>
          <w:color w:val="auto"/>
          <w:sz w:val="20"/>
          <w:szCs w:val="20"/>
        </w:rPr>
        <w:t>SACTU delegate James Phillips speaking</w:t>
      </w:r>
      <w:r w:rsidR="009E10F2">
        <w:rPr>
          <w:rFonts w:ascii="Perpetua" w:hAnsi="Perpetua"/>
          <w:b w:val="0"/>
          <w:color w:val="auto"/>
          <w:sz w:val="20"/>
          <w:szCs w:val="20"/>
        </w:rPr>
        <w:t xml:space="preserve"> at BOA Congress in Leiden, 1972</w:t>
      </w:r>
      <w:r w:rsidR="009E10F2" w:rsidRPr="00DD5ACC">
        <w:rPr>
          <w:rFonts w:ascii="Perpetua" w:hAnsi="Perpetua"/>
          <w:b w:val="0"/>
          <w:color w:val="auto"/>
          <w:sz w:val="20"/>
          <w:szCs w:val="20"/>
        </w:rPr>
        <w:t>.</w:t>
      </w:r>
      <w:bookmarkEnd w:id="898"/>
      <w:bookmarkEnd w:id="899"/>
    </w:p>
    <w:p w:rsidR="00A371B8" w:rsidRPr="009E10F2" w:rsidRDefault="00A371B8" w:rsidP="009E10F2">
      <w:pPr>
        <w:ind w:left="284"/>
        <w:rPr>
          <w:rFonts w:ascii="Perpetua" w:hAnsi="Perpetua"/>
          <w:sz w:val="20"/>
        </w:rPr>
      </w:pPr>
      <w:r w:rsidRPr="009E10F2">
        <w:rPr>
          <w:rFonts w:ascii="Perpetua" w:hAnsi="Perpetua"/>
          <w:sz w:val="20"/>
        </w:rPr>
        <w:t>'He should squeeze a bit harder'</w:t>
      </w:r>
      <w:r w:rsidR="009E10F2" w:rsidRPr="009E10F2">
        <w:rPr>
          <w:rFonts w:ascii="Perpetua" w:hAnsi="Perpetua"/>
          <w:sz w:val="20"/>
        </w:rPr>
        <w:t xml:space="preserve">, sourced from </w:t>
      </w:r>
      <w:r w:rsidRPr="009E10F2">
        <w:rPr>
          <w:rFonts w:ascii="Perpetua" w:hAnsi="Perpetua"/>
          <w:sz w:val="20"/>
        </w:rPr>
        <w:t>BOA Dokumentatiemap</w:t>
      </w:r>
      <w:r w:rsidR="00A6449D" w:rsidRPr="009E10F2">
        <w:rPr>
          <w:rFonts w:ascii="Perpetua" w:hAnsi="Perpetua"/>
          <w:sz w:val="20"/>
        </w:rPr>
        <w:t xml:space="preserve"> II</w:t>
      </w:r>
      <w:r w:rsidRPr="009E10F2">
        <w:rPr>
          <w:rFonts w:ascii="Perpetua" w:hAnsi="Perpetua"/>
          <w:sz w:val="20"/>
        </w:rPr>
        <w:t>: 15</w:t>
      </w:r>
      <w:bookmarkEnd w:id="900"/>
      <w:bookmarkEnd w:id="901"/>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DD5ACC">
      <w:pPr>
        <w:spacing w:after="0" w:line="360" w:lineRule="auto"/>
        <w:jc w:val="both"/>
        <w:rPr>
          <w:rFonts w:ascii="Garamond" w:hAnsi="Garamond"/>
          <w:sz w:val="24"/>
          <w:szCs w:val="24"/>
        </w:rPr>
      </w:pPr>
      <w:r w:rsidRPr="002650CB">
        <w:rPr>
          <w:rFonts w:ascii="Garamond" w:hAnsi="Garamond"/>
          <w:sz w:val="24"/>
          <w:szCs w:val="24"/>
        </w:rPr>
        <w:t>Phillips provided a crucial vote of confidence for the BOA's anthropophagic trope during the period when the image was banned from publication in Holland by the national advertising board. As both a credible witness of apartheid process, and a representative of non-white labour, Phillips' words gave the BOA's citrus bodywork legitimacy and grounding in the spatial segregation and oppressions of apartheid. In short, the BOA's commitment to grassroots campaigns and solidarity with the apartheid labourer was made tangible through the public support of SACTU. Over the space of twenty years the BOA provided regular funding to SACTU; the bus and urban campaigns were "opportunities to make concrete support for the South African labourer by raising funds for SACTU"</w:t>
      </w:r>
      <w:r>
        <w:rPr>
          <w:rFonts w:ascii="Garamond" w:hAnsi="Garamond"/>
          <w:sz w:val="24"/>
          <w:szCs w:val="24"/>
        </w:rPr>
        <w:t xml:space="preserve"> (Interview du Plessis</w:t>
      </w:r>
      <w:r w:rsidRPr="002650CB">
        <w:rPr>
          <w:rFonts w:ascii="Garamond" w:hAnsi="Garamond"/>
          <w:sz w:val="24"/>
          <w:szCs w:val="24"/>
        </w:rPr>
        <w:t xml:space="preserve"> 2011). </w:t>
      </w:r>
    </w:p>
    <w:p w:rsidR="00A371B8" w:rsidRPr="002650CB" w:rsidRDefault="00A371B8" w:rsidP="00A371B8">
      <w:pPr>
        <w:spacing w:after="0" w:line="360" w:lineRule="auto"/>
        <w:jc w:val="both"/>
        <w:rPr>
          <w:rFonts w:ascii="Garamond" w:hAnsi="Garamond"/>
          <w:sz w:val="24"/>
          <w:szCs w:val="24"/>
        </w:rPr>
      </w:pPr>
    </w:p>
    <w:p w:rsidR="00DD5ACC"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The BOA and SACTU engaged in a relationship that produced significant benefits for both sides. This was more than solidarity as anti-apartheid social capital (or solidarity-in-name), it was a relationship predicated on trust and a collective will. These bonds were enabled by the BOA's reflexive attention to racialization, and by the shared collective identity of du Plessis and other BOA associates with SACTU delegates as South African exiles (which meant that black labourers and SACTU delegates alike were unlikely to be 'othered' in relation to the BOA). SACTU provided producer legitimacy, advice, and </w:t>
      </w:r>
      <w:r w:rsidRPr="002650CB">
        <w:rPr>
          <w:rFonts w:ascii="Garamond" w:hAnsi="Garamond"/>
          <w:sz w:val="24"/>
          <w:szCs w:val="24"/>
        </w:rPr>
        <w:lastRenderedPageBreak/>
        <w:t xml:space="preserve">solidarity during the BOA's substantial consumer campaigns against Outspan and white migration, and later during their contest against European forms of racism. They also offered support in the BOA's proximate battle against pro-apartheid propaganda, and national forms of oppression. The relationship also enabled the BOA to exert influence in transnational anti-apartheid, and create new convergence spaces between consumer-based, cultural and labour-based forms of anti-apartheid and antiracism. During the 1970s the BOA placed the black labourer at the centre of their campaigns, and were willing to cede power and knowledge to SACTU. Over 22 years, the BOA provided financial support to SACTU and refused to embark on a campaign without prior endorsement from the trade union organization.    </w:t>
      </w:r>
    </w:p>
    <w:p w:rsidR="00A371B8" w:rsidRPr="002650CB" w:rsidRDefault="00A371B8" w:rsidP="00A371B8">
      <w:pPr>
        <w:spacing w:after="0" w:line="360" w:lineRule="auto"/>
        <w:jc w:val="both"/>
        <w:rPr>
          <w:rFonts w:ascii="Garamond" w:hAnsi="Garamond"/>
          <w:sz w:val="24"/>
          <w:szCs w:val="24"/>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In </w:t>
      </w:r>
      <w:r w:rsidRPr="002650CB">
        <w:rPr>
          <w:rFonts w:ascii="Garamond" w:hAnsi="Garamond"/>
          <w:i/>
          <w:sz w:val="24"/>
          <w:szCs w:val="24"/>
        </w:rPr>
        <w:t>Race and the Politics of Solidarity</w:t>
      </w:r>
      <w:r w:rsidRPr="002650CB">
        <w:rPr>
          <w:rFonts w:ascii="Garamond" w:hAnsi="Garamond"/>
          <w:sz w:val="24"/>
          <w:szCs w:val="24"/>
        </w:rPr>
        <w:t xml:space="preserve"> (2009), Juliet Hooker borrows from Charles Mills' descriptions in </w:t>
      </w:r>
      <w:r w:rsidRPr="002650CB">
        <w:rPr>
          <w:rFonts w:ascii="Garamond" w:hAnsi="Garamond"/>
          <w:i/>
          <w:sz w:val="24"/>
          <w:szCs w:val="24"/>
        </w:rPr>
        <w:t>Blackness Visible</w:t>
      </w:r>
      <w:r w:rsidRPr="002650CB">
        <w:rPr>
          <w:rFonts w:ascii="Garamond" w:hAnsi="Garamond"/>
          <w:sz w:val="24"/>
          <w:szCs w:val="24"/>
        </w:rPr>
        <w:t xml:space="preserve"> of how "empathetic feelings travel weakly, if at all, across the colour-line" (1997: 157), to arrive at the ontological problem of racialized solidarity:</w:t>
      </w:r>
    </w:p>
    <w:p w:rsidR="00A371B8" w:rsidRPr="002650CB" w:rsidRDefault="00A371B8" w:rsidP="00A371B8">
      <w:pPr>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eastAsia="MinionPro-Regular" w:hAnsi="Garamond"/>
        </w:rPr>
      </w:pPr>
      <w:r w:rsidRPr="002650CB">
        <w:rPr>
          <w:rFonts w:ascii="Garamond" w:eastAsia="MinionPro-Regular" w:hAnsi="Garamond"/>
        </w:rPr>
        <w:t>Solidarity requires that we care about the pain and suffering of others. But embodied racial difference renders the pain and suffering of nonwhites either invisible or, when visible, less deserving of empathy and redress. Genuine political solidarity would thus require that we find ways to “see” beyond embodied racial difference. For whites in particular, it would require that they learn to see themselves “seeing whitely,” that they recognize how race blinds them to the pain and suffering of nonwhites</w:t>
      </w:r>
      <w:r>
        <w:rPr>
          <w:rFonts w:ascii="Garamond" w:eastAsia="MinionPro-Regular" w:hAnsi="Garamond"/>
        </w:rPr>
        <w:t>. (2009: 6)</w:t>
      </w:r>
    </w:p>
    <w:p w:rsidR="00A371B8" w:rsidRPr="002650CB" w:rsidRDefault="00A371B8" w:rsidP="00A371B8">
      <w:pPr>
        <w:autoSpaceDE w:val="0"/>
        <w:autoSpaceDN w:val="0"/>
        <w:adjustRightInd w:val="0"/>
        <w:spacing w:after="0" w:line="360" w:lineRule="auto"/>
        <w:ind w:left="284" w:right="284"/>
        <w:jc w:val="both"/>
        <w:rPr>
          <w:rFonts w:ascii="Garamond" w:eastAsia="MinionPro-Regular" w:hAnsi="Garamond"/>
        </w:rPr>
      </w:pPr>
    </w:p>
    <w:p w:rsidR="00A371B8" w:rsidRPr="002650CB" w:rsidRDefault="00A371B8" w:rsidP="00A371B8">
      <w:pPr>
        <w:autoSpaceDE w:val="0"/>
        <w:autoSpaceDN w:val="0"/>
        <w:adjustRightInd w:val="0"/>
        <w:spacing w:after="0" w:line="360" w:lineRule="auto"/>
        <w:jc w:val="both"/>
        <w:rPr>
          <w:rFonts w:ascii="Garamond" w:eastAsia="MinionPro-Regular" w:hAnsi="Garamond"/>
          <w:sz w:val="24"/>
          <w:szCs w:val="24"/>
        </w:rPr>
      </w:pPr>
      <w:r w:rsidRPr="002650CB">
        <w:rPr>
          <w:rFonts w:ascii="Garamond" w:eastAsia="MinionPro-Regular" w:hAnsi="Garamond"/>
          <w:sz w:val="24"/>
          <w:szCs w:val="24"/>
        </w:rPr>
        <w:t>Among the startling achievements of both the Outspan and the white migration boycotts was the BOA's highlighting of transnational circuits of production and consumption in ways that showed white Europeans that they were bound to the suffering of black South African labour. In this way the BOA attempted to encourage Europeans to, in Hooker's words -'see themselves whitely'. But the relationship between the BOA and SACTU and other international trade unions used transnational working class solidarities as a means for 'seeing beyond racial difference'.  Common ground was located in mutual class struggle. Stuart Hall's claim that race is the "modality through which class is lived, experienced and fought" (Hall, 1980: 342), could be adapted to say that in this instance, class became the modality through which apartheid racisms were contested.</w:t>
      </w:r>
    </w:p>
    <w:p w:rsidR="00DD5ACC" w:rsidRDefault="00DD5ACC" w:rsidP="00A371B8">
      <w:pPr>
        <w:autoSpaceDE w:val="0"/>
        <w:autoSpaceDN w:val="0"/>
        <w:adjustRightInd w:val="0"/>
        <w:spacing w:after="0" w:line="360" w:lineRule="auto"/>
        <w:jc w:val="both"/>
        <w:rPr>
          <w:rFonts w:ascii="Garamond" w:eastAsia="MinionPro-Regular" w:hAnsi="Garamond"/>
          <w:i/>
        </w:rPr>
      </w:pPr>
    </w:p>
    <w:p w:rsidR="00DD5ACC" w:rsidRDefault="00DD5ACC" w:rsidP="00A371B8">
      <w:pPr>
        <w:autoSpaceDE w:val="0"/>
        <w:autoSpaceDN w:val="0"/>
        <w:adjustRightInd w:val="0"/>
        <w:spacing w:after="0" w:line="360" w:lineRule="auto"/>
        <w:jc w:val="both"/>
        <w:rPr>
          <w:rFonts w:ascii="Garamond" w:eastAsia="MinionPro-Regular" w:hAnsi="Garamond"/>
          <w:i/>
        </w:rPr>
      </w:pPr>
    </w:p>
    <w:p w:rsidR="00DD5ACC" w:rsidRDefault="00DD5ACC" w:rsidP="00A371B8">
      <w:pPr>
        <w:autoSpaceDE w:val="0"/>
        <w:autoSpaceDN w:val="0"/>
        <w:adjustRightInd w:val="0"/>
        <w:spacing w:after="0" w:line="360" w:lineRule="auto"/>
        <w:jc w:val="both"/>
        <w:rPr>
          <w:rFonts w:ascii="Garamond" w:eastAsia="MinionPro-Regular" w:hAnsi="Garamond"/>
          <w:i/>
        </w:rPr>
      </w:pPr>
    </w:p>
    <w:p w:rsidR="00A371B8" w:rsidRPr="002650CB" w:rsidRDefault="00A371B8" w:rsidP="00A371B8">
      <w:pPr>
        <w:autoSpaceDE w:val="0"/>
        <w:autoSpaceDN w:val="0"/>
        <w:adjustRightInd w:val="0"/>
        <w:spacing w:after="0" w:line="360" w:lineRule="auto"/>
        <w:jc w:val="both"/>
        <w:rPr>
          <w:rFonts w:ascii="Garamond" w:eastAsia="MinionPro-Regular" w:hAnsi="Garamond"/>
          <w:i/>
        </w:rPr>
      </w:pPr>
    </w:p>
    <w:p w:rsidR="00A371B8" w:rsidRPr="00733273" w:rsidRDefault="00A371B8" w:rsidP="00A371B8">
      <w:pPr>
        <w:autoSpaceDE w:val="0"/>
        <w:autoSpaceDN w:val="0"/>
        <w:adjustRightInd w:val="0"/>
        <w:spacing w:after="0" w:line="360" w:lineRule="auto"/>
        <w:jc w:val="both"/>
        <w:rPr>
          <w:rFonts w:ascii="Garamond" w:hAnsi="Garamond"/>
          <w:b/>
          <w:i/>
          <w:szCs w:val="24"/>
          <w:shd w:val="clear" w:color="auto" w:fill="FFFFFF"/>
        </w:rPr>
      </w:pPr>
      <w:r w:rsidRPr="00733273">
        <w:rPr>
          <w:rFonts w:ascii="Garamond" w:hAnsi="Garamond"/>
          <w:b/>
          <w:i/>
          <w:szCs w:val="24"/>
          <w:shd w:val="clear" w:color="auto" w:fill="FFFFFF"/>
        </w:rPr>
        <w:lastRenderedPageBreak/>
        <w:t xml:space="preserve">Uniting local and transnational solidarities through cultural performance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During the Leiden labour congress of October 1977, the BOA hosted several anti-apartheid musicians and brought together cultural, consumer-based and labour-based elements of anti-apartheid. It is my firm belief</w:t>
      </w:r>
      <w:r w:rsidR="000B6D76">
        <w:rPr>
          <w:rFonts w:ascii="Garamond" w:hAnsi="Garamond"/>
          <w:sz w:val="24"/>
          <w:szCs w:val="24"/>
          <w:shd w:val="clear" w:color="auto" w:fill="FFFFFF"/>
        </w:rPr>
        <w:t xml:space="preserve"> that from the creation of the </w:t>
      </w:r>
      <w:r w:rsidRPr="002650CB">
        <w:rPr>
          <w:rFonts w:ascii="Garamond" w:hAnsi="Garamond"/>
          <w:sz w:val="24"/>
          <w:szCs w:val="24"/>
          <w:shd w:val="clear" w:color="auto" w:fill="FFFFFF"/>
        </w:rPr>
        <w:t>Inspan</w:t>
      </w:r>
      <w:r w:rsidR="000B6D76">
        <w:rPr>
          <w:rFonts w:ascii="Garamond" w:hAnsi="Garamond"/>
          <w:sz w:val="24"/>
          <w:szCs w:val="24"/>
          <w:shd w:val="clear" w:color="auto" w:fill="FFFFFF"/>
        </w:rPr>
        <w:t xml:space="preserve"> Girls</w:t>
      </w:r>
      <w:r w:rsidRPr="002650CB">
        <w:rPr>
          <w:rFonts w:ascii="Garamond" w:hAnsi="Garamond"/>
          <w:sz w:val="24"/>
          <w:szCs w:val="24"/>
          <w:shd w:val="clear" w:color="auto" w:fill="FFFFFF"/>
        </w:rPr>
        <w:t xml:space="preserve"> in 1972 onwards, the BOA were at the forefront of what </w:t>
      </w:r>
      <w:r w:rsidRPr="002650CB">
        <w:rPr>
          <w:rFonts w:ascii="Garamond" w:hAnsi="Garamond"/>
          <w:sz w:val="24"/>
          <w:szCs w:val="24"/>
        </w:rPr>
        <w:t xml:space="preserve">Håkan Thörn </w:t>
      </w:r>
      <w:r w:rsidRPr="002650CB">
        <w:rPr>
          <w:rFonts w:ascii="Garamond" w:hAnsi="Garamond"/>
          <w:sz w:val="24"/>
          <w:szCs w:val="24"/>
          <w:shd w:val="clear" w:color="auto" w:fill="FFFFFF"/>
        </w:rPr>
        <w:t xml:space="preserve">(2006) identifies as the 'cultural turn' of the global anti-apartheid movement. The previous chapter on white migration provides a detailed analysis of, how in 1975, the organization orchestrated a complex performance outside the South African embassy involving journalists, police and lawyers so as to create publicity and media channels for anti-emigration. The organization were both a node in a transnational network of anti-apartheid cultural performance, and a producer of anti-apartheid and antiracist identities. The 'cultural turn', in </w:t>
      </w:r>
      <w:r w:rsidRPr="002650CB">
        <w:rPr>
          <w:rFonts w:ascii="Garamond" w:hAnsi="Garamond"/>
          <w:sz w:val="24"/>
          <w:szCs w:val="24"/>
        </w:rPr>
        <w:t>Thörn's view,</w:t>
      </w:r>
      <w:r w:rsidRPr="002650CB">
        <w:rPr>
          <w:rFonts w:ascii="Garamond" w:hAnsi="Garamond"/>
          <w:sz w:val="24"/>
          <w:szCs w:val="24"/>
          <w:shd w:val="clear" w:color="auto" w:fill="FFFFFF"/>
        </w:rPr>
        <w:t xml:space="preserve"> placed emphasis on mutual cultural struggle and the harnessing of the arts and performance in the creation of alternative geographical imaginaries to apartheid. The BOA's refusal to separate racism in Holland from apartheid racism spoke of this mutual struggle, and the events of 1975-6, the bus tours (1977-78) and the urban campaigns (1979-91) were increasingly comprehensive attempts to combine multiple artistic, cultural and political interests to create and organize 'new' cultures of anti-apartheid.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Recruiting anti-apartheid musicians, poets and artists became a constant in the BOA's local and transnational actions from 1975 onwards. Throughout the 1970s the BOA developed ties with a host of exiled performers and artists from across Europe. Alongside exiled South African musicians from Sweden and Holland and Dutch-Surninamese musicians, the London-based Mayibuye Cultural Ensemble (MCE) were a starring attraction of the BOA's bus tour of 1977, the BOA's international labour conference of 1978, and the first urban campaign in Leiden, 1979. Their songs and artwork were integral to the creation of a convivial anti-apartheid culture during the bus tours. </w:t>
      </w:r>
      <w:r w:rsidRPr="002650CB">
        <w:rPr>
          <w:rFonts w:ascii="Garamond" w:hAnsi="Garamond"/>
          <w:sz w:val="24"/>
          <w:szCs w:val="24"/>
        </w:rPr>
        <w:t>Thörn</w:t>
      </w:r>
      <w:r w:rsidRPr="002650CB">
        <w:rPr>
          <w:rFonts w:ascii="Garamond" w:hAnsi="Garamond"/>
          <w:sz w:val="24"/>
          <w:szCs w:val="24"/>
          <w:shd w:val="clear" w:color="auto" w:fill="FFFFFF"/>
        </w:rPr>
        <w:t xml:space="preserve"> quotes from the co-founder o</w:t>
      </w:r>
      <w:r w:rsidR="00A6449D">
        <w:rPr>
          <w:rFonts w:ascii="Garamond" w:hAnsi="Garamond"/>
          <w:sz w:val="24"/>
          <w:szCs w:val="24"/>
          <w:shd w:val="clear" w:color="auto" w:fill="FFFFFF"/>
        </w:rPr>
        <w:t>f the Mayibuye Collective, Barry</w:t>
      </w:r>
      <w:r w:rsidRPr="002650CB">
        <w:rPr>
          <w:rFonts w:ascii="Garamond" w:hAnsi="Garamond"/>
          <w:sz w:val="24"/>
          <w:szCs w:val="24"/>
          <w:shd w:val="clear" w:color="auto" w:fill="FFFFFF"/>
        </w:rPr>
        <w:t xml:space="preserve"> Feinberg:</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 xml:space="preserve">It started in 1975, a few of us got together and talked about the need for our culture, the culture of the struggle as well as the culture of the South African people, to be projected abroad. … And we also felt that everybody has a contribution to make, cultural workers above all, because they actually often grabbed the limelight and grabbed public attention. We set up with a small manifesto along these lines...and we then set up what was called the Mayibuye group. We started collecting freedom songs, many of them were being generated </w:t>
      </w:r>
      <w:r w:rsidRPr="002650CB">
        <w:rPr>
          <w:rFonts w:ascii="Garamond" w:hAnsi="Garamond"/>
        </w:rPr>
        <w:lastRenderedPageBreak/>
        <w:t>in MK</w:t>
      </w:r>
      <w:r w:rsidRPr="002650CB">
        <w:rPr>
          <w:rStyle w:val="FootnoteReference"/>
          <w:rFonts w:ascii="Garamond" w:hAnsi="Garamond"/>
        </w:rPr>
        <w:footnoteReference w:id="292"/>
      </w:r>
      <w:r w:rsidRPr="002650CB">
        <w:rPr>
          <w:rFonts w:ascii="Garamond" w:hAnsi="Garamond"/>
        </w:rPr>
        <w:t xml:space="preserve"> camps, and more and more people were coming to London who were well versed in singing them, so gradually we put together a singing group, and collected poetry. We tried to put theatrical elements to it, but most of the audiences that ca</w:t>
      </w:r>
      <w:r>
        <w:rPr>
          <w:rFonts w:ascii="Garamond" w:hAnsi="Garamond"/>
        </w:rPr>
        <w:t>me were most moved by the songs.</w:t>
      </w:r>
      <w:r w:rsidRPr="002650CB">
        <w:rPr>
          <w:rFonts w:ascii="Garamond" w:hAnsi="Garamond"/>
        </w:rPr>
        <w:t xml:space="preserve"> (Feinberg, 2001 in </w:t>
      </w:r>
      <w:r w:rsidRPr="002650CB">
        <w:rPr>
          <w:rFonts w:ascii="Garamond" w:hAnsi="Garamond"/>
          <w:sz w:val="24"/>
          <w:szCs w:val="24"/>
        </w:rPr>
        <w:t>Thörn, 2006: 119-120)</w:t>
      </w:r>
    </w:p>
    <w:p w:rsidR="00A371B8" w:rsidRPr="002650CB" w:rsidRDefault="00A371B8" w:rsidP="00A371B8">
      <w:pPr>
        <w:spacing w:after="0" w:line="360" w:lineRule="auto"/>
        <w:jc w:val="both"/>
        <w:rPr>
          <w:rFonts w:ascii="Garamond" w:hAnsi="Garamond"/>
          <w:sz w:val="24"/>
          <w:szCs w:val="24"/>
          <w:shd w:val="clear" w:color="auto" w:fill="FFFFFF"/>
        </w:rPr>
      </w:pPr>
    </w:p>
    <w:p w:rsidR="00A371B8" w:rsidRDefault="00A371B8" w:rsidP="00A371B8">
      <w:pPr>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The MCE were an agitprop group,</w:t>
      </w:r>
      <w:r w:rsidRPr="002650CB">
        <w:rPr>
          <w:rStyle w:val="FootnoteReference"/>
          <w:rFonts w:ascii="Garamond" w:hAnsi="Garamond"/>
          <w:sz w:val="24"/>
          <w:szCs w:val="24"/>
          <w:shd w:val="clear" w:color="auto" w:fill="FFFFFF"/>
        </w:rPr>
        <w:footnoteReference w:id="293"/>
      </w:r>
      <w:r w:rsidRPr="002650CB">
        <w:rPr>
          <w:rFonts w:ascii="Garamond" w:hAnsi="Garamond"/>
          <w:sz w:val="24"/>
          <w:szCs w:val="24"/>
          <w:shd w:val="clear" w:color="auto" w:fill="FFFFFF"/>
        </w:rPr>
        <w:t xml:space="preserve"> and one "of the most significant ANC projects in exile" (Gilbert, 2007: 421). Their freedom songs grew from a tradition of exile poetry reading and singing in London during the early 1970s, and were presented synchronously as a narrative constructed around newsworthy events in South Africa. The group used local personalities and translators to appeal to different audiences across Europe, and by 1978 the ensemble were widely accepted as the "cultural voice of the ANC" (ibid: 429 ). Alongside the AABN and the Dutch writer, Jan Wolkers, du Plessis and the BOA became key allies and publicists for the MCE in Holland: </w:t>
      </w:r>
    </w:p>
    <w:p w:rsidR="00A371B8" w:rsidRPr="002650CB" w:rsidRDefault="00A371B8" w:rsidP="00A371B8">
      <w:pPr>
        <w:spacing w:after="0" w:line="360" w:lineRule="auto"/>
        <w:jc w:val="both"/>
        <w:rPr>
          <w:rFonts w:ascii="Garamond" w:hAnsi="Garamond"/>
          <w:sz w:val="24"/>
          <w:szCs w:val="24"/>
          <w:shd w:val="clear" w:color="auto" w:fill="FFFFFF"/>
        </w:rPr>
      </w:pPr>
    </w:p>
    <w:p w:rsidR="00A371B8" w:rsidRDefault="00A371B8" w:rsidP="00A371B8">
      <w:pPr>
        <w:spacing w:after="0" w:line="360" w:lineRule="auto"/>
        <w:ind w:left="284" w:right="284"/>
        <w:jc w:val="both"/>
        <w:rPr>
          <w:rFonts w:ascii="Garamond" w:hAnsi="Garamond"/>
        </w:rPr>
      </w:pPr>
      <w:r w:rsidRPr="00417D5B">
        <w:rPr>
          <w:rFonts w:ascii="Garamond" w:hAnsi="Garamond"/>
        </w:rPr>
        <w:t>The Mayibuye group performed on several occasions during the bus tours in the summer and the labour conference in the autumn of 1978, and they arranged for a recording to be made of the Mayib</w:t>
      </w:r>
      <w:r w:rsidR="00A6449D">
        <w:rPr>
          <w:rFonts w:ascii="Garamond" w:hAnsi="Garamond"/>
        </w:rPr>
        <w:t>uye songs. Barry</w:t>
      </w:r>
      <w:r w:rsidRPr="00417D5B">
        <w:rPr>
          <w:rFonts w:ascii="Garamond" w:hAnsi="Garamond"/>
        </w:rPr>
        <w:t xml:space="preserve"> Feinburg and the whole group were very positive about us. They performed se</w:t>
      </w:r>
      <w:r w:rsidR="00A6449D">
        <w:rPr>
          <w:rFonts w:ascii="Garamond" w:hAnsi="Garamond"/>
        </w:rPr>
        <w:t>veral times in Leiden at the IWC</w:t>
      </w:r>
      <w:r w:rsidRPr="00417D5B">
        <w:rPr>
          <w:rFonts w:ascii="Garamond" w:hAnsi="Garamond"/>
        </w:rPr>
        <w:t xml:space="preserve"> conference, but they also went from pub to pub. It was quite a happy week, and collect</w:t>
      </w:r>
      <w:r w:rsidR="00DD5ACC">
        <w:rPr>
          <w:rFonts w:ascii="Garamond" w:hAnsi="Garamond"/>
        </w:rPr>
        <w:t xml:space="preserve">ions were made for SACTU too. (Interview du Plessis </w:t>
      </w:r>
      <w:r w:rsidRPr="00417D5B">
        <w:rPr>
          <w:rFonts w:ascii="Garamond" w:hAnsi="Garamond"/>
        </w:rPr>
        <w:t>2013)</w:t>
      </w:r>
    </w:p>
    <w:p w:rsidR="00A371B8" w:rsidRPr="00417D5B" w:rsidRDefault="00A371B8" w:rsidP="00A371B8">
      <w:pPr>
        <w:spacing w:after="0" w:line="360" w:lineRule="auto"/>
        <w:ind w:left="284" w:right="284"/>
        <w:jc w:val="both"/>
        <w:rPr>
          <w:rFonts w:ascii="Garamond" w:hAnsi="Garamond"/>
        </w:rPr>
      </w:pPr>
    </w:p>
    <w:p w:rsidR="00A371B8" w:rsidRPr="00417D5B" w:rsidRDefault="00A371B8" w:rsidP="007E10FB">
      <w:pPr>
        <w:spacing w:after="0" w:line="360" w:lineRule="auto"/>
        <w:jc w:val="both"/>
        <w:rPr>
          <w:rFonts w:ascii="Garamond" w:hAnsi="Garamond"/>
          <w:sz w:val="24"/>
          <w:szCs w:val="24"/>
        </w:rPr>
      </w:pPr>
      <w:r w:rsidRPr="002650CB">
        <w:rPr>
          <w:rFonts w:ascii="Garamond" w:hAnsi="Garamond"/>
          <w:sz w:val="24"/>
          <w:szCs w:val="24"/>
        </w:rPr>
        <w:t>At an eveni</w:t>
      </w:r>
      <w:r w:rsidR="00A6449D">
        <w:rPr>
          <w:rFonts w:ascii="Garamond" w:hAnsi="Garamond"/>
          <w:sz w:val="24"/>
          <w:szCs w:val="24"/>
        </w:rPr>
        <w:t>ng performance at the Leiden BOA-IWC</w:t>
      </w:r>
      <w:r w:rsidRPr="002650CB">
        <w:rPr>
          <w:rFonts w:ascii="Garamond" w:hAnsi="Garamond"/>
          <w:sz w:val="24"/>
          <w:szCs w:val="24"/>
        </w:rPr>
        <w:t xml:space="preserve"> conference, the MCE performed with several other musicians that worked more regularly with the BOA. The line-up included Ebrahim Brian Isaacs, Jabula, Judith de Kom and Zapata. These groups and individuals embodied a range of political identities. Jubula were a</w:t>
      </w:r>
      <w:r w:rsidR="00A6449D">
        <w:rPr>
          <w:rFonts w:ascii="Garamond" w:hAnsi="Garamond"/>
          <w:sz w:val="24"/>
          <w:szCs w:val="24"/>
        </w:rPr>
        <w:t>n</w:t>
      </w:r>
      <w:r w:rsidRPr="002650CB">
        <w:rPr>
          <w:rFonts w:ascii="Garamond" w:hAnsi="Garamond"/>
          <w:sz w:val="24"/>
          <w:szCs w:val="24"/>
        </w:rPr>
        <w:t xml:space="preserve"> anti-apartheid freedom group based in </w:t>
      </w:r>
      <w:r w:rsidR="00A6449D">
        <w:rPr>
          <w:rFonts w:ascii="Garamond" w:hAnsi="Garamond"/>
          <w:sz w:val="24"/>
          <w:szCs w:val="24"/>
        </w:rPr>
        <w:t>the UK</w:t>
      </w:r>
      <w:r w:rsidRPr="002650CB">
        <w:rPr>
          <w:rFonts w:ascii="Garamond" w:hAnsi="Garamond"/>
          <w:sz w:val="24"/>
          <w:szCs w:val="24"/>
        </w:rPr>
        <w:t>. Judith de Kom was a Dutch-Surinamese antiracist activist whose father, Anton de Kom,</w:t>
      </w:r>
      <w:r w:rsidRPr="002650CB">
        <w:rPr>
          <w:rStyle w:val="FootnoteReference"/>
          <w:rFonts w:ascii="Garamond" w:hAnsi="Garamond"/>
          <w:sz w:val="24"/>
          <w:szCs w:val="24"/>
        </w:rPr>
        <w:footnoteReference w:id="294"/>
      </w:r>
      <w:r w:rsidRPr="002650CB">
        <w:rPr>
          <w:rFonts w:ascii="Garamond" w:hAnsi="Garamond"/>
          <w:sz w:val="24"/>
          <w:szCs w:val="24"/>
        </w:rPr>
        <w:t xml:space="preserve"> had been a prominent Surinamese anti-colonial author and activist.</w:t>
      </w:r>
      <w:r w:rsidRPr="0045375A">
        <w:rPr>
          <w:rFonts w:ascii="Garamond" w:hAnsi="Garamond"/>
          <w:sz w:val="24"/>
          <w:szCs w:val="24"/>
        </w:rPr>
        <w:t xml:space="preserve"> </w:t>
      </w:r>
      <w:r w:rsidRPr="002650CB">
        <w:rPr>
          <w:rFonts w:ascii="Garamond" w:hAnsi="Garamond"/>
          <w:sz w:val="24"/>
          <w:szCs w:val="24"/>
        </w:rPr>
        <w:t xml:space="preserve">As a collective, the musicians promoted both a transnational commitment to anti-colonialism, and a more specific </w:t>
      </w:r>
      <w:r>
        <w:rPr>
          <w:rFonts w:ascii="Garamond" w:hAnsi="Garamond"/>
          <w:sz w:val="24"/>
          <w:szCs w:val="24"/>
        </w:rPr>
        <w:t>concern with Dutch antiracism.</w:t>
      </w:r>
    </w:p>
    <w:p w:rsidR="00A371B8" w:rsidRPr="00733273" w:rsidRDefault="00A371B8" w:rsidP="00A371B8">
      <w:pPr>
        <w:pStyle w:val="Heading2"/>
        <w:rPr>
          <w:shd w:val="clear" w:color="auto" w:fill="FFFFFF"/>
        </w:rPr>
      </w:pPr>
      <w:bookmarkStart w:id="902" w:name="_Toc244578414"/>
      <w:bookmarkStart w:id="903" w:name="_Toc244578798"/>
      <w:bookmarkStart w:id="904" w:name="_Toc263452049"/>
      <w:bookmarkStart w:id="905" w:name="_Toc263510967"/>
      <w:r w:rsidRPr="00733273">
        <w:lastRenderedPageBreak/>
        <w:t>Conclusions:</w:t>
      </w:r>
      <w:r w:rsidRPr="00733273">
        <w:rPr>
          <w:shd w:val="clear" w:color="auto" w:fill="FFFFFF"/>
        </w:rPr>
        <w:t xml:space="preserve"> some thoughts on the BOA's antiracist solidarities and post-racialism</w:t>
      </w:r>
      <w:bookmarkEnd w:id="902"/>
      <w:bookmarkEnd w:id="903"/>
      <w:bookmarkEnd w:id="904"/>
      <w:bookmarkEnd w:id="905"/>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autoSpaceDE w:val="0"/>
        <w:autoSpaceDN w:val="0"/>
        <w:adjustRightInd w:val="0"/>
        <w:spacing w:after="0" w:line="360" w:lineRule="auto"/>
        <w:ind w:left="284" w:right="284"/>
        <w:jc w:val="both"/>
        <w:rPr>
          <w:rFonts w:ascii="Garamond" w:hAnsi="Garamond"/>
          <w:sz w:val="24"/>
          <w:szCs w:val="24"/>
        </w:rPr>
      </w:pPr>
      <w:r w:rsidRPr="002650CB">
        <w:rPr>
          <w:rFonts w:ascii="Garamond" w:hAnsi="Garamond"/>
        </w:rPr>
        <w:t xml:space="preserve"> Being racist is like being a patient with a disease he does not want to admit, for which reason he does no</w:t>
      </w:r>
      <w:r w:rsidR="006F323A">
        <w:rPr>
          <w:rFonts w:ascii="Garamond" w:hAnsi="Garamond"/>
        </w:rPr>
        <w:t xml:space="preserve">t consult his doctor. Nearly all </w:t>
      </w:r>
      <w:r w:rsidRPr="002650CB">
        <w:rPr>
          <w:rFonts w:ascii="Garamond" w:hAnsi="Garamond"/>
        </w:rPr>
        <w:t>Dutch political parties confine themselves to a treatment of symptoms instead of laying bare the underlying roots of racism and tackling them structurally. (du Plessis, 1988</w:t>
      </w:r>
      <w:r>
        <w:rPr>
          <w:rFonts w:ascii="Garamond" w:hAnsi="Garamond"/>
        </w:rPr>
        <w:t>a</w:t>
      </w:r>
      <w:r w:rsidRPr="002650CB">
        <w:rPr>
          <w:rFonts w:ascii="Garamond" w:hAnsi="Garamond"/>
        </w:rPr>
        <w:t>)</w:t>
      </w:r>
    </w:p>
    <w:p w:rsidR="00A371B8" w:rsidRPr="002650CB" w:rsidRDefault="00A371B8" w:rsidP="00A371B8">
      <w:pPr>
        <w:autoSpaceDE w:val="0"/>
        <w:autoSpaceDN w:val="0"/>
        <w:adjustRightInd w:val="0"/>
        <w:spacing w:after="0" w:line="360" w:lineRule="auto"/>
        <w:jc w:val="both"/>
        <w:rPr>
          <w:rFonts w:ascii="Garamond" w:hAnsi="Garamond"/>
          <w:b/>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Through proximate practices of solidarity and implications of causality, the BOA's application of racism here</w:t>
      </w:r>
      <w:r>
        <w:rPr>
          <w:rFonts w:ascii="Garamond" w:hAnsi="Garamond"/>
          <w:sz w:val="24"/>
          <w:szCs w:val="24"/>
        </w:rPr>
        <w:t>,</w:t>
      </w:r>
      <w:r w:rsidRPr="002650CB">
        <w:rPr>
          <w:rFonts w:ascii="Garamond" w:hAnsi="Garamond"/>
          <w:sz w:val="24"/>
          <w:szCs w:val="24"/>
        </w:rPr>
        <w:t xml:space="preserve"> apartheid there challenged isolationist or fascist interpretations for apartheid (Watt, 1970; Adam, 1971; Bosgra, 2009), views held by many in Dutch anti-apartheid. Hans Beerends' view on the BOA's work being over by 1978, is shared in Genevieve Klein's (2001) MA thesis and Sietse Bosgra's (2009) SADET history of Dutch anti-apartheid. In a doctoral thesis on the major Dutch anti-apartheid movements 1960-1990 (Amsterdam University, 2013 forthcoming), Roeland Muskens attributes the 1972-73 Outspan boycott as the first "big success" of the Dutch anti-apartheid movement, but he adds that "after 1978, the BOA were marginalized and other organizations took over".</w:t>
      </w:r>
      <w:r w:rsidRPr="002650CB">
        <w:rPr>
          <w:rStyle w:val="FootnoteReference"/>
          <w:rFonts w:ascii="Garamond" w:hAnsi="Garamond"/>
          <w:sz w:val="24"/>
          <w:szCs w:val="24"/>
        </w:rPr>
        <w:footnoteReference w:id="295"/>
      </w:r>
      <w:r w:rsidRPr="002650CB">
        <w:rPr>
          <w:rFonts w:ascii="Garamond" w:hAnsi="Garamond"/>
          <w:sz w:val="24"/>
          <w:szCs w:val="24"/>
        </w:rPr>
        <w:t xml:space="preserve"> Muskens' use of the term 'marginalized' is interesting. It alludes to antagonisms and power dynamics between AAMs within the wider movement, and it points towards a public and official conception of anti-apartheid divorced from antiracism. </w:t>
      </w:r>
      <w:r w:rsidR="006F323A">
        <w:rPr>
          <w:rFonts w:ascii="Garamond" w:hAnsi="Garamond"/>
          <w:sz w:val="24"/>
          <w:szCs w:val="24"/>
        </w:rPr>
        <w:t>H</w:t>
      </w:r>
      <w:r w:rsidRPr="002650CB">
        <w:rPr>
          <w:rFonts w:ascii="Garamond" w:hAnsi="Garamond"/>
          <w:sz w:val="24"/>
          <w:szCs w:val="24"/>
        </w:rPr>
        <w:t>is thesis offers hope that the BOA will receive significant recognition for their work in anti-apartheid that is not presented in extant Dutch scholarship.</w:t>
      </w:r>
      <w:r w:rsidRPr="002650CB">
        <w:rPr>
          <w:rStyle w:val="FootnoteReference"/>
          <w:rFonts w:ascii="Garamond" w:hAnsi="Garamond"/>
          <w:sz w:val="24"/>
          <w:szCs w:val="24"/>
        </w:rPr>
        <w:footnoteReference w:id="296"/>
      </w:r>
      <w:r w:rsidRPr="002650CB">
        <w:rPr>
          <w:rFonts w:ascii="Garamond" w:hAnsi="Garamond"/>
          <w:sz w:val="24"/>
          <w:szCs w:val="24"/>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The ways the BOA were occluded and muted in anti-apartheid and antiracist histories and debates, cannot be divorced from an analysis of how the BOA produced race. To the contrary, the motivations, tactics and strategies deployed by various agents to neglect or discredit the BOA are entwined with both a contest over the racial aspects of anti-apartheid </w:t>
      </w:r>
      <w:r w:rsidRPr="002650CB">
        <w:rPr>
          <w:rFonts w:ascii="Garamond" w:hAnsi="Garamond"/>
          <w:i/>
          <w:sz w:val="24"/>
          <w:szCs w:val="24"/>
        </w:rPr>
        <w:t xml:space="preserve">and </w:t>
      </w:r>
      <w:r w:rsidRPr="002650CB">
        <w:rPr>
          <w:rFonts w:ascii="Garamond" w:hAnsi="Garamond"/>
          <w:sz w:val="24"/>
          <w:szCs w:val="24"/>
        </w:rPr>
        <w:t xml:space="preserve">the application of racial forms of oppression and inequality. It is </w:t>
      </w:r>
      <w:r w:rsidRPr="002650CB">
        <w:rPr>
          <w:rFonts w:ascii="Garamond" w:hAnsi="Garamond"/>
          <w:sz w:val="24"/>
          <w:szCs w:val="24"/>
        </w:rPr>
        <w:lastRenderedPageBreak/>
        <w:t>concerning that existing histories of Dutch anti-apartheid have reproduced white and nationalist interpretations that have marginalized the importance of antiracism and internationalist political cultures in relation to anti-apartheid. But my intention is equally not to cause displeasure, nor to simply 'discover' histories and recover 'lost' narratives. Instead the chapter forwarded the importance of the BOA's proximate and internationalist antiracist solidarities as a productive form of anti-apartheid practice emerging from Holland. Recovering the neglected histories of the BOA provides evidence a wealth of interrelations between alternative forms of consumption and anti-colonialism, t</w:t>
      </w:r>
      <w:r w:rsidR="00DD5ACC">
        <w:rPr>
          <w:rFonts w:ascii="Garamond" w:hAnsi="Garamond"/>
          <w:sz w:val="24"/>
          <w:szCs w:val="24"/>
        </w:rPr>
        <w:t xml:space="preserve">rade-unionism, anti-apartheid, </w:t>
      </w:r>
      <w:r w:rsidRPr="002650CB">
        <w:rPr>
          <w:rFonts w:ascii="Garamond" w:hAnsi="Garamond"/>
          <w:sz w:val="24"/>
          <w:szCs w:val="24"/>
        </w:rPr>
        <w:t>solidarities practiced through  multi-directional and anti-apartheid transnational labour movement activisms and antiracist organization working in tandem with anti-apartheid. There are surely many other positive stories to be told emanating from Dutch anti-apartheid. This is only one of them.</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I analysed how the organization's antiracist action extended to international forms of labour solidarity, and how their philosophy </w:t>
      </w:r>
      <w:r w:rsidRPr="002650CB">
        <w:rPr>
          <w:rFonts w:ascii="Garamond" w:hAnsi="Garamond"/>
          <w:i/>
          <w:sz w:val="24"/>
          <w:szCs w:val="24"/>
        </w:rPr>
        <w:t>racism here</w:t>
      </w:r>
      <w:r>
        <w:rPr>
          <w:rFonts w:ascii="Garamond" w:hAnsi="Garamond"/>
          <w:i/>
          <w:sz w:val="24"/>
          <w:szCs w:val="24"/>
        </w:rPr>
        <w:t>,</w:t>
      </w:r>
      <w:r w:rsidRPr="002650CB">
        <w:rPr>
          <w:rFonts w:ascii="Garamond" w:hAnsi="Garamond"/>
          <w:sz w:val="24"/>
          <w:szCs w:val="24"/>
        </w:rPr>
        <w:t xml:space="preserve"> </w:t>
      </w:r>
      <w:r>
        <w:rPr>
          <w:rFonts w:ascii="Garamond" w:hAnsi="Garamond"/>
          <w:i/>
          <w:sz w:val="24"/>
          <w:szCs w:val="24"/>
        </w:rPr>
        <w:t>apartheid there</w:t>
      </w:r>
      <w:r w:rsidRPr="002650CB">
        <w:rPr>
          <w:rFonts w:ascii="Garamond" w:hAnsi="Garamond"/>
          <w:i/>
          <w:sz w:val="24"/>
          <w:szCs w:val="24"/>
        </w:rPr>
        <w:t xml:space="preserve"> </w:t>
      </w:r>
      <w:r w:rsidRPr="002650CB">
        <w:rPr>
          <w:rFonts w:ascii="Garamond" w:hAnsi="Garamond"/>
          <w:sz w:val="24"/>
          <w:szCs w:val="24"/>
        </w:rPr>
        <w:t xml:space="preserve">was put into practice in the bus tours of Holland of 1978 and the town campaigns of 1979-91. The BOA created several types of antiracism; during the late 1980s the BOA rallied against neoliberal and environmental racism, while the focus in the urban campaigns on more embodied, local and phenomenological forms of antiracism. I focus attention on specific instances of 'bodywork', and particular solidarities forged by the BOA between places, commodities and people.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Janet Hooker (2009) speculates that 'genuine' antiracist solidarity can only be achieved when the limits of racialized solidarity have been transcended, when the difference of the 'other' is simultaneously acknowledged and respected as belonging to a fellow citizen. T</w:t>
      </w:r>
      <w:r>
        <w:rPr>
          <w:rFonts w:ascii="Garamond" w:hAnsi="Garamond"/>
          <w:sz w:val="24"/>
          <w:szCs w:val="24"/>
          <w:shd w:val="clear" w:color="auto" w:fill="FFFFFF"/>
        </w:rPr>
        <w:t>his is solidarity hewn from a sharing of</w:t>
      </w:r>
      <w:r w:rsidRPr="002650CB">
        <w:rPr>
          <w:rFonts w:ascii="Garamond" w:hAnsi="Garamond"/>
          <w:sz w:val="24"/>
          <w:szCs w:val="24"/>
          <w:shd w:val="clear" w:color="auto" w:fill="FFFFFF"/>
        </w:rPr>
        <w:t xml:space="preserve"> structural conditions rather than mutual identification: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eastAsia="MinionPro-Regular" w:hAnsi="Garamond"/>
        </w:rPr>
      </w:pPr>
      <w:r w:rsidRPr="002650CB">
        <w:rPr>
          <w:rFonts w:ascii="Garamond" w:eastAsia="MinionPro-Regular" w:hAnsi="Garamond"/>
        </w:rPr>
        <w:t xml:space="preserve">It is thus possible to envision the development of an alternative conception of political obligation grounded in shared structural conditions that force individuals to see their fates as inextricably linked in important ways and which can lead them to develop contingent solidarities that are not dependent on mutual identification. This kind of political solidarity, which is capable of encompassing persons who are strangers to one another, has more normative appeal than a conception of solidarity based on a politics of commonality whose premise is that we are only able to envision others as having claims on us to the extent that we think of them as being 'like us'. (Hooker, 2009: </w:t>
      </w:r>
      <w:r w:rsidRPr="002650CB">
        <w:rPr>
          <w:rFonts w:ascii="Garamond" w:hAnsi="Garamond"/>
          <w:shd w:val="clear" w:color="auto" w:fill="FFFFFF"/>
        </w:rPr>
        <w:t xml:space="preserve"> 170)</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As I proposed earlier, the acceptance of difference and the ceding of knowledge and power to better placed individuals, was a core component of the labour solidarities between the BOA and SACTU. It was also written into the BOA's urban campaigns:</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733273" w:rsidRDefault="00A371B8" w:rsidP="00A371B8">
      <w:pPr>
        <w:autoSpaceDE w:val="0"/>
        <w:autoSpaceDN w:val="0"/>
        <w:adjustRightInd w:val="0"/>
        <w:spacing w:after="0" w:line="360" w:lineRule="auto"/>
        <w:ind w:left="284" w:right="284"/>
        <w:jc w:val="both"/>
        <w:rPr>
          <w:rFonts w:ascii="Garamond" w:hAnsi="Garamond"/>
          <w:shd w:val="clear" w:color="auto" w:fill="FFFFFF"/>
        </w:rPr>
      </w:pPr>
      <w:r w:rsidRPr="002650CB">
        <w:rPr>
          <w:rFonts w:ascii="Garamond" w:hAnsi="Garamond"/>
          <w:shd w:val="clear" w:color="auto" w:fill="FFFFFF"/>
        </w:rPr>
        <w:t>A European solidarity movement should never, in our opinion, hijack the liberation struggle, which is the prerogative and privilege of the oppressed people themselves. Our primary task is to express solidarity with the struggle, but not prescribe to them how the struggle should be waged. The average question posed to a representative of the oppressed people is then also: 'what can we do for you?' instead of 'what can we do with you? (du Plessis, 1988</w:t>
      </w:r>
      <w:r>
        <w:rPr>
          <w:rFonts w:ascii="Garamond" w:hAnsi="Garamond"/>
          <w:shd w:val="clear" w:color="auto" w:fill="FFFFFF"/>
        </w:rPr>
        <w:t>a</w:t>
      </w:r>
      <w:r w:rsidRPr="002650CB">
        <w:rPr>
          <w:rFonts w:ascii="Garamond" w:hAnsi="Garamond"/>
          <w:shd w:val="clear" w:color="auto" w:fill="FFFFFF"/>
        </w:rPr>
        <w:t>: 3)</w:t>
      </w:r>
    </w:p>
    <w:p w:rsidR="00A371B8" w:rsidRPr="002650CB" w:rsidRDefault="00A371B8" w:rsidP="00A371B8">
      <w:pPr>
        <w:autoSpaceDE w:val="0"/>
        <w:autoSpaceDN w:val="0"/>
        <w:adjustRightInd w:val="0"/>
        <w:spacing w:after="0" w:line="360" w:lineRule="auto"/>
        <w:ind w:left="284" w:right="284"/>
        <w:jc w:val="both"/>
        <w:rPr>
          <w:rFonts w:ascii="Garamond" w:hAnsi="Garamond"/>
          <w:shd w:val="clear" w:color="auto" w:fill="FFFFFF"/>
        </w:rPr>
      </w:pPr>
    </w:p>
    <w:p w:rsidR="00A371B8"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There are two component parts to this type of political solidarity. Firstly, it positions the work of the BOA as secondary to the anti-apartheid activism occurring in South Africa, and in doing so it attempts to minimize the risk of solidarity becoming co-opted by relations of oppression (Nelson, 1999). Secondly, it resonates with Sarah Koopman's (2008) collaborative findings on decolonizing solidarity:</w:t>
      </w:r>
    </w:p>
    <w:p w:rsidR="00A371B8" w:rsidRPr="00733273" w:rsidRDefault="00A371B8" w:rsidP="00A371B8">
      <w:pPr>
        <w:autoSpaceDE w:val="0"/>
        <w:autoSpaceDN w:val="0"/>
        <w:adjustRightInd w:val="0"/>
        <w:spacing w:after="0" w:line="360" w:lineRule="auto"/>
        <w:jc w:val="both"/>
        <w:rPr>
          <w:rFonts w:ascii="Garamond" w:hAnsi="Garamond" w:cs="Times New Roman"/>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hAnsi="Garamond"/>
        </w:rPr>
      </w:pPr>
      <w:r w:rsidRPr="002650CB">
        <w:rPr>
          <w:rFonts w:ascii="Garamond" w:hAnsi="Garamond"/>
        </w:rPr>
        <w:t>We can define ourselves by the vision of a better world that together we struggle for</w:t>
      </w:r>
      <w:r w:rsidRPr="002650CB">
        <w:rPr>
          <w:rFonts w:ascii="Garamond" w:hAnsi="Garamond"/>
          <w:i/>
          <w:iCs/>
        </w:rPr>
        <w:t xml:space="preserve">, </w:t>
      </w:r>
      <w:r w:rsidRPr="002650CB">
        <w:rPr>
          <w:rFonts w:ascii="Garamond" w:hAnsi="Garamond"/>
        </w:rPr>
        <w:t xml:space="preserve">rather </w:t>
      </w:r>
      <w:r w:rsidRPr="002650CB">
        <w:rPr>
          <w:rFonts w:ascii="Garamond" w:hAnsi="Garamond"/>
          <w:i/>
          <w:iCs/>
        </w:rPr>
        <w:t xml:space="preserve">who </w:t>
      </w:r>
      <w:r w:rsidRPr="002650CB">
        <w:rPr>
          <w:rFonts w:ascii="Garamond" w:hAnsi="Garamond"/>
        </w:rPr>
        <w:t>we struggle for.</w:t>
      </w:r>
      <w:r w:rsidRPr="002650CB">
        <w:rPr>
          <w:rFonts w:ascii="Garamond" w:hAnsi="Garamond"/>
          <w:i/>
          <w:iCs/>
        </w:rPr>
        <w:t xml:space="preserve">. </w:t>
      </w:r>
      <w:r w:rsidRPr="002650CB">
        <w:rPr>
          <w:rFonts w:ascii="Garamond" w:hAnsi="Garamond"/>
        </w:rPr>
        <w:t xml:space="preserve">Together we can struggle </w:t>
      </w:r>
      <w:r w:rsidRPr="002650CB">
        <w:rPr>
          <w:rFonts w:ascii="Garamond" w:hAnsi="Garamond"/>
          <w:i/>
          <w:iCs/>
        </w:rPr>
        <w:t xml:space="preserve">for </w:t>
      </w:r>
      <w:r w:rsidRPr="002650CB">
        <w:rPr>
          <w:rFonts w:ascii="Garamond" w:hAnsi="Garamond"/>
        </w:rPr>
        <w:t>our vision of a better world with true security, for us all. (2008: 295)</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Solidarity, in other words, is performed as mutual struggle. For Hooker, another component of political solidarity is the production of heterogeneous and relational space across particular locales. Space matters to solidarity. Arriving at a similar conclusion to Doreen Massey in her paper on "Geographies of Responsibility" (2004), Hooker considers antiracist solidarity to shift the spatial co-ordinates of imagined communities from shared nationalisms and cultural or racial homogeneity, to</w:t>
      </w:r>
    </w:p>
    <w:p w:rsidR="00A371B8" w:rsidRPr="002650CB" w:rsidRDefault="00A371B8" w:rsidP="00A371B8">
      <w:pPr>
        <w:autoSpaceDE w:val="0"/>
        <w:autoSpaceDN w:val="0"/>
        <w:adjustRightInd w:val="0"/>
        <w:spacing w:after="0" w:line="240" w:lineRule="auto"/>
        <w:rPr>
          <w:rFonts w:ascii="Garamond" w:eastAsia="MinionPro-Regular" w:hAnsi="Garamond" w:cs="MinionPro-Regular"/>
          <w:sz w:val="21"/>
          <w:szCs w:val="21"/>
        </w:rPr>
      </w:pPr>
    </w:p>
    <w:p w:rsidR="00A371B8" w:rsidRPr="002650CB" w:rsidRDefault="00A371B8" w:rsidP="00A371B8">
      <w:pPr>
        <w:autoSpaceDE w:val="0"/>
        <w:autoSpaceDN w:val="0"/>
        <w:adjustRightInd w:val="0"/>
        <w:spacing w:after="0" w:line="360" w:lineRule="auto"/>
        <w:ind w:left="284" w:right="284"/>
        <w:jc w:val="both"/>
        <w:rPr>
          <w:rFonts w:ascii="Garamond" w:eastAsia="MinionPro-Regular" w:hAnsi="Garamond"/>
        </w:rPr>
      </w:pPr>
      <w:r w:rsidRPr="002650CB">
        <w:rPr>
          <w:rFonts w:ascii="Garamond" w:eastAsia="MinionPro-Regular" w:hAnsi="Garamond"/>
        </w:rPr>
        <w:t>the (geographical, social, political) spaces that individuals share and as a result of which their actions have unavoidable consequences on the lives of others that also inhabit such locales. (2005: 170)</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This is Ash Amin's (2002) "</w:t>
      </w:r>
      <w:r w:rsidRPr="002650CB">
        <w:rPr>
          <w:rFonts w:ascii="Garamond" w:hAnsi="Garamond" w:cs="TimesNewRoman"/>
          <w:sz w:val="24"/>
          <w:szCs w:val="24"/>
        </w:rPr>
        <w:t xml:space="preserve">politics of propinquity”; the requirement of negotiating "across and among difference the implacable spatial fact of shared turf" (Massey 2004: 3). This politics depends on building relationships with face-to-face interaction. </w:t>
      </w:r>
      <w:r w:rsidRPr="002650CB">
        <w:rPr>
          <w:rFonts w:ascii="Garamond" w:hAnsi="Garamond"/>
          <w:sz w:val="24"/>
          <w:szCs w:val="24"/>
          <w:shd w:val="clear" w:color="auto" w:fill="FFFFFF"/>
        </w:rPr>
        <w:t xml:space="preserve">The urban campaigns attempted a politics of propinquity rather than a politics of mutual affiliation </w:t>
      </w:r>
      <w:r w:rsidRPr="002650CB">
        <w:rPr>
          <w:rFonts w:ascii="Garamond" w:hAnsi="Garamond"/>
          <w:sz w:val="24"/>
          <w:szCs w:val="24"/>
          <w:shd w:val="clear" w:color="auto" w:fill="FFFFFF"/>
        </w:rPr>
        <w:lastRenderedPageBreak/>
        <w:t>to cement solidarities. Such a politics is prone to creating antagonisms and unsympathetic reactions</w:t>
      </w:r>
      <w:r>
        <w:rPr>
          <w:rFonts w:ascii="Garamond" w:hAnsi="Garamond"/>
          <w:sz w:val="24"/>
          <w:szCs w:val="24"/>
          <w:shd w:val="clear" w:color="auto" w:fill="FFFFFF"/>
        </w:rPr>
        <w:t>; t</w:t>
      </w:r>
      <w:r w:rsidRPr="002650CB">
        <w:rPr>
          <w:rFonts w:ascii="Garamond" w:hAnsi="Garamond"/>
          <w:sz w:val="24"/>
          <w:szCs w:val="24"/>
          <w:shd w:val="clear" w:color="auto" w:fill="FFFFFF"/>
        </w:rPr>
        <w:t>he urban campaigns marked the beginning of the 'dam bursting' on racism in local contexts for the BOA.</w:t>
      </w:r>
      <w:r>
        <w:rPr>
          <w:rFonts w:ascii="Garamond" w:hAnsi="Garamond"/>
          <w:sz w:val="24"/>
          <w:szCs w:val="24"/>
          <w:shd w:val="clear" w:color="auto" w:fill="FFFFFF"/>
        </w:rPr>
        <w:t xml:space="preserve"> Building on Featherstone's (2012) focus on solidarity as 'pressure without', I argue that antagonisms</w:t>
      </w:r>
      <w:r w:rsidRPr="002650CB">
        <w:rPr>
          <w:rFonts w:ascii="Garamond" w:hAnsi="Garamond"/>
          <w:sz w:val="24"/>
          <w:szCs w:val="24"/>
          <w:shd w:val="clear" w:color="auto" w:fill="FFFFFF"/>
        </w:rPr>
        <w:t xml:space="preserve"> with the wider Dutch anti-apartheid movement were created by the BOA's increasingly explicit focus on applying 'pressure from without' alongside 'pressure from within'.</w:t>
      </w:r>
      <w:r>
        <w:rPr>
          <w:rFonts w:ascii="Garamond" w:hAnsi="Garamond"/>
          <w:sz w:val="24"/>
          <w:szCs w:val="24"/>
          <w:shd w:val="clear" w:color="auto" w:fill="FFFFFF"/>
        </w:rPr>
        <w:t xml:space="preserve">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During the American civil war, Karl Marx wrote to Frederick Engels on the development of a 'morally superior' working class solidarity emerging in Manchester in relation for the Union and the emancipation of cotton slaves in the American South. Cotton factory workers in Manchester suffered unemployment and reduced wages as a result of the naval blockade of</w:t>
      </w:r>
      <w:r>
        <w:rPr>
          <w:rFonts w:ascii="Garamond" w:hAnsi="Garamond"/>
          <w:sz w:val="24"/>
          <w:szCs w:val="24"/>
          <w:shd w:val="clear" w:color="auto" w:fill="FFFFFF"/>
        </w:rPr>
        <w:t xml:space="preserve"> cotton from the American South (Featherstone, 2012)</w:t>
      </w:r>
      <w:r w:rsidRPr="002650CB">
        <w:rPr>
          <w:rFonts w:ascii="Garamond" w:hAnsi="Garamond"/>
          <w:sz w:val="24"/>
          <w:szCs w:val="24"/>
          <w:shd w:val="clear" w:color="auto" w:fill="FFFFFF"/>
        </w:rPr>
        <w:t>. But despite their hardship, Marx observed that the workers actively supported the blockade against the will of cotton capitalists and their powerful parliamentary allies in London</w:t>
      </w:r>
      <w:r>
        <w:rPr>
          <w:rFonts w:ascii="Garamond" w:hAnsi="Garamond"/>
          <w:sz w:val="24"/>
          <w:szCs w:val="24"/>
          <w:shd w:val="clear" w:color="auto" w:fill="FFFFFF"/>
        </w:rPr>
        <w:t xml:space="preserve"> </w:t>
      </w:r>
      <w:r w:rsidRPr="002650CB">
        <w:rPr>
          <w:rFonts w:ascii="Garamond" w:hAnsi="Garamond"/>
          <w:sz w:val="24"/>
          <w:szCs w:val="24"/>
          <w:shd w:val="clear" w:color="auto" w:fill="FFFFFF"/>
        </w:rPr>
        <w:t>This was, according to Marx, politics applied by 'pressure from without':</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ind w:left="284" w:right="284"/>
        <w:jc w:val="both"/>
        <w:rPr>
          <w:rFonts w:ascii="Garamond" w:hAnsi="Garamond"/>
          <w:shd w:val="clear" w:color="auto" w:fill="FFFFFF"/>
        </w:rPr>
      </w:pPr>
      <w:r w:rsidRPr="002650CB">
        <w:rPr>
          <w:rFonts w:ascii="Garamond" w:hAnsi="Garamond"/>
          <w:color w:val="000000"/>
          <w:shd w:val="clear" w:color="auto" w:fill="FFFFFF"/>
        </w:rPr>
        <w:t>No important innovation, no decisive measure has ever been carried in this country without pressure from without...By pressure from without the Englishman understands great extra-parliamentary popular demonstrations, which naturally cannot be staged without the co</w:t>
      </w:r>
      <w:r>
        <w:rPr>
          <w:rFonts w:ascii="Garamond" w:hAnsi="Garamond"/>
          <w:color w:val="000000"/>
          <w:shd w:val="clear" w:color="auto" w:fill="FFFFFF"/>
        </w:rPr>
        <w:t>-operation of the working class. (Marx 1861</w:t>
      </w:r>
      <w:r w:rsidRPr="002650CB">
        <w:rPr>
          <w:rFonts w:ascii="Garamond" w:hAnsi="Garamond"/>
          <w:color w:val="000000"/>
          <w:shd w:val="clear" w:color="auto" w:fill="FFFFFF"/>
        </w:rPr>
        <w:t xml:space="preserve"> in Dutt, 1938:450)</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'Pressure from without' can be understood simply as extra-parliamentary politics.</w:t>
      </w:r>
      <w:r w:rsidRPr="002650CB">
        <w:rPr>
          <w:rStyle w:val="FootnoteReference"/>
          <w:rFonts w:ascii="Garamond" w:hAnsi="Garamond"/>
          <w:sz w:val="24"/>
          <w:szCs w:val="24"/>
          <w:shd w:val="clear" w:color="auto" w:fill="FFFFFF"/>
        </w:rPr>
        <w:footnoteReference w:id="297"/>
      </w:r>
      <w:r w:rsidRPr="002650CB">
        <w:rPr>
          <w:rFonts w:ascii="Garamond" w:hAnsi="Garamond"/>
          <w:sz w:val="24"/>
          <w:szCs w:val="24"/>
          <w:shd w:val="clear" w:color="auto" w:fill="FFFFFF"/>
        </w:rPr>
        <w:t xml:space="preserve"> It describes the political activities of those without an official vote (potentially the </w:t>
      </w:r>
      <w:r w:rsidR="006F323A">
        <w:rPr>
          <w:rFonts w:ascii="Garamond" w:hAnsi="Garamond"/>
          <w:sz w:val="24"/>
          <w:szCs w:val="24"/>
          <w:shd w:val="clear" w:color="auto" w:fill="FFFFFF"/>
        </w:rPr>
        <w:t>dis</w:t>
      </w:r>
      <w:r w:rsidRPr="002650CB">
        <w:rPr>
          <w:rFonts w:ascii="Garamond" w:hAnsi="Garamond"/>
          <w:sz w:val="24"/>
          <w:szCs w:val="24"/>
          <w:shd w:val="clear" w:color="auto" w:fill="FFFFFF"/>
        </w:rPr>
        <w:t>enfranchised or dispossessed), but more broadly it describes the struggle of subjects 'without' recourse to official political subjectivi</w:t>
      </w:r>
      <w:r>
        <w:rPr>
          <w:rFonts w:ascii="Garamond" w:hAnsi="Garamond"/>
          <w:sz w:val="24"/>
          <w:szCs w:val="24"/>
          <w:shd w:val="clear" w:color="auto" w:fill="FFFFFF"/>
        </w:rPr>
        <w:t xml:space="preserve">ty to act politically (Rancière </w:t>
      </w:r>
      <w:r w:rsidRPr="002650CB">
        <w:rPr>
          <w:rFonts w:ascii="Garamond" w:hAnsi="Garamond"/>
          <w:sz w:val="24"/>
          <w:szCs w:val="24"/>
          <w:shd w:val="clear" w:color="auto" w:fill="FFFFFF"/>
        </w:rPr>
        <w:t xml:space="preserve">1995; Featherstone, 2012). But Featherstone's (2012) adaption of Marx's 'pressure from without' extends beyond the idea of being inside or outside of formal political processes. I concur with Brown </w:t>
      </w:r>
      <w:r w:rsidR="00F152DB">
        <w:rPr>
          <w:rFonts w:ascii="Garamond" w:hAnsi="Garamond"/>
          <w:sz w:val="24"/>
          <w:szCs w:val="24"/>
          <w:shd w:val="clear" w:color="auto" w:fill="FFFFFF"/>
        </w:rPr>
        <w:t>and</w:t>
      </w:r>
      <w:r w:rsidRPr="002650CB">
        <w:rPr>
          <w:rFonts w:ascii="Garamond" w:hAnsi="Garamond"/>
          <w:sz w:val="24"/>
          <w:szCs w:val="24"/>
          <w:shd w:val="clear" w:color="auto" w:fill="FFFFFF"/>
        </w:rPr>
        <w:t xml:space="preserve"> Yaffe's assertion that for Featherstone, 'pressure from without' implies "the extension of the solidarity collective through the engagement of new people" (2013:6). However, I also believe that his 'pressure from without' comes with an attendant sacrifice. A particular group or community (in Featherstone's example, Lancashire factory workers) forgo a need of their own to satisfy the need of a person or </w:t>
      </w:r>
      <w:r w:rsidRPr="002650CB">
        <w:rPr>
          <w:rFonts w:ascii="Garamond" w:hAnsi="Garamond"/>
          <w:sz w:val="24"/>
          <w:szCs w:val="24"/>
          <w:shd w:val="clear" w:color="auto" w:fill="FFFFFF"/>
        </w:rPr>
        <w:lastRenderedPageBreak/>
        <w:t xml:space="preserve">group that they have no truck with (the Unionists). So the without also means separated from and without personal gain. Featherstone imbues 'pressure from without' with a spatial politics; those performing it are necessarily separate and distant from the intended beneficent of their political activity. Therefore pressure from without is precluded by a mindfulness of relational geographies of causation and effect. </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But what the BOA attempted with the urban campaigns was to show that applying pressure from without (e.g. boycotting citrus and white migration, protesting against apartheid) was the first stage of achieving desired social change. Following this was the acceptance of a mutual struggle against white capitalism, and secondly a proximate battle against European racisms. </w:t>
      </w:r>
      <w:r>
        <w:rPr>
          <w:rFonts w:ascii="Garamond" w:hAnsi="Garamond"/>
          <w:sz w:val="24"/>
          <w:szCs w:val="24"/>
          <w:shd w:val="clear" w:color="auto" w:fill="FFFFFF"/>
        </w:rPr>
        <w:t>Leiden Against Apartheid</w:t>
      </w:r>
      <w:r w:rsidRPr="002650CB">
        <w:rPr>
          <w:rFonts w:ascii="Garamond" w:hAnsi="Garamond"/>
          <w:sz w:val="24"/>
          <w:szCs w:val="24"/>
          <w:shd w:val="clear" w:color="auto" w:fill="FFFFFF"/>
        </w:rPr>
        <w:t xml:space="preserve"> aimed to activate not the subaltern, or the politically disenfranchised, but the white majority. In other words, pressure needed to be applied from without and from within. For example, during the Leiden campaign, the working group 'Political Parties Against Apartheid' campaigned to remove racist terminology from everyday language, and to name new streets built in Leiden after anti-apartheid and antiracist campaigners </w:t>
      </w:r>
      <w:r w:rsidRPr="002650CB">
        <w:rPr>
          <w:rFonts w:ascii="Garamond" w:hAnsi="Garamond"/>
          <w:sz w:val="24"/>
          <w:szCs w:val="24"/>
        </w:rPr>
        <w:t>(</w:t>
      </w:r>
      <w:r w:rsidRPr="002650CB">
        <w:rPr>
          <w:rFonts w:ascii="Garamond" w:hAnsi="Garamond"/>
          <w:sz w:val="24"/>
          <w:szCs w:val="24"/>
          <w:shd w:val="clear" w:color="auto" w:fill="FFFFFF"/>
        </w:rPr>
        <w:t>Abschlußbericht der Aktion</w:t>
      </w:r>
      <w:r w:rsidRPr="002650CB">
        <w:rPr>
          <w:rFonts w:ascii="Garamond" w:hAnsi="Garamond"/>
          <w:i/>
          <w:sz w:val="24"/>
          <w:szCs w:val="24"/>
          <w:shd w:val="clear" w:color="auto" w:fill="FFFFFF"/>
        </w:rPr>
        <w:t>,</w:t>
      </w:r>
      <w:r w:rsidRPr="002650CB">
        <w:rPr>
          <w:rFonts w:ascii="Garamond" w:hAnsi="Garamond"/>
          <w:sz w:val="24"/>
          <w:szCs w:val="24"/>
          <w:shd w:val="clear" w:color="auto" w:fill="FFFFFF"/>
        </w:rPr>
        <w:t xml:space="preserve"> 1980), rather than Dutch colonists. This was pressure from within; the BOA encouraged white Dutch people to see themselves whitely (Hooker, 2009) and contest the racialization of Dutch political and cultural life from positions of privilege in Dutch society. The BOA also worked to pressure from within through wielding it</w:t>
      </w:r>
      <w:r w:rsidR="006F323A">
        <w:rPr>
          <w:rFonts w:ascii="Garamond" w:hAnsi="Garamond"/>
          <w:sz w:val="24"/>
          <w:szCs w:val="24"/>
          <w:shd w:val="clear" w:color="auto" w:fill="FFFFFF"/>
        </w:rPr>
        <w:t>s</w:t>
      </w:r>
      <w:r w:rsidRPr="002650CB">
        <w:rPr>
          <w:rFonts w:ascii="Garamond" w:hAnsi="Garamond"/>
          <w:sz w:val="24"/>
          <w:szCs w:val="24"/>
          <w:shd w:val="clear" w:color="auto" w:fill="FFFFFF"/>
        </w:rPr>
        <w:t xml:space="preserve"> influence within the broader Dutch anti-apartheid movement.</w:t>
      </w: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p>
    <w:p w:rsidR="00A371B8" w:rsidRPr="002650CB" w:rsidRDefault="00A371B8" w:rsidP="00A371B8">
      <w:pPr>
        <w:autoSpaceDE w:val="0"/>
        <w:autoSpaceDN w:val="0"/>
        <w:adjustRightInd w:val="0"/>
        <w:spacing w:after="0" w:line="360" w:lineRule="auto"/>
        <w:jc w:val="both"/>
        <w:rPr>
          <w:rFonts w:ascii="Garamond" w:hAnsi="Garamond"/>
          <w:sz w:val="24"/>
          <w:szCs w:val="24"/>
          <w:shd w:val="clear" w:color="auto" w:fill="FFFFFF"/>
        </w:rPr>
      </w:pPr>
      <w:r w:rsidRPr="002650CB">
        <w:rPr>
          <w:rFonts w:ascii="Garamond" w:hAnsi="Garamond"/>
          <w:sz w:val="24"/>
          <w:szCs w:val="24"/>
          <w:shd w:val="clear" w:color="auto" w:fill="FFFFFF"/>
        </w:rPr>
        <w:t xml:space="preserve">From 1979 the BOA's explicit application of 'pressure from within' was met by opposition from several prominent activists within the anti-apartheid movement. Hans Beerends, the former head of the Dutch Third World shops, argued that "Esau, he said the whole thing of its very easy to struggle, to fight racism far away, I want to do it here. But that was not such a success...support to this action went down" (interview, 2011). Support for the BOA certainly declined among the Dutch anti-apartheid movement during the urban campaigns. As I've argued earlier, attempts were made throughout the late 70s and 80s to withdraw funding for the BOA foundation. The final commemorative issue of </w:t>
      </w:r>
      <w:r w:rsidRPr="002650CB">
        <w:rPr>
          <w:rFonts w:ascii="Garamond" w:hAnsi="Garamond"/>
          <w:i/>
          <w:sz w:val="24"/>
          <w:szCs w:val="24"/>
          <w:shd w:val="clear" w:color="auto" w:fill="FFFFFF"/>
        </w:rPr>
        <w:t xml:space="preserve">Amandla </w:t>
      </w:r>
      <w:r w:rsidRPr="002650CB">
        <w:rPr>
          <w:rFonts w:ascii="Garamond" w:hAnsi="Garamond"/>
          <w:sz w:val="24"/>
          <w:szCs w:val="24"/>
          <w:shd w:val="clear" w:color="auto" w:fill="FFFFFF"/>
        </w:rPr>
        <w:t xml:space="preserve">from 1994, provided a brief biography of the KZA, the AABN and Kairos, but the BOA is absent from the text. Bosgra's SADET history considers the BOA's urban campaigns as separate from anti-apartheid, and Klein's (2001) thesis makes no mention of them. But to argue that support for the urban campaigns 'went down' is to ignore the extent and reach of the campaigns outside of the urban political centres of </w:t>
      </w:r>
      <w:r w:rsidRPr="002650CB">
        <w:rPr>
          <w:rFonts w:ascii="Garamond" w:hAnsi="Garamond"/>
          <w:sz w:val="24"/>
          <w:szCs w:val="24"/>
          <w:shd w:val="clear" w:color="auto" w:fill="FFFFFF"/>
        </w:rPr>
        <w:lastRenderedPageBreak/>
        <w:t>the Dutch anti-apartheid movement in Amsterdam, Utrecht and The Hague. From 1979 to 1990 over fifty town campaigns were initiated, and many dozens of autonomous organizations created. For du Plessis, it was arduous and difficult work:</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Pr="002650CB" w:rsidRDefault="00A371B8" w:rsidP="00A371B8">
      <w:pPr>
        <w:spacing w:line="360" w:lineRule="auto"/>
        <w:ind w:left="284" w:right="284"/>
        <w:jc w:val="both"/>
        <w:rPr>
          <w:rFonts w:ascii="Garamond" w:hAnsi="Garamond"/>
        </w:rPr>
      </w:pPr>
      <w:r>
        <w:rPr>
          <w:rFonts w:ascii="Garamond" w:hAnsi="Garamond"/>
        </w:rPr>
        <w:t>ESAU</w:t>
      </w:r>
      <w:r w:rsidRPr="002650CB">
        <w:rPr>
          <w:rFonts w:ascii="Garamond" w:hAnsi="Garamond"/>
        </w:rPr>
        <w:t>: Leiden is a special case because I lived in Leiden. I knew the people of the political parties, I knew the teachers, the schools, all the groups, the third world store, the gymnasia, the university - I knew them all personally the doors were open. And then we started urban campaigns further off. We did five cities first; Apeldoorn, Delft, Gouda and a few others.  And we realized how difficult it is if you don't know the people personally. And that's why it took longer, twelve to eighteen months before something could be done. We were preparing different target groups in the town. It was not the done thing you know, the threshold had to be kept low, and that could only be done by talking to people. And you have to listen to a lot of nonsense.</w:t>
      </w:r>
    </w:p>
    <w:p w:rsidR="00A371B8" w:rsidRPr="002650CB" w:rsidRDefault="00A371B8" w:rsidP="00A371B8">
      <w:pPr>
        <w:spacing w:line="360" w:lineRule="auto"/>
        <w:ind w:left="284" w:right="284"/>
        <w:jc w:val="both"/>
        <w:rPr>
          <w:rFonts w:ascii="Garamond" w:hAnsi="Garamond"/>
        </w:rPr>
      </w:pPr>
      <w:r>
        <w:rPr>
          <w:rFonts w:ascii="Garamond" w:hAnsi="Garamond"/>
        </w:rPr>
        <w:t>HUGH</w:t>
      </w:r>
      <w:r w:rsidRPr="002650CB">
        <w:rPr>
          <w:rFonts w:ascii="Garamond" w:hAnsi="Garamond"/>
        </w:rPr>
        <w:t>: It must have had its own unique challenges?</w:t>
      </w:r>
    </w:p>
    <w:p w:rsidR="00DD5ACC" w:rsidRDefault="00A371B8" w:rsidP="00DD5ACC">
      <w:pPr>
        <w:spacing w:after="0" w:line="360" w:lineRule="auto"/>
        <w:ind w:left="284" w:right="284"/>
        <w:jc w:val="both"/>
        <w:rPr>
          <w:rFonts w:ascii="Garamond" w:hAnsi="Garamond"/>
        </w:rPr>
      </w:pPr>
      <w:r>
        <w:rPr>
          <w:rFonts w:ascii="Garamond" w:hAnsi="Garamond"/>
        </w:rPr>
        <w:t>ESAU</w:t>
      </w:r>
      <w:r w:rsidRPr="002650CB">
        <w:rPr>
          <w:rFonts w:ascii="Garamond" w:hAnsi="Garamond"/>
        </w:rPr>
        <w:t>: Yes, and I sacrificed my health. That comes from my stroke in 1991, because it was so time consuming. And I travelled by train three hours there, three hours back, and then at least three hours for meeting the people and talking, and then we had to work in Leiden too. It became so impossible, really. But it was for us the right way to do it. Because then I discovered then that Sietse Bosgra had no influence in these cities, he only had influence among a few activists, but not among the people.</w:t>
      </w:r>
    </w:p>
    <w:p w:rsidR="00A371B8" w:rsidRPr="002650CB" w:rsidRDefault="00A371B8" w:rsidP="00DD5ACC">
      <w:pPr>
        <w:spacing w:after="0" w:line="360" w:lineRule="auto"/>
        <w:ind w:left="284" w:right="284"/>
        <w:jc w:val="both"/>
        <w:rPr>
          <w:rFonts w:ascii="Garamond" w:hAnsi="Garamond"/>
        </w:rPr>
      </w:pPr>
    </w:p>
    <w:p w:rsidR="00A371B8" w:rsidRPr="002650CB" w:rsidRDefault="00A371B8" w:rsidP="00DD5ACC">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Implementing '</w:t>
      </w:r>
      <w:r>
        <w:rPr>
          <w:rFonts w:ascii="Garamond" w:hAnsi="Garamond"/>
          <w:sz w:val="24"/>
          <w:szCs w:val="24"/>
        </w:rPr>
        <w:t>racism here,</w:t>
      </w:r>
      <w:r w:rsidRPr="002650CB">
        <w:rPr>
          <w:rFonts w:ascii="Garamond" w:hAnsi="Garamond"/>
          <w:sz w:val="24"/>
          <w:szCs w:val="24"/>
        </w:rPr>
        <w:t xml:space="preserve"> apartheid there' took an immeasurable toll on du Plessis. Today he still recovers from the stroke he suffered in '91. His accounts of the urban campaigns frequently resemble an escape, a project on the run from the more official applications of Dutch anti-apartheid. But the intensity of the emotional and physical labour involved (one wonders how much 'nonsense' he had to listen to), and the double consciousness required to see himself (and the BOA itself) through his own and other's eyes, leap out from the transcriptions of his testimony.        </w:t>
      </w:r>
    </w:p>
    <w:p w:rsidR="00A371B8" w:rsidRPr="002650CB" w:rsidRDefault="00A371B8" w:rsidP="00A371B8">
      <w:pPr>
        <w:autoSpaceDE w:val="0"/>
        <w:autoSpaceDN w:val="0"/>
        <w:adjustRightInd w:val="0"/>
        <w:spacing w:after="0" w:line="360" w:lineRule="auto"/>
        <w:jc w:val="both"/>
        <w:rPr>
          <w:rFonts w:ascii="Garamond" w:hAnsi="Garamond"/>
          <w:sz w:val="24"/>
          <w:szCs w:val="24"/>
        </w:rPr>
      </w:pPr>
    </w:p>
    <w:p w:rsidR="00A371B8" w:rsidRDefault="00A371B8" w:rsidP="00A371B8">
      <w:pPr>
        <w:autoSpaceDE w:val="0"/>
        <w:autoSpaceDN w:val="0"/>
        <w:adjustRightInd w:val="0"/>
        <w:spacing w:after="0" w:line="360" w:lineRule="auto"/>
        <w:jc w:val="both"/>
        <w:rPr>
          <w:rFonts w:ascii="Garamond" w:hAnsi="Garamond"/>
          <w:sz w:val="24"/>
          <w:szCs w:val="24"/>
        </w:rPr>
      </w:pPr>
      <w:r w:rsidRPr="002650CB">
        <w:rPr>
          <w:rFonts w:ascii="Garamond" w:hAnsi="Garamond"/>
          <w:sz w:val="24"/>
          <w:szCs w:val="24"/>
        </w:rPr>
        <w:t xml:space="preserve">For the former BOA leader, embodied and structural racisms were a </w:t>
      </w:r>
      <w:r w:rsidRPr="002650CB">
        <w:rPr>
          <w:rFonts w:ascii="Garamond" w:hAnsi="Garamond"/>
          <w:i/>
          <w:sz w:val="24"/>
          <w:szCs w:val="24"/>
        </w:rPr>
        <w:t xml:space="preserve">living reality </w:t>
      </w:r>
      <w:r>
        <w:rPr>
          <w:rFonts w:ascii="Garamond" w:hAnsi="Garamond"/>
          <w:sz w:val="24"/>
          <w:szCs w:val="24"/>
        </w:rPr>
        <w:t>in Holland.</w:t>
      </w:r>
      <w:r>
        <w:rPr>
          <w:rStyle w:val="FootnoteReference"/>
          <w:rFonts w:ascii="Garamond" w:hAnsi="Garamond"/>
          <w:sz w:val="24"/>
          <w:szCs w:val="24"/>
        </w:rPr>
        <w:footnoteReference w:id="298"/>
      </w:r>
      <w:r w:rsidRPr="002650CB">
        <w:rPr>
          <w:rFonts w:ascii="Garamond" w:hAnsi="Garamond"/>
          <w:sz w:val="24"/>
          <w:szCs w:val="24"/>
        </w:rPr>
        <w:t xml:space="preserve"> As Bosgra writes in the 2009 SADET chapter on Dutch anti-apartheid, du Plessis' position as a 'coloured' South African exile who had experienced the cut of apartheid racisms led to challenges within the movement. D</w:t>
      </w:r>
      <w:r>
        <w:rPr>
          <w:rFonts w:ascii="Garamond" w:hAnsi="Garamond"/>
          <w:sz w:val="24"/>
          <w:szCs w:val="24"/>
        </w:rPr>
        <w:t>u Plessis argues that d</w:t>
      </w:r>
      <w:r w:rsidRPr="002650CB">
        <w:rPr>
          <w:rFonts w:ascii="Garamond" w:hAnsi="Garamond"/>
          <w:sz w:val="24"/>
          <w:szCs w:val="24"/>
        </w:rPr>
        <w:t>uring the 19</w:t>
      </w:r>
      <w:r>
        <w:rPr>
          <w:rFonts w:ascii="Garamond" w:hAnsi="Garamond"/>
          <w:sz w:val="24"/>
          <w:szCs w:val="24"/>
        </w:rPr>
        <w:t xml:space="preserve">70s Dutch and European racisms </w:t>
      </w:r>
      <w:r w:rsidRPr="002650CB">
        <w:rPr>
          <w:rFonts w:ascii="Garamond" w:hAnsi="Garamond"/>
          <w:sz w:val="24"/>
          <w:szCs w:val="24"/>
        </w:rPr>
        <w:t xml:space="preserve">were recognised as connected to apartheid by </w:t>
      </w:r>
      <w:r w:rsidRPr="002650CB">
        <w:rPr>
          <w:rFonts w:ascii="Garamond" w:hAnsi="Garamond"/>
          <w:sz w:val="24"/>
          <w:szCs w:val="24"/>
        </w:rPr>
        <w:lastRenderedPageBreak/>
        <w:t>the oppressed in South Africa. But this view is currently given short thrift in Dutch histories of anti-apartheid (Klein, 20</w:t>
      </w:r>
      <w:r>
        <w:rPr>
          <w:rFonts w:ascii="Garamond" w:hAnsi="Garamond"/>
          <w:sz w:val="24"/>
          <w:szCs w:val="24"/>
        </w:rPr>
        <w:t>01; Bosgra, 2008; IISH website</w:t>
      </w:r>
      <w:r w:rsidRPr="002650CB">
        <w:rPr>
          <w:rFonts w:ascii="Garamond" w:hAnsi="Garamond"/>
          <w:sz w:val="24"/>
          <w:szCs w:val="24"/>
        </w:rPr>
        <w:t>). The nationalist historical process works in the opposite direction - to separate, deny and erase traces of Dutch racism and the importance of international racist links between Holland and South Africa. Paradoxically, it seems for a nationalist version of Dutch anti-apartheid history to be credible to wider history of anti-apartheid solidarity (such as  the SADET project),</w:t>
      </w:r>
      <w:r w:rsidRPr="002650CB">
        <w:rPr>
          <w:rStyle w:val="FootnoteReference"/>
          <w:rFonts w:ascii="Garamond" w:hAnsi="Garamond"/>
          <w:sz w:val="24"/>
          <w:szCs w:val="24"/>
        </w:rPr>
        <w:footnoteReference w:id="299"/>
      </w:r>
      <w:r w:rsidRPr="002650CB">
        <w:rPr>
          <w:rFonts w:ascii="Garamond" w:hAnsi="Garamond"/>
          <w:sz w:val="24"/>
          <w:szCs w:val="24"/>
        </w:rPr>
        <w:t xml:space="preserve"> dissenting opinions that point to Dutch complicity with apartheid are viewed as 'outsider' arguments,</w:t>
      </w:r>
      <w:r w:rsidRPr="002650CB">
        <w:rPr>
          <w:rStyle w:val="FootnoteReference"/>
          <w:rFonts w:ascii="Garamond" w:hAnsi="Garamond"/>
          <w:sz w:val="24"/>
          <w:szCs w:val="24"/>
        </w:rPr>
        <w:footnoteReference w:id="300"/>
      </w:r>
      <w:r w:rsidRPr="002650CB">
        <w:rPr>
          <w:rFonts w:ascii="Garamond" w:hAnsi="Garamond"/>
          <w:sz w:val="24"/>
          <w:szCs w:val="24"/>
        </w:rPr>
        <w:t xml:space="preserve"> silenced</w:t>
      </w:r>
      <w:r w:rsidRPr="002650CB">
        <w:rPr>
          <w:rStyle w:val="FootnoteReference"/>
          <w:rFonts w:ascii="Garamond" w:hAnsi="Garamond"/>
          <w:sz w:val="24"/>
          <w:szCs w:val="24"/>
        </w:rPr>
        <w:footnoteReference w:id="301"/>
      </w:r>
      <w:r w:rsidRPr="002650CB">
        <w:rPr>
          <w:rFonts w:ascii="Garamond" w:hAnsi="Garamond"/>
          <w:sz w:val="24"/>
          <w:szCs w:val="24"/>
        </w:rPr>
        <w:t xml:space="preserve"> or misrepresented. Because the BOA continu</w:t>
      </w:r>
      <w:r>
        <w:rPr>
          <w:rFonts w:ascii="Garamond" w:hAnsi="Garamond"/>
          <w:sz w:val="24"/>
          <w:szCs w:val="24"/>
        </w:rPr>
        <w:t>e</w:t>
      </w:r>
      <w:r w:rsidR="006F323A">
        <w:rPr>
          <w:rFonts w:ascii="Garamond" w:hAnsi="Garamond"/>
          <w:sz w:val="24"/>
          <w:szCs w:val="24"/>
        </w:rPr>
        <w:t>s</w:t>
      </w:r>
      <w:r>
        <w:rPr>
          <w:rFonts w:ascii="Garamond" w:hAnsi="Garamond"/>
          <w:sz w:val="24"/>
          <w:szCs w:val="24"/>
        </w:rPr>
        <w:t xml:space="preserve"> to be discredited</w:t>
      </w:r>
      <w:r w:rsidRPr="002650CB">
        <w:rPr>
          <w:rFonts w:ascii="Garamond" w:hAnsi="Garamond"/>
          <w:sz w:val="24"/>
          <w:szCs w:val="24"/>
        </w:rPr>
        <w:t xml:space="preserve">, the organization make the inequalities of the nationalist process visible, and they illuminate the constructed racisms of the nationalist framework. In </w:t>
      </w:r>
      <w:r w:rsidRPr="002650CB">
        <w:rPr>
          <w:rFonts w:ascii="Garamond" w:hAnsi="Garamond"/>
          <w:i/>
          <w:sz w:val="24"/>
          <w:szCs w:val="24"/>
        </w:rPr>
        <w:t>Solidarity</w:t>
      </w:r>
      <w:r w:rsidRPr="002650CB">
        <w:rPr>
          <w:rFonts w:ascii="Garamond" w:hAnsi="Garamond"/>
          <w:sz w:val="24"/>
          <w:szCs w:val="24"/>
        </w:rPr>
        <w:t>, David Featherstone points to Michel Rolph Trouillot's work on the silencing of the Haitian revolution in Briti</w:t>
      </w:r>
      <w:r>
        <w:rPr>
          <w:rFonts w:ascii="Garamond" w:hAnsi="Garamond"/>
          <w:sz w:val="24"/>
          <w:szCs w:val="24"/>
        </w:rPr>
        <w:t>sh and French histories of anti</w:t>
      </w:r>
      <w:r w:rsidRPr="002650CB">
        <w:rPr>
          <w:rFonts w:ascii="Garamond" w:hAnsi="Garamond"/>
          <w:sz w:val="24"/>
          <w:szCs w:val="24"/>
        </w:rPr>
        <w:t>slavery. Paraphrasing Linebaugh, Feathersto</w:t>
      </w:r>
      <w:r w:rsidR="00DD5ACC">
        <w:rPr>
          <w:rFonts w:ascii="Garamond" w:hAnsi="Garamond"/>
          <w:sz w:val="24"/>
          <w:szCs w:val="24"/>
        </w:rPr>
        <w:t>ne continues that the silencing</w:t>
      </w:r>
      <w:r w:rsidRPr="002650CB">
        <w:rPr>
          <w:rFonts w:ascii="Garamond" w:hAnsi="Garamond"/>
          <w:sz w:val="24"/>
          <w:szCs w:val="24"/>
        </w:rPr>
        <w:t xml:space="preserve"> of internationalist perspectives is not uncommon in nationalist histories concerned with the work of social movements:</w:t>
      </w:r>
    </w:p>
    <w:p w:rsidR="00A371B8" w:rsidRPr="00733273" w:rsidRDefault="00A371B8" w:rsidP="00A371B8">
      <w:pPr>
        <w:autoSpaceDE w:val="0"/>
        <w:autoSpaceDN w:val="0"/>
        <w:adjustRightInd w:val="0"/>
        <w:spacing w:after="0" w:line="360" w:lineRule="auto"/>
        <w:jc w:val="both"/>
        <w:rPr>
          <w:rFonts w:ascii="Garamond" w:hAnsi="Garamond"/>
          <w:b/>
          <w:sz w:val="24"/>
          <w:szCs w:val="24"/>
        </w:rPr>
      </w:pPr>
    </w:p>
    <w:p w:rsidR="00A371B8" w:rsidRDefault="00A371B8" w:rsidP="00A371B8">
      <w:pPr>
        <w:spacing w:after="0" w:line="360" w:lineRule="auto"/>
        <w:ind w:left="284" w:right="284"/>
        <w:jc w:val="both"/>
        <w:rPr>
          <w:rFonts w:ascii="Garamond" w:hAnsi="Garamond"/>
        </w:rPr>
      </w:pPr>
      <w:r w:rsidRPr="002650CB">
        <w:rPr>
          <w:rFonts w:ascii="Garamond" w:hAnsi="Garamond"/>
        </w:rPr>
        <w:t xml:space="preserve">Nationalist framings of histories have a particular culpability for confining political struggles and movements within 'so many ethnically and econometrically defined cemetery plots. (Linebaugh, 1988: 216 in Featherstone, 2012: 61) </w:t>
      </w:r>
    </w:p>
    <w:p w:rsidR="00A371B8" w:rsidRPr="002650CB" w:rsidRDefault="00A371B8" w:rsidP="00A371B8">
      <w:pPr>
        <w:spacing w:after="0" w:line="360" w:lineRule="auto"/>
        <w:ind w:left="284" w:right="284"/>
        <w:jc w:val="both"/>
        <w:rPr>
          <w:rFonts w:ascii="Garamond" w:hAnsi="Garamond"/>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 xml:space="preserve">Linebaugh's 'Cemetery plots' resonate with nationalist framings of the BOA in anti-apartheid. Limited by the debilitating effects of a stroke suffered in 1991, the former BOA leader was unable to contribute to the process of historicising and archiving Dutch anti-apartheid history. In the eyes of du Plessis, Bosgra's (2008) five hundred words on the BOA in the SADET publication were largely deleterious -  "an obituary to the BOA" (du Plessis, interview 2012).  In 2008, du Plessis recovered from his stroke sufficiently </w:t>
      </w:r>
      <w:r w:rsidRPr="002650CB">
        <w:rPr>
          <w:rFonts w:ascii="Garamond" w:hAnsi="Garamond"/>
          <w:sz w:val="24"/>
          <w:szCs w:val="24"/>
        </w:rPr>
        <w:lastRenderedPageBreak/>
        <w:t>enough to travel to the BOA archives in Cape Town, and the following year he wrote an open letter to SADET, to the Dutch press, to Sietse Bosgra, and to Kier Schuringa at the IISH to ask that Bosgra amend his secti</w:t>
      </w:r>
      <w:r w:rsidR="006F323A">
        <w:rPr>
          <w:rFonts w:ascii="Garamond" w:hAnsi="Garamond"/>
          <w:sz w:val="24"/>
          <w:szCs w:val="24"/>
        </w:rPr>
        <w:t>on on the BOA. As explained in Chapter T</w:t>
      </w:r>
      <w:r w:rsidRPr="002650CB">
        <w:rPr>
          <w:rFonts w:ascii="Garamond" w:hAnsi="Garamond"/>
          <w:sz w:val="24"/>
          <w:szCs w:val="24"/>
        </w:rPr>
        <w:t>hree</w:t>
      </w:r>
      <w:r w:rsidR="006F323A">
        <w:rPr>
          <w:rFonts w:ascii="Garamond" w:hAnsi="Garamond"/>
          <w:sz w:val="24"/>
          <w:szCs w:val="24"/>
        </w:rPr>
        <w:t>,</w:t>
      </w:r>
      <w:r w:rsidRPr="002650CB">
        <w:rPr>
          <w:rFonts w:ascii="Garamond" w:hAnsi="Garamond"/>
          <w:sz w:val="24"/>
          <w:szCs w:val="24"/>
        </w:rPr>
        <w:t xml:space="preserve"> this request was refused by Bosgra who defended his opinions by pointing to du Plessis' hi</w:t>
      </w:r>
      <w:r w:rsidR="006F323A">
        <w:rPr>
          <w:rFonts w:ascii="Garamond" w:hAnsi="Garamond"/>
          <w:sz w:val="24"/>
          <w:szCs w:val="24"/>
        </w:rPr>
        <w:t>story of attacking</w:t>
      </w:r>
      <w:r w:rsidRPr="002650CB">
        <w:rPr>
          <w:rFonts w:ascii="Garamond" w:hAnsi="Garamond"/>
          <w:sz w:val="24"/>
          <w:szCs w:val="24"/>
        </w:rPr>
        <w:t xml:space="preserve"> white Dutchmen, and his 'self-identification' as a "coloured South African exile" (2009: 6), "qualified to talk about the suffering of the black population":</w:t>
      </w:r>
      <w:r w:rsidRPr="002650CB">
        <w:rPr>
          <w:rStyle w:val="FootnoteReference"/>
          <w:rFonts w:ascii="Garamond" w:hAnsi="Garamond"/>
          <w:sz w:val="24"/>
          <w:szCs w:val="24"/>
        </w:rPr>
        <w:footnoteReference w:id="302"/>
      </w:r>
    </w:p>
    <w:p w:rsidR="00A371B8" w:rsidRPr="002650CB" w:rsidRDefault="00A371B8" w:rsidP="00A371B8">
      <w:pPr>
        <w:spacing w:after="0" w:line="360" w:lineRule="auto"/>
        <w:jc w:val="both"/>
        <w:rPr>
          <w:rFonts w:ascii="Garamond" w:hAnsi="Garamond"/>
          <w:sz w:val="24"/>
          <w:szCs w:val="24"/>
        </w:rPr>
      </w:pPr>
    </w:p>
    <w:p w:rsidR="00A371B8" w:rsidRDefault="00A371B8" w:rsidP="00A371B8">
      <w:pPr>
        <w:spacing w:after="0" w:line="360" w:lineRule="auto"/>
        <w:ind w:left="284" w:right="284"/>
        <w:jc w:val="both"/>
        <w:rPr>
          <w:rFonts w:ascii="Garamond" w:hAnsi="Garamond"/>
        </w:rPr>
      </w:pPr>
      <w:r w:rsidRPr="002650CB">
        <w:rPr>
          <w:rFonts w:ascii="Garamond" w:hAnsi="Garamond"/>
        </w:rPr>
        <w:t>During his stay in the Netherlands Esau tried to increase support amongs</w:t>
      </w:r>
      <w:r w:rsidR="00DD5ACC">
        <w:rPr>
          <w:rFonts w:ascii="Garamond" w:hAnsi="Garamond"/>
        </w:rPr>
        <w:t xml:space="preserve">t the Dutch population for the </w:t>
      </w:r>
      <w:r w:rsidRPr="002650CB">
        <w:rPr>
          <w:rFonts w:ascii="Garamond" w:hAnsi="Garamond"/>
        </w:rPr>
        <w:t>anti-apartheid struggle by accusing his audience in interviews and at meetings of being racists and at the origin of South African apartheid. From his Open Letter is becom</w:t>
      </w:r>
      <w:r w:rsidR="006F323A">
        <w:rPr>
          <w:rFonts w:ascii="Garamond" w:hAnsi="Garamond"/>
        </w:rPr>
        <w:t>es clear he still cherishes the</w:t>
      </w:r>
      <w:r w:rsidRPr="002650CB">
        <w:rPr>
          <w:rFonts w:ascii="Garamond" w:hAnsi="Garamond"/>
        </w:rPr>
        <w:t xml:space="preserve"> same negative attitude to the Dutch public. (ibid., 2009: 6)</w:t>
      </w:r>
    </w:p>
    <w:p w:rsidR="00A371B8" w:rsidRPr="002650CB" w:rsidRDefault="00A371B8" w:rsidP="00A371B8">
      <w:pPr>
        <w:spacing w:after="0" w:line="360" w:lineRule="auto"/>
        <w:ind w:left="284" w:right="284"/>
        <w:jc w:val="both"/>
        <w:rPr>
          <w:rFonts w:ascii="Garamond" w:hAnsi="Garamond"/>
        </w:rPr>
      </w:pPr>
    </w:p>
    <w:p w:rsidR="00A371B8" w:rsidRDefault="00A371B8" w:rsidP="00A371B8">
      <w:pPr>
        <w:spacing w:after="0" w:line="360" w:lineRule="auto"/>
        <w:jc w:val="both"/>
        <w:rPr>
          <w:rFonts w:ascii="Garamond" w:hAnsi="Garamond"/>
          <w:sz w:val="24"/>
          <w:szCs w:val="24"/>
        </w:rPr>
      </w:pPr>
      <w:r w:rsidRPr="002650CB">
        <w:rPr>
          <w:rFonts w:ascii="Garamond" w:hAnsi="Garamond"/>
          <w:sz w:val="24"/>
          <w:szCs w:val="24"/>
        </w:rPr>
        <w:t>Post-r</w:t>
      </w:r>
      <w:r>
        <w:rPr>
          <w:rFonts w:ascii="Garamond" w:hAnsi="Garamond"/>
          <w:sz w:val="24"/>
          <w:szCs w:val="24"/>
        </w:rPr>
        <w:t xml:space="preserve">acialism Lentin </w:t>
      </w:r>
      <w:r w:rsidR="00F152DB">
        <w:rPr>
          <w:rFonts w:ascii="Garamond" w:hAnsi="Garamond"/>
          <w:sz w:val="24"/>
          <w:szCs w:val="24"/>
        </w:rPr>
        <w:t>and</w:t>
      </w:r>
      <w:r>
        <w:rPr>
          <w:rFonts w:ascii="Garamond" w:hAnsi="Garamond"/>
          <w:sz w:val="24"/>
          <w:szCs w:val="24"/>
        </w:rPr>
        <w:t xml:space="preserve"> Titley suggest</w:t>
      </w:r>
      <w:r w:rsidR="006F323A">
        <w:rPr>
          <w:rFonts w:ascii="Garamond" w:hAnsi="Garamond"/>
          <w:sz w:val="24"/>
          <w:szCs w:val="24"/>
        </w:rPr>
        <w:t xml:space="preserve">, </w:t>
      </w:r>
      <w:r w:rsidR="006F323A" w:rsidRPr="002650CB">
        <w:rPr>
          <w:rFonts w:ascii="Garamond" w:hAnsi="Garamond"/>
          <w:sz w:val="24"/>
          <w:szCs w:val="24"/>
        </w:rPr>
        <w:t>"</w:t>
      </w:r>
      <w:r w:rsidRPr="002650CB">
        <w:rPr>
          <w:rFonts w:ascii="Garamond" w:hAnsi="Garamond"/>
          <w:sz w:val="24"/>
          <w:szCs w:val="24"/>
        </w:rPr>
        <w:t>denies the salience of race in the live</w:t>
      </w:r>
      <w:r w:rsidR="006F323A">
        <w:rPr>
          <w:rFonts w:ascii="Garamond" w:hAnsi="Garamond"/>
          <w:sz w:val="24"/>
          <w:szCs w:val="24"/>
        </w:rPr>
        <w:t>d experiences of the racialized</w:t>
      </w:r>
      <w:r w:rsidR="006F323A" w:rsidRPr="002650CB">
        <w:rPr>
          <w:rFonts w:ascii="Garamond" w:hAnsi="Garamond"/>
          <w:sz w:val="24"/>
          <w:szCs w:val="24"/>
        </w:rPr>
        <w:t>"</w:t>
      </w:r>
      <w:r w:rsidRPr="002650CB">
        <w:rPr>
          <w:rFonts w:ascii="Garamond" w:hAnsi="Garamond"/>
          <w:sz w:val="24"/>
          <w:szCs w:val="24"/>
        </w:rPr>
        <w:t xml:space="preserve"> and locates racism as a "historical relic" of fascism, apartheid South Afr</w:t>
      </w:r>
      <w:r>
        <w:rPr>
          <w:rFonts w:ascii="Garamond" w:hAnsi="Garamond"/>
          <w:sz w:val="24"/>
          <w:szCs w:val="24"/>
        </w:rPr>
        <w:t xml:space="preserve">ica and colonialism (2011; 79). </w:t>
      </w:r>
      <w:r w:rsidRPr="002650CB">
        <w:rPr>
          <w:rFonts w:ascii="Garamond" w:hAnsi="Garamond"/>
          <w:sz w:val="24"/>
          <w:szCs w:val="24"/>
        </w:rPr>
        <w:t xml:space="preserve">With du Plessis active again, and SADET publishing his open letter on their South African website, it is clear that the BOA are being brought into historical consciousness. </w:t>
      </w:r>
      <w:r>
        <w:rPr>
          <w:rFonts w:ascii="Garamond" w:hAnsi="Garamond"/>
          <w:sz w:val="24"/>
          <w:szCs w:val="24"/>
        </w:rPr>
        <w:t>Things have improved</w:t>
      </w:r>
      <w:r w:rsidRPr="002650CB">
        <w:rPr>
          <w:rFonts w:ascii="Garamond" w:hAnsi="Garamond"/>
          <w:sz w:val="24"/>
          <w:szCs w:val="24"/>
        </w:rPr>
        <w:t>; BOA images and campaign materials are now extensively available on the IISH website, and the historical insti</w:t>
      </w:r>
      <w:r>
        <w:rPr>
          <w:rFonts w:ascii="Garamond" w:hAnsi="Garamond"/>
          <w:sz w:val="24"/>
          <w:szCs w:val="24"/>
        </w:rPr>
        <w:t>tute also published du Plessis'</w:t>
      </w:r>
      <w:r w:rsidRPr="002650CB">
        <w:rPr>
          <w:rFonts w:ascii="Garamond" w:hAnsi="Garamond"/>
          <w:sz w:val="24"/>
          <w:szCs w:val="24"/>
        </w:rPr>
        <w:t xml:space="preserve"> open letter alongside Bosgra's response. As of October 2013 Roeland Mukens' thesis on Dutch anti-apartheid has been successfully defended. The chapter on the BOA reads as a fascinating balancing act between three main protagonists (Bosgra, Connie Braam the former leader of the AABN and du Plessis). The chapter is introduced largely through the testimony of Connie Braam whose organization </w:t>
      </w:r>
      <w:r>
        <w:rPr>
          <w:rFonts w:ascii="Garamond" w:hAnsi="Garamond"/>
          <w:sz w:val="24"/>
          <w:szCs w:val="24"/>
        </w:rPr>
        <w:t>(</w:t>
      </w:r>
      <w:r w:rsidRPr="002650CB">
        <w:rPr>
          <w:rFonts w:ascii="Garamond" w:hAnsi="Garamond"/>
          <w:sz w:val="24"/>
          <w:szCs w:val="24"/>
        </w:rPr>
        <w:t>the AABN</w:t>
      </w:r>
      <w:r>
        <w:rPr>
          <w:rFonts w:ascii="Garamond" w:hAnsi="Garamond"/>
          <w:sz w:val="24"/>
          <w:szCs w:val="24"/>
        </w:rPr>
        <w:t>) had</w:t>
      </w:r>
      <w:r w:rsidRPr="002650CB">
        <w:rPr>
          <w:rFonts w:ascii="Garamond" w:hAnsi="Garamond"/>
          <w:sz w:val="24"/>
          <w:szCs w:val="24"/>
        </w:rPr>
        <w:t xml:space="preserve"> no interest in working with t</w:t>
      </w:r>
      <w:r>
        <w:rPr>
          <w:rFonts w:ascii="Garamond" w:hAnsi="Garamond"/>
          <w:sz w:val="24"/>
          <w:szCs w:val="24"/>
        </w:rPr>
        <w:t>he BOA</w:t>
      </w:r>
      <w:r w:rsidR="00DD5ACC">
        <w:rPr>
          <w:rFonts w:ascii="Garamond" w:hAnsi="Garamond"/>
          <w:sz w:val="24"/>
          <w:szCs w:val="24"/>
        </w:rPr>
        <w:t xml:space="preserve"> over the Outspan boycott (see Chapter T</w:t>
      </w:r>
      <w:r>
        <w:rPr>
          <w:rFonts w:ascii="Garamond" w:hAnsi="Garamond"/>
          <w:sz w:val="24"/>
          <w:szCs w:val="24"/>
        </w:rPr>
        <w:t>hree).</w:t>
      </w:r>
    </w:p>
    <w:p w:rsidR="00A371B8" w:rsidRPr="002650CB" w:rsidRDefault="00A371B8" w:rsidP="00A371B8">
      <w:pPr>
        <w:spacing w:after="0" w:line="360" w:lineRule="auto"/>
        <w:jc w:val="both"/>
        <w:rPr>
          <w:rFonts w:ascii="Garamond" w:hAnsi="Garamond"/>
          <w:sz w:val="24"/>
          <w:szCs w:val="24"/>
        </w:rPr>
      </w:pPr>
    </w:p>
    <w:p w:rsidR="00A371B8" w:rsidRDefault="00A371B8" w:rsidP="00A371B8">
      <w:pPr>
        <w:spacing w:after="0" w:line="360" w:lineRule="auto"/>
        <w:jc w:val="both"/>
        <w:rPr>
          <w:rFonts w:ascii="Garamond" w:hAnsi="Garamond"/>
          <w:sz w:val="24"/>
          <w:szCs w:val="24"/>
        </w:rPr>
      </w:pPr>
      <w:r>
        <w:rPr>
          <w:rFonts w:ascii="Garamond" w:hAnsi="Garamond"/>
          <w:sz w:val="24"/>
          <w:szCs w:val="24"/>
        </w:rPr>
        <w:t xml:space="preserve">According to Muskens, "Connie Braam was very casual about her relationship with du Plessis, and argued that du Plessis could never take criticisms" (Muskens, 2013: 1-2). Unpleasant examples of </w:t>
      </w:r>
      <w:r w:rsidRPr="002650CB">
        <w:rPr>
          <w:rFonts w:ascii="Garamond" w:hAnsi="Garamond"/>
          <w:sz w:val="24"/>
          <w:szCs w:val="24"/>
        </w:rPr>
        <w:t>du Plessis</w:t>
      </w:r>
      <w:r>
        <w:rPr>
          <w:rFonts w:ascii="Garamond" w:hAnsi="Garamond"/>
          <w:sz w:val="24"/>
          <w:szCs w:val="24"/>
        </w:rPr>
        <w:t>' character as offensive, abusive and threatening (2013: 3)</w:t>
      </w:r>
      <w:r w:rsidRPr="002650CB">
        <w:rPr>
          <w:rFonts w:ascii="Garamond" w:hAnsi="Garamond"/>
          <w:sz w:val="24"/>
          <w:szCs w:val="24"/>
        </w:rPr>
        <w:t xml:space="preserve"> </w:t>
      </w:r>
      <w:r>
        <w:rPr>
          <w:rFonts w:ascii="Garamond" w:hAnsi="Garamond"/>
          <w:sz w:val="24"/>
          <w:szCs w:val="24"/>
        </w:rPr>
        <w:t>are</w:t>
      </w:r>
      <w:r w:rsidRPr="002650CB">
        <w:rPr>
          <w:rFonts w:ascii="Garamond" w:hAnsi="Garamond"/>
          <w:sz w:val="24"/>
          <w:szCs w:val="24"/>
        </w:rPr>
        <w:t xml:space="preserve"> </w:t>
      </w:r>
      <w:r>
        <w:rPr>
          <w:rFonts w:ascii="Garamond" w:hAnsi="Garamond"/>
          <w:sz w:val="24"/>
          <w:szCs w:val="24"/>
        </w:rPr>
        <w:t xml:space="preserve">made an example from a letter from Theo Veerman in the late 1970s following an argument between du Plessis and the BOA splinter 'Policy Group' (interview du Plessis, </w:t>
      </w:r>
      <w:r>
        <w:rPr>
          <w:rFonts w:ascii="Garamond" w:hAnsi="Garamond"/>
          <w:sz w:val="24"/>
          <w:szCs w:val="24"/>
        </w:rPr>
        <w:lastRenderedPageBreak/>
        <w:t>2013).</w:t>
      </w:r>
      <w:r>
        <w:rPr>
          <w:rStyle w:val="FootnoteReference"/>
          <w:rFonts w:ascii="Garamond" w:hAnsi="Garamond"/>
          <w:sz w:val="24"/>
          <w:szCs w:val="24"/>
        </w:rPr>
        <w:footnoteReference w:id="303"/>
      </w:r>
      <w:r>
        <w:rPr>
          <w:rFonts w:ascii="Garamond" w:hAnsi="Garamond"/>
          <w:sz w:val="24"/>
          <w:szCs w:val="24"/>
        </w:rPr>
        <w:t xml:space="preserve"> Muskens presents these personal characteristics as reasons for BOA 'failures'</w:t>
      </w:r>
      <w:r w:rsidRPr="002650CB">
        <w:rPr>
          <w:rFonts w:ascii="Garamond" w:hAnsi="Garamond"/>
          <w:sz w:val="24"/>
          <w:szCs w:val="24"/>
        </w:rPr>
        <w:t>; in similarity to Bosgra's account</w:t>
      </w:r>
      <w:r>
        <w:rPr>
          <w:rFonts w:ascii="Garamond" w:hAnsi="Garamond"/>
          <w:sz w:val="24"/>
          <w:szCs w:val="24"/>
        </w:rPr>
        <w:t>,</w:t>
      </w:r>
      <w:r w:rsidRPr="002650CB">
        <w:rPr>
          <w:rFonts w:ascii="Garamond" w:hAnsi="Garamond"/>
          <w:sz w:val="24"/>
          <w:szCs w:val="24"/>
        </w:rPr>
        <w:t xml:space="preserve"> Muskens' findings suggest that the negative reactions to the BOA were located around the leader's commitment to antiracism:</w:t>
      </w:r>
    </w:p>
    <w:p w:rsidR="00A371B8" w:rsidRPr="002650CB" w:rsidRDefault="00A371B8" w:rsidP="00A371B8">
      <w:pPr>
        <w:spacing w:after="0" w:line="360" w:lineRule="auto"/>
        <w:jc w:val="both"/>
        <w:rPr>
          <w:rFonts w:ascii="Garamond" w:hAnsi="Garamond"/>
          <w:sz w:val="24"/>
          <w:szCs w:val="24"/>
        </w:rPr>
      </w:pPr>
    </w:p>
    <w:p w:rsidR="00A371B8" w:rsidRPr="002650CB" w:rsidRDefault="00A371B8" w:rsidP="00A371B8">
      <w:pPr>
        <w:spacing w:after="0" w:line="360" w:lineRule="auto"/>
        <w:ind w:left="284" w:right="284"/>
        <w:jc w:val="both"/>
        <w:rPr>
          <w:rFonts w:ascii="Garamond" w:hAnsi="Garamond"/>
        </w:rPr>
      </w:pPr>
      <w:r w:rsidRPr="002650CB">
        <w:rPr>
          <w:rFonts w:ascii="Garamond" w:hAnsi="Garamond"/>
        </w:rPr>
        <w:t>Many people certainly supporters of the anti-apartheid movement took offence at times at hard accusations of racism by Du Plessis. That does not mean that Du Plessis was per sé mistaken. As matter of fact the anti-apartheid in The Netherlands was largely ‘an all-white’ organization, in which Surinamese  and Antillean Dutch people hardly played a role. But fact is that accusation of racism in the direction of potential political supporters did not contribute to power of recruitment to the organization. The BOA hardly participated in the massive anti-apartheid campaigns at the end of the eighties which took place in The Netherlands. Du Plessis precisely criti</w:t>
      </w:r>
      <w:r>
        <w:rPr>
          <w:rFonts w:ascii="Garamond" w:hAnsi="Garamond"/>
        </w:rPr>
        <w:t>ci</w:t>
      </w:r>
      <w:r w:rsidRPr="002650CB">
        <w:rPr>
          <w:rFonts w:ascii="Garamond" w:hAnsi="Garamond"/>
        </w:rPr>
        <w:t>sed the “We are good and they are bad” feelings which formed the undercurrent of these campaigns. According to Du Plessis it was essential to link the combating of apartheid in South Africa with anti-racism in The Netherlands, an analysis which is incidentally also made by ‘ideologies’ of the violent anti-apartheid actions which took place in the second half of the eighties</w:t>
      </w:r>
      <w:r>
        <w:rPr>
          <w:rFonts w:ascii="Garamond" w:hAnsi="Garamond"/>
        </w:rPr>
        <w:t>. (Muskens, 2013: 14-15)</w:t>
      </w:r>
      <w:r>
        <w:rPr>
          <w:rStyle w:val="FootnoteReference"/>
          <w:rFonts w:ascii="Garamond" w:hAnsi="Garamond"/>
        </w:rPr>
        <w:footnoteReference w:id="304"/>
      </w:r>
    </w:p>
    <w:p w:rsidR="00A371B8" w:rsidRPr="002650CB" w:rsidRDefault="00A371B8" w:rsidP="00A371B8">
      <w:pPr>
        <w:autoSpaceDE w:val="0"/>
        <w:autoSpaceDN w:val="0"/>
        <w:adjustRightInd w:val="0"/>
        <w:spacing w:after="0" w:line="360" w:lineRule="auto"/>
        <w:jc w:val="both"/>
        <w:rPr>
          <w:rFonts w:ascii="Garamond" w:hAnsi="Garamond"/>
          <w:b/>
          <w:sz w:val="24"/>
          <w:szCs w:val="24"/>
        </w:rPr>
      </w:pPr>
    </w:p>
    <w:p w:rsidR="00D5435A" w:rsidRDefault="00A371B8" w:rsidP="00A371B8">
      <w:pPr>
        <w:spacing w:after="0" w:line="360" w:lineRule="auto"/>
        <w:jc w:val="both"/>
        <w:rPr>
          <w:rFonts w:ascii="Garamond" w:hAnsi="Garamond"/>
          <w:sz w:val="24"/>
          <w:szCs w:val="24"/>
        </w:rPr>
      </w:pPr>
      <w:r>
        <w:rPr>
          <w:rFonts w:ascii="Garamond" w:hAnsi="Garamond"/>
          <w:sz w:val="24"/>
          <w:szCs w:val="24"/>
        </w:rPr>
        <w:t xml:space="preserve">This extract from the concluding paragraph to the chapter exemplifies the unacknowledged tension running through Muskens' narrative between the nationalist framework for understanding apartheid on the one hand, and the BOA's doctrine of racism here, apartheid there. The potential for du Plessis to 'not be mistaken' and for racism to exist in Dutch anti-apartheid is outlined (these additions were made after Muskens finally interviewed du Plessis in June 2013), but by linking the BOA's antiracism to the philosophies of 'violent' anti-apartheid groups, Muskens questions the integrity of this perspective. Although tensions between both positions are apparent, du Plessis is </w:t>
      </w:r>
      <w:r w:rsidR="006F323A">
        <w:rPr>
          <w:rFonts w:ascii="Garamond" w:hAnsi="Garamond"/>
          <w:sz w:val="24"/>
          <w:szCs w:val="24"/>
        </w:rPr>
        <w:t>presented as a difficult figure in the quotations from Braam and Bosgra in Muskens’ chapter on the BOA. Du Plessis emergers as a</w:t>
      </w:r>
      <w:r>
        <w:rPr>
          <w:rFonts w:ascii="Garamond" w:hAnsi="Garamond"/>
          <w:sz w:val="24"/>
          <w:szCs w:val="24"/>
        </w:rPr>
        <w:t xml:space="preserve"> dissenter and outsider in relation to both Dutch anti-apartheid and the organization he founded and co-ordinated for nearly twenty years.</w:t>
      </w:r>
      <w:r w:rsidRPr="002650CB">
        <w:rPr>
          <w:rFonts w:ascii="Garamond" w:hAnsi="Garamond"/>
          <w:sz w:val="24"/>
          <w:szCs w:val="24"/>
        </w:rPr>
        <w:t xml:space="preserve"> </w:t>
      </w:r>
    </w:p>
    <w:p w:rsidR="00D5435A" w:rsidRDefault="00D5435A" w:rsidP="00A371B8">
      <w:pPr>
        <w:spacing w:after="0" w:line="360" w:lineRule="auto"/>
        <w:jc w:val="both"/>
        <w:rPr>
          <w:rFonts w:ascii="Garamond" w:hAnsi="Garamond"/>
          <w:sz w:val="24"/>
          <w:szCs w:val="24"/>
        </w:rPr>
      </w:pPr>
    </w:p>
    <w:p w:rsidR="008A2663" w:rsidRDefault="008A2663" w:rsidP="00A371B8">
      <w:pPr>
        <w:spacing w:after="0" w:line="360" w:lineRule="auto"/>
        <w:jc w:val="both"/>
        <w:rPr>
          <w:rFonts w:ascii="Garamond" w:hAnsi="Garamond"/>
          <w:sz w:val="24"/>
          <w:szCs w:val="24"/>
        </w:rPr>
        <w:sectPr w:rsidR="008A2663">
          <w:pgSz w:w="11900" w:h="16840"/>
          <w:pgMar w:top="1440" w:right="1797" w:bottom="1134" w:left="1797" w:header="709" w:footer="709" w:gutter="0"/>
          <w:cols w:space="708"/>
        </w:sectPr>
      </w:pPr>
    </w:p>
    <w:p w:rsidR="008A2663" w:rsidRPr="008A2663" w:rsidRDefault="008A2663" w:rsidP="008A2663">
      <w:pPr>
        <w:pStyle w:val="Heading1"/>
        <w:spacing w:before="0" w:line="360" w:lineRule="auto"/>
        <w:jc w:val="right"/>
        <w:rPr>
          <w:rFonts w:ascii="Garamond" w:hAnsi="Garamond"/>
          <w:color w:val="auto"/>
          <w:sz w:val="28"/>
        </w:rPr>
      </w:pPr>
      <w:bookmarkStart w:id="906" w:name="_Toc244578415"/>
      <w:bookmarkStart w:id="907" w:name="_Toc244578799"/>
      <w:bookmarkStart w:id="908" w:name="_Toc263452050"/>
      <w:bookmarkStart w:id="909" w:name="_Toc263510968"/>
      <w:r w:rsidRPr="008A2663">
        <w:rPr>
          <w:rFonts w:ascii="Garamond" w:hAnsi="Garamond"/>
          <w:color w:val="auto"/>
          <w:sz w:val="28"/>
        </w:rPr>
        <w:lastRenderedPageBreak/>
        <w:t>Chapter Eight</w:t>
      </w:r>
      <w:bookmarkEnd w:id="906"/>
      <w:bookmarkEnd w:id="907"/>
      <w:bookmarkEnd w:id="908"/>
      <w:bookmarkEnd w:id="909"/>
    </w:p>
    <w:p w:rsidR="008A2663" w:rsidRPr="008A2663" w:rsidRDefault="004B3DC8" w:rsidP="004B3DC8">
      <w:pPr>
        <w:pStyle w:val="Heading1"/>
        <w:tabs>
          <w:tab w:val="left" w:pos="6720"/>
        </w:tabs>
        <w:spacing w:before="0" w:line="360" w:lineRule="auto"/>
        <w:rPr>
          <w:rFonts w:ascii="Garamond" w:hAnsi="Garamond"/>
          <w:color w:val="auto"/>
          <w:sz w:val="28"/>
        </w:rPr>
      </w:pPr>
      <w:r>
        <w:rPr>
          <w:rFonts w:ascii="Garamond" w:hAnsi="Garamond"/>
          <w:color w:val="auto"/>
          <w:sz w:val="28"/>
        </w:rPr>
        <w:tab/>
      </w:r>
    </w:p>
    <w:p w:rsidR="008A2663" w:rsidRPr="008A2663" w:rsidRDefault="008A2663" w:rsidP="008A2663">
      <w:pPr>
        <w:pStyle w:val="Heading1"/>
        <w:spacing w:before="0" w:line="360" w:lineRule="auto"/>
        <w:rPr>
          <w:rFonts w:ascii="Garamond" w:hAnsi="Garamond"/>
          <w:color w:val="auto"/>
          <w:sz w:val="28"/>
        </w:rPr>
      </w:pPr>
      <w:bookmarkStart w:id="910" w:name="_Toc244578416"/>
      <w:bookmarkStart w:id="911" w:name="_Toc244578800"/>
      <w:bookmarkStart w:id="912" w:name="_Toc263452051"/>
      <w:bookmarkStart w:id="913" w:name="_Toc263510969"/>
      <w:r w:rsidRPr="008A2663">
        <w:rPr>
          <w:rFonts w:ascii="Garamond" w:hAnsi="Garamond"/>
          <w:color w:val="auto"/>
          <w:sz w:val="28"/>
        </w:rPr>
        <w:t>Conclusions: Consumer boycotts and world-making process</w:t>
      </w:r>
      <w:bookmarkEnd w:id="910"/>
      <w:bookmarkEnd w:id="911"/>
      <w:bookmarkEnd w:id="912"/>
      <w:bookmarkEnd w:id="913"/>
    </w:p>
    <w:p w:rsidR="008A2663" w:rsidRPr="006A47E1" w:rsidRDefault="008A2663" w:rsidP="008A2663">
      <w:pPr>
        <w:spacing w:after="0" w:line="360" w:lineRule="auto"/>
        <w:jc w:val="both"/>
        <w:rPr>
          <w:rFonts w:ascii="Garamond" w:hAnsi="Garamond"/>
          <w:b/>
          <w:sz w:val="24"/>
          <w:szCs w:val="24"/>
        </w:rPr>
      </w:pPr>
    </w:p>
    <w:p w:rsidR="008A2663" w:rsidRPr="006A47E1" w:rsidRDefault="008A2663" w:rsidP="008A2663">
      <w:pPr>
        <w:pStyle w:val="Heading2"/>
      </w:pPr>
      <w:bookmarkStart w:id="914" w:name="_Toc244578417"/>
      <w:bookmarkStart w:id="915" w:name="_Toc244578801"/>
      <w:bookmarkStart w:id="916" w:name="_Toc263452052"/>
      <w:bookmarkStart w:id="917" w:name="_Toc263510970"/>
      <w:r w:rsidRPr="006A47E1">
        <w:t>Introduction</w:t>
      </w:r>
      <w:bookmarkEnd w:id="914"/>
      <w:bookmarkEnd w:id="915"/>
      <w:bookmarkEnd w:id="916"/>
      <w:bookmarkEnd w:id="917"/>
    </w:p>
    <w:p w:rsidR="008A2663" w:rsidRDefault="008A2663" w:rsidP="008A2663">
      <w:pPr>
        <w:spacing w:line="360" w:lineRule="auto"/>
        <w:jc w:val="both"/>
        <w:rPr>
          <w:rFonts w:ascii="Garamond" w:hAnsi="Garamond"/>
          <w:sz w:val="24"/>
          <w:szCs w:val="24"/>
        </w:rPr>
      </w:pPr>
    </w:p>
    <w:p w:rsidR="008A2663" w:rsidRDefault="008A2663" w:rsidP="008A2663">
      <w:pPr>
        <w:spacing w:line="360" w:lineRule="auto"/>
        <w:jc w:val="both"/>
        <w:rPr>
          <w:rFonts w:ascii="Garamond" w:hAnsi="Garamond"/>
          <w:sz w:val="24"/>
          <w:szCs w:val="24"/>
        </w:rPr>
      </w:pPr>
      <w:r>
        <w:rPr>
          <w:rFonts w:ascii="Garamond" w:hAnsi="Garamond"/>
          <w:sz w:val="24"/>
          <w:szCs w:val="24"/>
        </w:rPr>
        <w:t>With a focus on citrus and chocolate activism, I</w:t>
      </w:r>
      <w:r w:rsidRPr="00645514">
        <w:rPr>
          <w:rFonts w:ascii="Garamond" w:hAnsi="Garamond"/>
          <w:sz w:val="24"/>
          <w:szCs w:val="24"/>
        </w:rPr>
        <w:t xml:space="preserve"> b</w:t>
      </w:r>
      <w:r>
        <w:rPr>
          <w:rFonts w:ascii="Garamond" w:hAnsi="Garamond"/>
          <w:sz w:val="24"/>
          <w:szCs w:val="24"/>
        </w:rPr>
        <w:t>egan this thesis with the aim of</w:t>
      </w:r>
      <w:r w:rsidRPr="00645514">
        <w:rPr>
          <w:rFonts w:ascii="Garamond" w:hAnsi="Garamond"/>
          <w:sz w:val="24"/>
          <w:szCs w:val="24"/>
        </w:rPr>
        <w:t xml:space="preserve"> expand</w:t>
      </w:r>
      <w:r>
        <w:rPr>
          <w:rFonts w:ascii="Garamond" w:hAnsi="Garamond"/>
          <w:sz w:val="24"/>
          <w:szCs w:val="24"/>
        </w:rPr>
        <w:t>ing</w:t>
      </w:r>
      <w:r w:rsidRPr="00645514">
        <w:rPr>
          <w:rFonts w:ascii="Garamond" w:hAnsi="Garamond"/>
          <w:sz w:val="24"/>
          <w:szCs w:val="24"/>
        </w:rPr>
        <w:t xml:space="preserve"> underst</w:t>
      </w:r>
      <w:r>
        <w:rPr>
          <w:rFonts w:ascii="Garamond" w:hAnsi="Garamond"/>
          <w:sz w:val="24"/>
          <w:szCs w:val="24"/>
        </w:rPr>
        <w:t xml:space="preserve">andings of what boycotting organizations do. I finish it by returning to that aim and working outwards from the chapters to propose that the embodied food politics and boycotter emotions and topoi of both organizations constitute different sorts of 'world-making processes' (Featherstone, 2012: 245). Before this, I trace out specific contributions the project makes to various fields of academic enquiry and extant scholarship, and I summarize key arguments the thesis forwards on the BOA and anti-apartheid, and on STT in relation to anti-trafficking.   </w:t>
      </w:r>
    </w:p>
    <w:p w:rsidR="008A2663" w:rsidRDefault="008A2663" w:rsidP="008A2663">
      <w:pPr>
        <w:spacing w:line="360" w:lineRule="auto"/>
        <w:jc w:val="both"/>
        <w:rPr>
          <w:rFonts w:ascii="Garamond" w:hAnsi="Garamond"/>
          <w:sz w:val="24"/>
          <w:szCs w:val="24"/>
        </w:rPr>
      </w:pPr>
      <w:r>
        <w:rPr>
          <w:rFonts w:ascii="Garamond" w:hAnsi="Garamond"/>
          <w:sz w:val="24"/>
          <w:szCs w:val="24"/>
        </w:rPr>
        <w:t>The thesis adds flesh and bones to Craig Smith's frequently overlooked assertion that commodity boycott</w:t>
      </w:r>
      <w:r w:rsidRPr="000318DF">
        <w:rPr>
          <w:rFonts w:ascii="Garamond" w:hAnsi="Garamond"/>
          <w:sz w:val="24"/>
          <w:szCs w:val="24"/>
        </w:rPr>
        <w:t xml:space="preserve">s are not </w:t>
      </w:r>
      <w:r>
        <w:rPr>
          <w:rFonts w:ascii="Garamond" w:hAnsi="Garamond"/>
          <w:sz w:val="24"/>
          <w:szCs w:val="24"/>
        </w:rPr>
        <w:t>simply</w:t>
      </w:r>
      <w:r w:rsidRPr="000318DF">
        <w:rPr>
          <w:rFonts w:ascii="Garamond" w:hAnsi="Garamond"/>
          <w:sz w:val="24"/>
          <w:szCs w:val="24"/>
        </w:rPr>
        <w:t xml:space="preserve"> the “negative avoidance of a product but the embracing of a more appropriate subculture or alternative society” (1990: 141).</w:t>
      </w:r>
      <w:r>
        <w:rPr>
          <w:rFonts w:ascii="Garamond" w:hAnsi="Garamond"/>
          <w:sz w:val="24"/>
          <w:szCs w:val="24"/>
        </w:rPr>
        <w:t xml:space="preserve"> In the first few pages of the introduction, the BOA and STT were</w:t>
      </w:r>
      <w:r w:rsidRPr="00645514">
        <w:rPr>
          <w:rFonts w:ascii="Garamond" w:hAnsi="Garamond"/>
          <w:sz w:val="24"/>
          <w:szCs w:val="24"/>
        </w:rPr>
        <w:t xml:space="preserve"> </w:t>
      </w:r>
      <w:r>
        <w:rPr>
          <w:rFonts w:ascii="Garamond" w:hAnsi="Garamond"/>
          <w:sz w:val="24"/>
          <w:szCs w:val="24"/>
        </w:rPr>
        <w:t>defined</w:t>
      </w:r>
      <w:r w:rsidRPr="00645514">
        <w:rPr>
          <w:rFonts w:ascii="Garamond" w:hAnsi="Garamond"/>
          <w:sz w:val="24"/>
          <w:szCs w:val="24"/>
        </w:rPr>
        <w:t xml:space="preserve"> as boycotting </w:t>
      </w:r>
      <w:r w:rsidRPr="001960B8">
        <w:rPr>
          <w:rFonts w:ascii="Garamond" w:hAnsi="Garamond"/>
          <w:sz w:val="24"/>
          <w:szCs w:val="24"/>
        </w:rPr>
        <w:t>organizations</w:t>
      </w:r>
      <w:r>
        <w:rPr>
          <w:rFonts w:ascii="Garamond" w:hAnsi="Garamond"/>
          <w:sz w:val="24"/>
          <w:szCs w:val="24"/>
        </w:rPr>
        <w:t>;</w:t>
      </w:r>
      <w:r>
        <w:rPr>
          <w:rStyle w:val="FootnoteReference"/>
          <w:rFonts w:ascii="Garamond" w:hAnsi="Garamond"/>
          <w:sz w:val="24"/>
          <w:szCs w:val="24"/>
        </w:rPr>
        <w:footnoteReference w:id="305"/>
      </w:r>
      <w:r>
        <w:rPr>
          <w:rFonts w:ascii="Garamond" w:hAnsi="Garamond"/>
          <w:sz w:val="24"/>
          <w:szCs w:val="24"/>
        </w:rPr>
        <w:t xml:space="preserve"> from that vantage point I have</w:t>
      </w:r>
      <w:r w:rsidRPr="00645514">
        <w:rPr>
          <w:rFonts w:ascii="Garamond" w:hAnsi="Garamond"/>
          <w:sz w:val="24"/>
          <w:szCs w:val="24"/>
        </w:rPr>
        <w:t xml:space="preserve"> place</w:t>
      </w:r>
      <w:r>
        <w:rPr>
          <w:rFonts w:ascii="Garamond" w:hAnsi="Garamond"/>
          <w:sz w:val="24"/>
          <w:szCs w:val="24"/>
        </w:rPr>
        <w:t>d</w:t>
      </w:r>
      <w:r w:rsidRPr="00645514">
        <w:rPr>
          <w:rFonts w:ascii="Garamond" w:hAnsi="Garamond"/>
          <w:sz w:val="24"/>
          <w:szCs w:val="24"/>
        </w:rPr>
        <w:t xml:space="preserve"> and interpret</w:t>
      </w:r>
      <w:r>
        <w:rPr>
          <w:rFonts w:ascii="Garamond" w:hAnsi="Garamond"/>
          <w:sz w:val="24"/>
          <w:szCs w:val="24"/>
        </w:rPr>
        <w:t>ed commodity boycotts and activist bodywork</w:t>
      </w:r>
      <w:r w:rsidRPr="00645514">
        <w:rPr>
          <w:rFonts w:ascii="Garamond" w:hAnsi="Garamond"/>
          <w:sz w:val="24"/>
          <w:szCs w:val="24"/>
        </w:rPr>
        <w:t xml:space="preserve"> as </w:t>
      </w:r>
      <w:r>
        <w:rPr>
          <w:rFonts w:ascii="Garamond" w:hAnsi="Garamond"/>
          <w:sz w:val="24"/>
          <w:szCs w:val="24"/>
        </w:rPr>
        <w:t>constitutive</w:t>
      </w:r>
      <w:r w:rsidRPr="00645514">
        <w:rPr>
          <w:rFonts w:ascii="Garamond" w:hAnsi="Garamond"/>
          <w:sz w:val="24"/>
          <w:szCs w:val="24"/>
        </w:rPr>
        <w:t xml:space="preserve"> of the</w:t>
      </w:r>
      <w:r>
        <w:rPr>
          <w:rFonts w:ascii="Garamond" w:hAnsi="Garamond"/>
          <w:sz w:val="24"/>
          <w:szCs w:val="24"/>
        </w:rPr>
        <w:t xml:space="preserve"> cultural and economic production </w:t>
      </w:r>
      <w:r w:rsidRPr="00645514">
        <w:rPr>
          <w:rFonts w:ascii="Garamond" w:hAnsi="Garamond"/>
          <w:sz w:val="24"/>
          <w:szCs w:val="24"/>
        </w:rPr>
        <w:t>of anti-apartheid,</w:t>
      </w:r>
      <w:r>
        <w:rPr>
          <w:rFonts w:ascii="Garamond" w:hAnsi="Garamond"/>
          <w:sz w:val="24"/>
          <w:szCs w:val="24"/>
        </w:rPr>
        <w:t xml:space="preserve"> antiracism,</w:t>
      </w:r>
      <w:r w:rsidRPr="00645514">
        <w:rPr>
          <w:rFonts w:ascii="Garamond" w:hAnsi="Garamond"/>
          <w:sz w:val="24"/>
          <w:szCs w:val="24"/>
        </w:rPr>
        <w:t xml:space="preserve"> anti-trafficking and fair trade. </w:t>
      </w:r>
      <w:r>
        <w:rPr>
          <w:rFonts w:ascii="Garamond" w:hAnsi="Garamond"/>
          <w:sz w:val="24"/>
          <w:szCs w:val="24"/>
        </w:rPr>
        <w:t xml:space="preserve">The BOA and STT were led /continue to be led through the delegation of expertise across an array of knowledge fields, including sociology, media, international law, trade unionism, marketing, consumer behaviour, crowd-sharing and internet surveillance, South African politics and histories, anti-apartheid, anti-trafficking, economics, migration, chocolate production, fair trade, commodities and anti-colonialism. Across both organizations epistemological expertise was/is entwined with an acute reflexivity of ontological modes to enable the crafting of performances, emotions and senses. Approaching the complexities and competencies of the BOA and STT has been a constant challenge during the research process, and the breadth of this thesis is a reflection of the multiple strings to their respective bows. </w:t>
      </w:r>
    </w:p>
    <w:p w:rsidR="008A2663" w:rsidRDefault="008A2663" w:rsidP="008A2663">
      <w:pPr>
        <w:spacing w:line="360" w:lineRule="auto"/>
        <w:jc w:val="both"/>
        <w:rPr>
          <w:rFonts w:ascii="Garamond" w:hAnsi="Garamond"/>
          <w:b/>
          <w:sz w:val="24"/>
          <w:szCs w:val="24"/>
        </w:rPr>
      </w:pPr>
    </w:p>
    <w:p w:rsidR="008A2663" w:rsidRDefault="008A2663" w:rsidP="008A2663">
      <w:pPr>
        <w:spacing w:line="360" w:lineRule="auto"/>
        <w:jc w:val="both"/>
        <w:rPr>
          <w:rFonts w:ascii="Garamond" w:hAnsi="Garamond"/>
          <w:b/>
          <w:sz w:val="24"/>
          <w:szCs w:val="24"/>
        </w:rPr>
      </w:pPr>
    </w:p>
    <w:p w:rsidR="008A2663" w:rsidRPr="003825DA" w:rsidRDefault="008A2663" w:rsidP="008A2663">
      <w:pPr>
        <w:spacing w:line="360" w:lineRule="auto"/>
        <w:jc w:val="both"/>
        <w:rPr>
          <w:rFonts w:ascii="Garamond" w:hAnsi="Garamond"/>
          <w:b/>
          <w:sz w:val="24"/>
          <w:szCs w:val="24"/>
        </w:rPr>
      </w:pPr>
      <w:r>
        <w:rPr>
          <w:rFonts w:ascii="Garamond" w:hAnsi="Garamond"/>
          <w:b/>
          <w:sz w:val="24"/>
          <w:szCs w:val="24"/>
        </w:rPr>
        <w:t>So what?</w:t>
      </w:r>
    </w:p>
    <w:p w:rsidR="008A2663" w:rsidRDefault="008A2663" w:rsidP="008A2663">
      <w:pPr>
        <w:spacing w:line="360" w:lineRule="auto"/>
        <w:jc w:val="both"/>
        <w:rPr>
          <w:rFonts w:ascii="Garamond" w:hAnsi="Garamond"/>
          <w:sz w:val="24"/>
          <w:szCs w:val="24"/>
        </w:rPr>
      </w:pPr>
      <w:r>
        <w:rPr>
          <w:rFonts w:ascii="Garamond" w:eastAsia="Times New Roman" w:hAnsi="Garamond" w:cs="Times New Roman"/>
          <w:color w:val="000000"/>
          <w:sz w:val="24"/>
          <w:szCs w:val="24"/>
          <w:shd w:val="clear" w:color="auto" w:fill="FFFFFF"/>
          <w:lang w:eastAsia="en-GB"/>
        </w:rPr>
        <w:t xml:space="preserve">In its presentation of empirical material, the thesis makes two original contributions to geographical knowledge. </w:t>
      </w:r>
      <w:r w:rsidRPr="00645514">
        <w:rPr>
          <w:rFonts w:ascii="Garamond" w:eastAsia="Times New Roman" w:hAnsi="Garamond" w:cs="Times New Roman"/>
          <w:color w:val="000000"/>
          <w:sz w:val="24"/>
          <w:szCs w:val="24"/>
          <w:shd w:val="clear" w:color="auto" w:fill="FFFFFF"/>
          <w:lang w:eastAsia="en-GB"/>
        </w:rPr>
        <w:t>The two chapters on STT and the three</w:t>
      </w:r>
      <w:r>
        <w:rPr>
          <w:rFonts w:ascii="Garamond" w:eastAsia="Times New Roman" w:hAnsi="Garamond" w:cs="Times New Roman"/>
          <w:color w:val="000000"/>
          <w:sz w:val="24"/>
          <w:szCs w:val="24"/>
          <w:shd w:val="clear" w:color="auto" w:fill="FFFFFF"/>
          <w:lang w:eastAsia="en-GB"/>
        </w:rPr>
        <w:t xml:space="preserve"> chapters</w:t>
      </w:r>
      <w:r w:rsidRPr="00645514">
        <w:rPr>
          <w:rFonts w:ascii="Garamond" w:eastAsia="Times New Roman" w:hAnsi="Garamond" w:cs="Times New Roman"/>
          <w:color w:val="000000"/>
          <w:sz w:val="24"/>
          <w:szCs w:val="24"/>
          <w:shd w:val="clear" w:color="auto" w:fill="FFFFFF"/>
          <w:lang w:eastAsia="en-GB"/>
        </w:rPr>
        <w:t xml:space="preserve"> on the BOA are the first studies on either organization to draw from extensive interviews</w:t>
      </w:r>
      <w:r>
        <w:rPr>
          <w:rFonts w:ascii="Garamond" w:eastAsia="Times New Roman" w:hAnsi="Garamond" w:cs="Times New Roman"/>
          <w:color w:val="000000"/>
          <w:sz w:val="24"/>
          <w:szCs w:val="24"/>
          <w:shd w:val="clear" w:color="auto" w:fill="FFFFFF"/>
          <w:lang w:eastAsia="en-GB"/>
        </w:rPr>
        <w:t xml:space="preserve"> with relevant activists and interested</w:t>
      </w:r>
      <w:r w:rsidRPr="00645514">
        <w:rPr>
          <w:rFonts w:ascii="Garamond" w:eastAsia="Times New Roman" w:hAnsi="Garamond" w:cs="Times New Roman"/>
          <w:color w:val="000000"/>
          <w:sz w:val="24"/>
          <w:szCs w:val="24"/>
          <w:shd w:val="clear" w:color="auto" w:fill="FFFFFF"/>
          <w:lang w:eastAsia="en-GB"/>
        </w:rPr>
        <w:t xml:space="preserve"> parties, </w:t>
      </w:r>
      <w:r>
        <w:rPr>
          <w:rFonts w:ascii="Garamond" w:eastAsia="Times New Roman" w:hAnsi="Garamond" w:cs="Times New Roman"/>
          <w:color w:val="000000"/>
          <w:sz w:val="24"/>
          <w:szCs w:val="24"/>
          <w:shd w:val="clear" w:color="auto" w:fill="FFFFFF"/>
          <w:lang w:eastAsia="en-GB"/>
        </w:rPr>
        <w:t xml:space="preserve">and </w:t>
      </w:r>
      <w:r w:rsidRPr="00645514">
        <w:rPr>
          <w:rFonts w:ascii="Garamond" w:eastAsia="Times New Roman" w:hAnsi="Garamond" w:cs="Times New Roman"/>
          <w:color w:val="000000"/>
          <w:sz w:val="24"/>
          <w:szCs w:val="24"/>
          <w:shd w:val="clear" w:color="auto" w:fill="FFFFFF"/>
          <w:lang w:eastAsia="en-GB"/>
        </w:rPr>
        <w:t>from ethnographic methods used in conjunction with visual and textual analysis.</w:t>
      </w:r>
      <w:r>
        <w:rPr>
          <w:rFonts w:ascii="Garamond" w:eastAsia="Times New Roman" w:hAnsi="Garamond" w:cs="Times New Roman"/>
          <w:color w:val="000000"/>
          <w:sz w:val="24"/>
          <w:szCs w:val="24"/>
          <w:shd w:val="clear" w:color="auto" w:fill="FFFFFF"/>
          <w:lang w:eastAsia="en-GB"/>
        </w:rPr>
        <w:t xml:space="preserve"> </w:t>
      </w:r>
      <w:r>
        <w:rPr>
          <w:rFonts w:ascii="Garamond" w:hAnsi="Garamond"/>
          <w:sz w:val="24"/>
          <w:szCs w:val="24"/>
        </w:rPr>
        <w:t xml:space="preserve">In addition there are several areas of scholarship to which this work makes original, contextualizing, revising, conjoining or reinforcing contributions. </w:t>
      </w:r>
    </w:p>
    <w:p w:rsidR="008A2663" w:rsidRPr="004553ED" w:rsidRDefault="008A2663" w:rsidP="008A2663">
      <w:pPr>
        <w:spacing w:after="0" w:line="360" w:lineRule="auto"/>
        <w:jc w:val="both"/>
        <w:rPr>
          <w:rFonts w:ascii="Garamond" w:hAnsi="Garamond"/>
          <w:color w:val="000000"/>
          <w:sz w:val="24"/>
          <w:szCs w:val="24"/>
          <w:shd w:val="clear" w:color="auto" w:fill="FFFFFF"/>
        </w:rPr>
      </w:pPr>
      <w:r>
        <w:rPr>
          <w:rFonts w:ascii="Garamond" w:hAnsi="Garamond"/>
          <w:sz w:val="24"/>
          <w:szCs w:val="24"/>
        </w:rPr>
        <w:t>Chapters Three, Six and Seven built on and critiqued</w:t>
      </w:r>
      <w:r w:rsidRPr="00645514">
        <w:rPr>
          <w:rFonts w:ascii="Garamond" w:hAnsi="Garamond"/>
          <w:sz w:val="24"/>
          <w:szCs w:val="24"/>
        </w:rPr>
        <w:t xml:space="preserve"> existing publications of Dutch anti-apartheid activism (Klein, 2001; Bosgra, 2009; Muskens, 2013), </w:t>
      </w:r>
      <w:r>
        <w:rPr>
          <w:rFonts w:ascii="Garamond" w:hAnsi="Garamond"/>
          <w:sz w:val="24"/>
          <w:szCs w:val="24"/>
        </w:rPr>
        <w:t xml:space="preserve">and provided </w:t>
      </w:r>
      <w:r w:rsidRPr="00645514">
        <w:rPr>
          <w:rFonts w:ascii="Garamond" w:hAnsi="Garamond"/>
          <w:sz w:val="24"/>
          <w:szCs w:val="24"/>
        </w:rPr>
        <w:t>local context</w:t>
      </w:r>
      <w:r>
        <w:rPr>
          <w:rFonts w:ascii="Garamond" w:hAnsi="Garamond"/>
          <w:sz w:val="24"/>
          <w:szCs w:val="24"/>
        </w:rPr>
        <w:t>s</w:t>
      </w:r>
      <w:r w:rsidRPr="00645514">
        <w:rPr>
          <w:rFonts w:ascii="Garamond" w:hAnsi="Garamond"/>
          <w:sz w:val="24"/>
          <w:szCs w:val="24"/>
        </w:rPr>
        <w:t xml:space="preserve"> to </w:t>
      </w:r>
      <w:r w:rsidRPr="00645514">
        <w:rPr>
          <w:rFonts w:ascii="Garamond" w:hAnsi="Garamond"/>
          <w:color w:val="000000"/>
          <w:sz w:val="24"/>
          <w:szCs w:val="24"/>
          <w:shd w:val="clear" w:color="auto" w:fill="FFFFFF"/>
        </w:rPr>
        <w:t xml:space="preserve">Wertheim's (1991) study of Dutch colonial racism. </w:t>
      </w:r>
      <w:r>
        <w:rPr>
          <w:rFonts w:ascii="Garamond" w:hAnsi="Garamond"/>
          <w:sz w:val="24"/>
          <w:szCs w:val="24"/>
        </w:rPr>
        <w:t>Chapters Four and Five offered</w:t>
      </w:r>
      <w:r w:rsidRPr="00645514">
        <w:rPr>
          <w:rFonts w:ascii="Garamond" w:hAnsi="Garamond"/>
          <w:sz w:val="24"/>
          <w:szCs w:val="24"/>
        </w:rPr>
        <w:t xml:space="preserve"> an empirical</w:t>
      </w:r>
      <w:r>
        <w:rPr>
          <w:rFonts w:ascii="Garamond" w:hAnsi="Garamond"/>
          <w:sz w:val="24"/>
          <w:szCs w:val="24"/>
        </w:rPr>
        <w:t>ly-</w:t>
      </w:r>
      <w:r w:rsidRPr="00645514">
        <w:rPr>
          <w:rFonts w:ascii="Garamond" w:hAnsi="Garamond"/>
          <w:sz w:val="24"/>
          <w:szCs w:val="24"/>
        </w:rPr>
        <w:t>led analysis of anti-trafficking discourse (</w:t>
      </w:r>
      <w:r w:rsidRPr="00645514">
        <w:rPr>
          <w:rFonts w:ascii="Garamond" w:eastAsia="Times New Roman" w:hAnsi="Garamond" w:cs="Times New Roman"/>
          <w:color w:val="000000"/>
          <w:sz w:val="24"/>
          <w:szCs w:val="24"/>
          <w:shd w:val="clear" w:color="auto" w:fill="FFFFFF"/>
          <w:lang w:eastAsia="en-GB"/>
        </w:rPr>
        <w:t xml:space="preserve">David, 1999; </w:t>
      </w:r>
      <w:r>
        <w:rPr>
          <w:rFonts w:ascii="Garamond" w:eastAsia="Times New Roman" w:hAnsi="Garamond" w:cs="Times New Roman"/>
          <w:color w:val="000000"/>
          <w:sz w:val="24"/>
          <w:szCs w:val="24"/>
          <w:shd w:val="clear" w:color="auto" w:fill="FFFFFF"/>
          <w:lang w:eastAsia="en-GB"/>
        </w:rPr>
        <w:t xml:space="preserve">van </w:t>
      </w:r>
      <w:r w:rsidRPr="00645514">
        <w:rPr>
          <w:rFonts w:ascii="Garamond" w:eastAsia="Times New Roman" w:hAnsi="Garamond" w:cs="Times New Roman"/>
          <w:color w:val="000000"/>
          <w:sz w:val="24"/>
          <w:szCs w:val="24"/>
          <w:shd w:val="clear" w:color="auto" w:fill="FFFFFF"/>
          <w:lang w:eastAsia="en-GB"/>
        </w:rPr>
        <w:t xml:space="preserve">Liempt, 2011). </w:t>
      </w:r>
      <w:r>
        <w:rPr>
          <w:rFonts w:ascii="Garamond" w:hAnsi="Garamond"/>
          <w:sz w:val="24"/>
          <w:szCs w:val="24"/>
        </w:rPr>
        <w:t>In Chapter Two</w:t>
      </w:r>
      <w:r w:rsidRPr="00645514">
        <w:rPr>
          <w:rFonts w:ascii="Garamond" w:hAnsi="Garamond"/>
          <w:sz w:val="24"/>
          <w:szCs w:val="24"/>
        </w:rPr>
        <w:t xml:space="preserve"> </w:t>
      </w:r>
      <w:r>
        <w:rPr>
          <w:rFonts w:ascii="Garamond" w:hAnsi="Garamond"/>
          <w:sz w:val="24"/>
          <w:szCs w:val="24"/>
        </w:rPr>
        <w:t>I</w:t>
      </w:r>
      <w:r>
        <w:rPr>
          <w:rFonts w:ascii="Garamond" w:eastAsia="Times New Roman" w:hAnsi="Garamond" w:cs="Times New Roman"/>
          <w:color w:val="000000"/>
          <w:sz w:val="24"/>
          <w:szCs w:val="24"/>
          <w:shd w:val="clear" w:color="auto" w:fill="FFFFFF"/>
          <w:lang w:eastAsia="en-GB"/>
        </w:rPr>
        <w:t xml:space="preserve"> conjoined scholarship on the expressive work of boycotts and their primary, secondary, obstructionist and surrogate forms</w:t>
      </w:r>
      <w:r w:rsidRPr="00645514">
        <w:rPr>
          <w:rFonts w:ascii="Garamond" w:eastAsia="Times New Roman" w:hAnsi="Garamond" w:cs="Times New Roman"/>
          <w:color w:val="000000"/>
          <w:sz w:val="24"/>
          <w:szCs w:val="24"/>
          <w:shd w:val="clear" w:color="auto" w:fill="FFFFFF"/>
          <w:lang w:eastAsia="en-GB"/>
        </w:rPr>
        <w:t xml:space="preserve"> by Smith (1990) Freidman (1999) with</w:t>
      </w:r>
      <w:r>
        <w:rPr>
          <w:rFonts w:ascii="Garamond" w:eastAsia="Times New Roman" w:hAnsi="Garamond" w:cs="Times New Roman"/>
          <w:color w:val="000000"/>
          <w:sz w:val="24"/>
          <w:szCs w:val="24"/>
          <w:shd w:val="clear" w:color="auto" w:fill="FFFFFF"/>
          <w:lang w:eastAsia="en-GB"/>
        </w:rPr>
        <w:t xml:space="preserve"> histories of anti-colonial and 'moral' boycotts, and with</w:t>
      </w:r>
      <w:r w:rsidRPr="00645514">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geographies of ethical consumption, embodiment and race. Alongside Jevtic's forthcoming (2013) comparative thesis on BDS boycott activisms and Muslim solidarities in Sarajevo and Tower Hamlets,</w:t>
      </w:r>
      <w:r w:rsidRPr="00645514">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the thesis </w:t>
      </w:r>
      <w:r w:rsidRPr="00645514">
        <w:rPr>
          <w:rFonts w:ascii="Garamond" w:eastAsia="Times New Roman" w:hAnsi="Garamond" w:cs="Times New Roman"/>
          <w:color w:val="000000"/>
          <w:sz w:val="24"/>
          <w:szCs w:val="24"/>
          <w:shd w:val="clear" w:color="auto" w:fill="FFFFFF"/>
          <w:lang w:eastAsia="en-GB"/>
        </w:rPr>
        <w:t>breathe</w:t>
      </w:r>
      <w:r>
        <w:rPr>
          <w:rFonts w:ascii="Garamond" w:eastAsia="Times New Roman" w:hAnsi="Garamond" w:cs="Times New Roman"/>
          <w:color w:val="000000"/>
          <w:sz w:val="24"/>
          <w:szCs w:val="24"/>
          <w:shd w:val="clear" w:color="auto" w:fill="FFFFFF"/>
          <w:lang w:eastAsia="en-GB"/>
        </w:rPr>
        <w:t>s oxygen</w:t>
      </w:r>
      <w:r w:rsidRPr="00645514">
        <w:rPr>
          <w:rFonts w:ascii="Garamond" w:eastAsia="Times New Roman" w:hAnsi="Garamond" w:cs="Times New Roman"/>
          <w:color w:val="000000"/>
          <w:sz w:val="24"/>
          <w:szCs w:val="24"/>
          <w:shd w:val="clear" w:color="auto" w:fill="FFFFFF"/>
          <w:lang w:eastAsia="en-GB"/>
        </w:rPr>
        <w:t xml:space="preserve"> and </w:t>
      </w:r>
      <w:r>
        <w:rPr>
          <w:rFonts w:ascii="Garamond" w:eastAsia="Times New Roman" w:hAnsi="Garamond" w:cs="Times New Roman"/>
          <w:color w:val="000000"/>
          <w:sz w:val="24"/>
          <w:szCs w:val="24"/>
          <w:shd w:val="clear" w:color="auto" w:fill="FFFFFF"/>
          <w:lang w:eastAsia="en-GB"/>
        </w:rPr>
        <w:t xml:space="preserve">fire </w:t>
      </w:r>
      <w:r w:rsidRPr="00645514">
        <w:rPr>
          <w:rFonts w:ascii="Garamond" w:eastAsia="Times New Roman" w:hAnsi="Garamond" w:cs="Times New Roman"/>
          <w:color w:val="000000"/>
          <w:sz w:val="24"/>
          <w:szCs w:val="24"/>
          <w:shd w:val="clear" w:color="auto" w:fill="FFFFFF"/>
          <w:lang w:eastAsia="en-GB"/>
        </w:rPr>
        <w:t xml:space="preserve">into rather anaemic descriptions of commodity </w:t>
      </w:r>
      <w:r>
        <w:rPr>
          <w:rFonts w:ascii="Garamond" w:eastAsia="Times New Roman" w:hAnsi="Garamond" w:cs="Times New Roman"/>
          <w:color w:val="000000"/>
          <w:sz w:val="24"/>
          <w:szCs w:val="24"/>
          <w:shd w:val="clear" w:color="auto" w:fill="FFFFFF"/>
          <w:lang w:eastAsia="en-GB"/>
        </w:rPr>
        <w:t>boycott organizations</w:t>
      </w:r>
      <w:r w:rsidRPr="00645514">
        <w:rPr>
          <w:rFonts w:ascii="Garamond" w:eastAsia="Times New Roman" w:hAnsi="Garamond" w:cs="Times New Roman"/>
          <w:color w:val="000000"/>
          <w:sz w:val="24"/>
          <w:szCs w:val="24"/>
          <w:shd w:val="clear" w:color="auto" w:fill="FFFFFF"/>
          <w:lang w:eastAsia="en-GB"/>
        </w:rPr>
        <w:t xml:space="preserve"> provided by Jasper (1999).</w:t>
      </w:r>
      <w:r>
        <w:rPr>
          <w:rFonts w:ascii="Garamond" w:eastAsia="Times New Roman" w:hAnsi="Garamond" w:cs="Times New Roman"/>
          <w:color w:val="000000"/>
          <w:sz w:val="24"/>
          <w:szCs w:val="24"/>
          <w:shd w:val="clear" w:color="auto" w:fill="FFFFFF"/>
          <w:lang w:eastAsia="en-GB"/>
        </w:rPr>
        <w:t xml:space="preserve"> I have added new emphasis on boycotting and harnessing senses to work on social movements addressing emotions (Goodwin et. al., 2004; Flam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King, 2005; Brown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Pickerill, 2009), and in Chapter Four I contributed fresh perspectives on the construction of responsibility across fair trade organization and food activism (Barnett et. al., 2011; Jackson et. al., 2009). Throughout, I have sought to understand the imaginary geographies and animate materialisms involved in</w:t>
      </w:r>
      <w:r w:rsidRPr="00645514">
        <w:rPr>
          <w:rFonts w:ascii="Garamond" w:eastAsia="Times New Roman" w:hAnsi="Garamond" w:cs="Times New Roman"/>
          <w:color w:val="000000"/>
          <w:sz w:val="24"/>
          <w:szCs w:val="24"/>
          <w:shd w:val="clear" w:color="auto" w:fill="FFFFFF"/>
          <w:lang w:eastAsia="en-GB"/>
        </w:rPr>
        <w:t xml:space="preserve"> solidarity</w:t>
      </w:r>
      <w:r>
        <w:rPr>
          <w:rFonts w:ascii="Garamond" w:eastAsia="Times New Roman" w:hAnsi="Garamond" w:cs="Times New Roman"/>
          <w:color w:val="000000"/>
          <w:sz w:val="24"/>
          <w:szCs w:val="24"/>
          <w:shd w:val="clear" w:color="auto" w:fill="FFFFFF"/>
          <w:lang w:eastAsia="en-GB"/>
        </w:rPr>
        <w:t>-making processes</w:t>
      </w:r>
      <w:r w:rsidRPr="00645514">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 xml:space="preserve">across anti-apartheid (Brown </w:t>
      </w:r>
      <w:r w:rsidR="00F152DB">
        <w:rPr>
          <w:rFonts w:ascii="Garamond" w:eastAsia="Times New Roman" w:hAnsi="Garamond" w:cs="Times New Roman"/>
          <w:color w:val="000000"/>
          <w:sz w:val="24"/>
          <w:szCs w:val="24"/>
          <w:shd w:val="clear" w:color="auto" w:fill="FFFFFF"/>
          <w:lang w:eastAsia="en-GB"/>
        </w:rPr>
        <w:t>and</w:t>
      </w:r>
      <w:r w:rsidRPr="00645514">
        <w:rPr>
          <w:rFonts w:ascii="Garamond" w:eastAsia="Times New Roman" w:hAnsi="Garamond" w:cs="Times New Roman"/>
          <w:color w:val="000000"/>
          <w:sz w:val="24"/>
          <w:szCs w:val="24"/>
          <w:shd w:val="clear" w:color="auto" w:fill="FFFFFF"/>
          <w:lang w:eastAsia="en-GB"/>
        </w:rPr>
        <w:t xml:space="preserve"> Yaffe, 2013), fair trade organizations</w:t>
      </w:r>
      <w:r>
        <w:rPr>
          <w:rFonts w:ascii="Garamond" w:eastAsia="Times New Roman" w:hAnsi="Garamond" w:cs="Times New Roman"/>
          <w:color w:val="000000"/>
          <w:sz w:val="24"/>
          <w:szCs w:val="24"/>
          <w:shd w:val="clear" w:color="auto" w:fill="FFFFFF"/>
          <w:lang w:eastAsia="en-GB"/>
        </w:rPr>
        <w:t xml:space="preserve"> (Wilson </w:t>
      </w:r>
      <w:r w:rsidR="00F152DB">
        <w:rPr>
          <w:rFonts w:ascii="Garamond" w:eastAsia="Times New Roman" w:hAnsi="Garamond" w:cs="Times New Roman"/>
          <w:color w:val="000000"/>
          <w:sz w:val="24"/>
          <w:szCs w:val="24"/>
          <w:shd w:val="clear" w:color="auto" w:fill="FFFFFF"/>
          <w:lang w:eastAsia="en-GB"/>
        </w:rPr>
        <w:t>and</w:t>
      </w:r>
      <w:r w:rsidRPr="00645514">
        <w:rPr>
          <w:rFonts w:ascii="Garamond" w:eastAsia="Times New Roman" w:hAnsi="Garamond" w:cs="Times New Roman"/>
          <w:color w:val="000000"/>
          <w:sz w:val="24"/>
          <w:szCs w:val="24"/>
          <w:shd w:val="clear" w:color="auto" w:fill="FFFFFF"/>
          <w:lang w:eastAsia="en-GB"/>
        </w:rPr>
        <w:t xml:space="preserve"> Curnow, 2012)</w:t>
      </w:r>
      <w:r>
        <w:rPr>
          <w:rFonts w:ascii="Garamond" w:eastAsia="Times New Roman" w:hAnsi="Garamond" w:cs="Times New Roman"/>
          <w:color w:val="000000"/>
          <w:sz w:val="24"/>
          <w:szCs w:val="24"/>
          <w:shd w:val="clear" w:color="auto" w:fill="FFFFFF"/>
          <w:lang w:eastAsia="en-GB"/>
        </w:rPr>
        <w:t xml:space="preserve"> and antiracist transnationalism (Hooker, 2009; Featherstone, 2012). The thesis forwards Law's (2004) approach to method assemblage with relation to anti-apartheid and anti-trafficking organizations, and contributes to a growing field of geographical work that uses oral history to disrupt official narratives (Riley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Harvey, 2007).  </w:t>
      </w:r>
    </w:p>
    <w:p w:rsidR="008A2663" w:rsidRDefault="008A2663" w:rsidP="008A2663">
      <w:pPr>
        <w:spacing w:after="0" w:line="360" w:lineRule="auto"/>
        <w:jc w:val="both"/>
        <w:rPr>
          <w:rFonts w:ascii="Garamond" w:eastAsia="Times New Roman" w:hAnsi="Garamond" w:cs="Times New Roman"/>
          <w:color w:val="000000"/>
          <w:sz w:val="24"/>
          <w:szCs w:val="24"/>
          <w:shd w:val="clear" w:color="auto" w:fill="FFFFFF"/>
          <w:lang w:eastAsia="en-GB"/>
        </w:rPr>
      </w:pPr>
    </w:p>
    <w:p w:rsidR="008A2663" w:rsidRDefault="008A2663" w:rsidP="008A2663">
      <w:pPr>
        <w:spacing w:after="0" w:line="360" w:lineRule="auto"/>
        <w:jc w:val="both"/>
        <w:rPr>
          <w:rFonts w:ascii="Garamond" w:eastAsia="Times New Roman" w:hAnsi="Garamond" w:cs="Times New Roman"/>
          <w:color w:val="000000"/>
          <w:sz w:val="24"/>
          <w:szCs w:val="24"/>
          <w:shd w:val="clear" w:color="auto" w:fill="FFFFFF"/>
          <w:lang w:eastAsia="en-GB"/>
        </w:rPr>
      </w:pPr>
      <w:r>
        <w:rPr>
          <w:rFonts w:ascii="Garamond" w:eastAsia="Times New Roman" w:hAnsi="Garamond" w:cs="Times New Roman"/>
          <w:color w:val="000000"/>
          <w:sz w:val="24"/>
          <w:szCs w:val="24"/>
          <w:shd w:val="clear" w:color="auto" w:fill="FFFFFF"/>
          <w:lang w:eastAsia="en-GB"/>
        </w:rPr>
        <w:t>The thesis contributes to several areas of scholarship on bodies, eating and food. Through analys</w:t>
      </w:r>
      <w:r w:rsidRPr="00645514">
        <w:rPr>
          <w:rFonts w:ascii="Garamond" w:eastAsia="Times New Roman" w:hAnsi="Garamond" w:cs="Times New Roman"/>
          <w:color w:val="000000"/>
          <w:sz w:val="24"/>
          <w:szCs w:val="24"/>
          <w:shd w:val="clear" w:color="auto" w:fill="FFFFFF"/>
          <w:lang w:eastAsia="en-GB"/>
        </w:rPr>
        <w:t>ing</w:t>
      </w:r>
      <w:r>
        <w:rPr>
          <w:rFonts w:ascii="Garamond" w:eastAsia="Times New Roman" w:hAnsi="Garamond" w:cs="Times New Roman"/>
          <w:color w:val="000000"/>
          <w:sz w:val="24"/>
          <w:szCs w:val="24"/>
          <w:shd w:val="clear" w:color="auto" w:fill="FFFFFF"/>
          <w:lang w:eastAsia="en-GB"/>
        </w:rPr>
        <w:t xml:space="preserve"> and historicizing</w:t>
      </w:r>
      <w:r w:rsidRPr="00645514">
        <w:rPr>
          <w:rFonts w:ascii="Garamond" w:eastAsia="Times New Roman" w:hAnsi="Garamond" w:cs="Times New Roman"/>
          <w:color w:val="000000"/>
          <w:sz w:val="24"/>
          <w:szCs w:val="24"/>
          <w:shd w:val="clear" w:color="auto" w:fill="FFFFFF"/>
          <w:lang w:eastAsia="en-GB"/>
        </w:rPr>
        <w:t xml:space="preserve"> citrus and chocolate topoi</w:t>
      </w:r>
      <w:r>
        <w:rPr>
          <w:rFonts w:ascii="Garamond" w:eastAsia="Times New Roman" w:hAnsi="Garamond" w:cs="Times New Roman"/>
          <w:color w:val="000000"/>
          <w:sz w:val="24"/>
          <w:szCs w:val="24"/>
          <w:shd w:val="clear" w:color="auto" w:fill="FFFFFF"/>
          <w:lang w:eastAsia="en-GB"/>
        </w:rPr>
        <w:t xml:space="preserve"> in relation to the BOA </w:t>
      </w:r>
      <w:r>
        <w:rPr>
          <w:rFonts w:ascii="Garamond" w:eastAsia="Times New Roman" w:hAnsi="Garamond" w:cs="Times New Roman"/>
          <w:color w:val="000000"/>
          <w:sz w:val="24"/>
          <w:szCs w:val="24"/>
          <w:shd w:val="clear" w:color="auto" w:fill="FFFFFF"/>
          <w:lang w:eastAsia="en-GB"/>
        </w:rPr>
        <w:lastRenderedPageBreak/>
        <w:t>and STT,</w:t>
      </w:r>
      <w:r w:rsidRPr="00645514">
        <w:rPr>
          <w:rFonts w:ascii="Garamond" w:eastAsia="Times New Roman" w:hAnsi="Garamond" w:cs="Times New Roman"/>
          <w:color w:val="000000"/>
          <w:sz w:val="24"/>
          <w:szCs w:val="24"/>
          <w:shd w:val="clear" w:color="auto" w:fill="FFFFFF"/>
          <w:lang w:eastAsia="en-GB"/>
        </w:rPr>
        <w:t xml:space="preserve"> I </w:t>
      </w:r>
      <w:r>
        <w:rPr>
          <w:rFonts w:ascii="Garamond" w:eastAsia="Times New Roman" w:hAnsi="Garamond" w:cs="Times New Roman"/>
          <w:color w:val="000000"/>
          <w:sz w:val="24"/>
          <w:szCs w:val="24"/>
          <w:shd w:val="clear" w:color="auto" w:fill="FFFFFF"/>
          <w:lang w:eastAsia="en-GB"/>
        </w:rPr>
        <w:t>provided a distinct genealogy for Morton's blood-sugar topos (2000), and give it empirical grounding in anti-apartheid and contemporary anti-trafficking. My analysis of bodywork added new places and activisms to various metaphors of incorporation and examples of anthropophagia (Kilgour, 1990; Guest, 2001), abjection (Kristeva, 1984), and Douglas' (1960) work on dirt as matter out of place. I have explained how activist bodywork shapes and is shaped by representations and assemblages of blackness and whiteness. I contributed broadly to work</w:t>
      </w:r>
      <w:r w:rsidRPr="00645514">
        <w:rPr>
          <w:rFonts w:ascii="Garamond" w:eastAsia="Times New Roman" w:hAnsi="Garamond" w:cs="Times New Roman"/>
          <w:color w:val="000000"/>
          <w:sz w:val="24"/>
          <w:szCs w:val="24"/>
          <w:shd w:val="clear" w:color="auto" w:fill="FFFFFF"/>
          <w:lang w:eastAsia="en-GB"/>
        </w:rPr>
        <w:t xml:space="preserve"> on embodied food politics across</w:t>
      </w:r>
      <w:r>
        <w:rPr>
          <w:rFonts w:ascii="Garamond" w:eastAsia="Times New Roman" w:hAnsi="Garamond" w:cs="Times New Roman"/>
          <w:color w:val="000000"/>
          <w:sz w:val="24"/>
          <w:szCs w:val="24"/>
          <w:shd w:val="clear" w:color="auto" w:fill="FFFFFF"/>
          <w:lang w:eastAsia="en-GB"/>
        </w:rPr>
        <w:t xml:space="preserve"> geography and the social sciences </w:t>
      </w:r>
      <w:r w:rsidRPr="00645514">
        <w:rPr>
          <w:rFonts w:ascii="Garamond" w:eastAsia="Times New Roman" w:hAnsi="Garamond" w:cs="Times New Roman"/>
          <w:color w:val="000000"/>
          <w:sz w:val="24"/>
          <w:szCs w:val="24"/>
          <w:shd w:val="clear" w:color="auto" w:fill="FFFFFF"/>
          <w:lang w:eastAsia="en-GB"/>
        </w:rPr>
        <w:t>(</w:t>
      </w:r>
      <w:r>
        <w:rPr>
          <w:rFonts w:ascii="Garamond" w:eastAsia="Times New Roman" w:hAnsi="Garamond" w:cs="Times New Roman"/>
          <w:color w:val="000000"/>
          <w:sz w:val="24"/>
          <w:szCs w:val="24"/>
          <w:shd w:val="clear" w:color="auto" w:fill="FFFFFF"/>
          <w:lang w:eastAsia="en-GB"/>
        </w:rPr>
        <w:t xml:space="preserve">Bell </w:t>
      </w:r>
      <w:r w:rsidR="00F152DB">
        <w:rPr>
          <w:rFonts w:ascii="Garamond" w:eastAsia="Times New Roman" w:hAnsi="Garamond" w:cs="Times New Roman"/>
          <w:color w:val="000000"/>
          <w:sz w:val="24"/>
          <w:szCs w:val="24"/>
          <w:shd w:val="clear" w:color="auto" w:fill="FFFFFF"/>
          <w:lang w:eastAsia="en-GB"/>
        </w:rPr>
        <w:t>and</w:t>
      </w:r>
      <w:r>
        <w:rPr>
          <w:rFonts w:ascii="Garamond" w:eastAsia="Times New Roman" w:hAnsi="Garamond" w:cs="Times New Roman"/>
          <w:color w:val="000000"/>
          <w:sz w:val="24"/>
          <w:szCs w:val="24"/>
          <w:shd w:val="clear" w:color="auto" w:fill="FFFFFF"/>
          <w:lang w:eastAsia="en-GB"/>
        </w:rPr>
        <w:t xml:space="preserve"> Valentine, 1997; Simonsen, 2000; Sheller, 2003; Mol, 2008; </w:t>
      </w:r>
      <w:r w:rsidRPr="00645514">
        <w:rPr>
          <w:rFonts w:ascii="Garamond" w:eastAsia="Times New Roman" w:hAnsi="Garamond" w:cs="Times New Roman"/>
          <w:color w:val="000000"/>
          <w:sz w:val="24"/>
          <w:szCs w:val="24"/>
          <w:shd w:val="clear" w:color="auto" w:fill="FFFFFF"/>
          <w:lang w:eastAsia="en-GB"/>
        </w:rPr>
        <w:t>Slocum, 2008; Guthman, 2008; Carolan, 2011</w:t>
      </w:r>
      <w:r>
        <w:rPr>
          <w:rFonts w:ascii="Garamond" w:eastAsia="Times New Roman" w:hAnsi="Garamond" w:cs="Times New Roman"/>
          <w:color w:val="000000"/>
          <w:sz w:val="24"/>
          <w:szCs w:val="24"/>
          <w:shd w:val="clear" w:color="auto" w:fill="FFFFFF"/>
          <w:lang w:eastAsia="en-GB"/>
        </w:rPr>
        <w:t>; Mike Goodman et</w:t>
      </w:r>
      <w:r w:rsidRPr="00645514">
        <w:rPr>
          <w:rFonts w:ascii="Garamond" w:eastAsia="Times New Roman" w:hAnsi="Garamond" w:cs="Times New Roman"/>
          <w:color w:val="000000"/>
          <w:sz w:val="24"/>
          <w:szCs w:val="24"/>
          <w:shd w:val="clear" w:color="auto" w:fill="FFFFFF"/>
          <w:lang w:eastAsia="en-GB"/>
        </w:rPr>
        <w:t xml:space="preserve"> al., forthcoming), and</w:t>
      </w:r>
      <w:r>
        <w:rPr>
          <w:rFonts w:ascii="Garamond" w:eastAsia="Times New Roman" w:hAnsi="Garamond" w:cs="Times New Roman"/>
          <w:color w:val="000000"/>
          <w:sz w:val="24"/>
          <w:szCs w:val="24"/>
          <w:shd w:val="clear" w:color="auto" w:fill="FFFFFF"/>
          <w:lang w:eastAsia="en-GB"/>
        </w:rPr>
        <w:t xml:space="preserve"> in parts to</w:t>
      </w:r>
      <w:r w:rsidRPr="00645514">
        <w:rPr>
          <w:rFonts w:ascii="Garamond" w:eastAsia="Times New Roman" w:hAnsi="Garamond" w:cs="Times New Roman"/>
          <w:color w:val="000000"/>
          <w:sz w:val="24"/>
          <w:szCs w:val="24"/>
          <w:shd w:val="clear" w:color="auto" w:fill="FFFFFF"/>
          <w:lang w:eastAsia="en-GB"/>
        </w:rPr>
        <w:t xml:space="preserve"> feminist and materialist scholar</w:t>
      </w:r>
      <w:r>
        <w:rPr>
          <w:rFonts w:ascii="Garamond" w:eastAsia="Times New Roman" w:hAnsi="Garamond" w:cs="Times New Roman"/>
          <w:color w:val="000000"/>
          <w:sz w:val="24"/>
          <w:szCs w:val="24"/>
          <w:shd w:val="clear" w:color="auto" w:fill="FFFFFF"/>
          <w:lang w:eastAsia="en-GB"/>
        </w:rPr>
        <w:t>ship on the body and commodities (</w:t>
      </w:r>
      <w:r w:rsidRPr="00645514">
        <w:rPr>
          <w:rFonts w:ascii="Garamond" w:eastAsia="Times New Roman" w:hAnsi="Garamond" w:cs="Times New Roman"/>
          <w:color w:val="000000"/>
          <w:sz w:val="24"/>
          <w:szCs w:val="24"/>
          <w:shd w:val="clear" w:color="auto" w:fill="FFFFFF"/>
          <w:lang w:eastAsia="en-GB"/>
        </w:rPr>
        <w:t>Probyn, 200</w:t>
      </w:r>
      <w:r>
        <w:rPr>
          <w:rFonts w:ascii="Garamond" w:eastAsia="Times New Roman" w:hAnsi="Garamond" w:cs="Times New Roman"/>
          <w:color w:val="000000"/>
          <w:sz w:val="24"/>
          <w:szCs w:val="24"/>
          <w:shd w:val="clear" w:color="auto" w:fill="FFFFFF"/>
          <w:lang w:eastAsia="en-GB"/>
        </w:rPr>
        <w:t>0; Bennett, 2010</w:t>
      </w:r>
      <w:r w:rsidRPr="00645514">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Through examining how the BOA and STT unmade appetites, I add to work by Lupton (1997) and Roe (2006) on the socio-material process of food production, and I showed how geographical imaginations were used to structure these relations. I revise official histories of Outspan (Cartwright, 1977) and bring apartheid to ethnographies on the cultural politics of oranges (Sivan, 2010).</w:t>
      </w:r>
      <w:r>
        <w:rPr>
          <w:rStyle w:val="FootnoteReference"/>
          <w:rFonts w:ascii="Garamond" w:hAnsi="Garamond"/>
          <w:color w:val="000000"/>
          <w:sz w:val="24"/>
          <w:szCs w:val="24"/>
          <w:shd w:val="clear" w:color="auto" w:fill="FFFFFF"/>
          <w:lang w:eastAsia="en-GB"/>
        </w:rPr>
        <w:footnoteReference w:id="306"/>
      </w:r>
      <w:r>
        <w:rPr>
          <w:rFonts w:ascii="Garamond" w:eastAsia="Times New Roman" w:hAnsi="Garamond" w:cs="Times New Roman"/>
          <w:color w:val="000000"/>
          <w:sz w:val="24"/>
          <w:szCs w:val="24"/>
          <w:shd w:val="clear" w:color="auto" w:fill="FFFFFF"/>
          <w:lang w:eastAsia="en-GB"/>
        </w:rPr>
        <w:t xml:space="preserve"> I conjoin anti-trafficking activism with work on chocolate ethics, marketing and production (Clarence-Smith, 2000; Fold, 2002; Satre, 2005; Ryan, 2011).</w:t>
      </w:r>
    </w:p>
    <w:p w:rsidR="008A2663" w:rsidRDefault="008A2663" w:rsidP="008A2663">
      <w:pPr>
        <w:spacing w:line="360" w:lineRule="auto"/>
        <w:jc w:val="both"/>
        <w:rPr>
          <w:rFonts w:ascii="Garamond" w:eastAsia="Times New Roman" w:hAnsi="Garamond" w:cs="Times New Roman"/>
          <w:color w:val="000000"/>
          <w:sz w:val="24"/>
          <w:szCs w:val="24"/>
          <w:shd w:val="clear" w:color="auto" w:fill="FFFFFF"/>
          <w:lang w:eastAsia="en-GB"/>
        </w:rPr>
      </w:pPr>
    </w:p>
    <w:p w:rsidR="008A2663" w:rsidRDefault="008A2663" w:rsidP="008A2663">
      <w:pPr>
        <w:spacing w:line="360" w:lineRule="auto"/>
        <w:jc w:val="both"/>
        <w:rPr>
          <w:rFonts w:ascii="Garamond" w:hAnsi="Garamond"/>
          <w:sz w:val="24"/>
          <w:szCs w:val="24"/>
        </w:rPr>
      </w:pPr>
      <w:r w:rsidRPr="00645514">
        <w:rPr>
          <w:rFonts w:ascii="Garamond" w:eastAsia="Times New Roman" w:hAnsi="Garamond" w:cs="Times New Roman"/>
          <w:color w:val="000000"/>
          <w:sz w:val="24"/>
          <w:szCs w:val="24"/>
          <w:shd w:val="clear" w:color="auto" w:fill="FFFFFF"/>
          <w:lang w:eastAsia="en-GB"/>
        </w:rPr>
        <w:t xml:space="preserve">The thesis provides much needed empirical </w:t>
      </w:r>
      <w:r>
        <w:rPr>
          <w:rFonts w:ascii="Garamond" w:eastAsia="Times New Roman" w:hAnsi="Garamond" w:cs="Times New Roman"/>
          <w:color w:val="000000"/>
          <w:sz w:val="24"/>
          <w:szCs w:val="24"/>
          <w:shd w:val="clear" w:color="auto" w:fill="FFFFFF"/>
          <w:lang w:eastAsia="en-GB"/>
        </w:rPr>
        <w:t>contributions to</w:t>
      </w:r>
      <w:r w:rsidRPr="00645514">
        <w:rPr>
          <w:rFonts w:ascii="Garamond" w:eastAsia="Times New Roman" w:hAnsi="Garamond" w:cs="Times New Roman"/>
          <w:color w:val="000000"/>
          <w:sz w:val="24"/>
          <w:szCs w:val="24"/>
          <w:shd w:val="clear" w:color="auto" w:fill="FFFFFF"/>
          <w:lang w:eastAsia="en-GB"/>
        </w:rPr>
        <w:t xml:space="preserve"> antiracism in relation to anti-apartheid (Williams, 2012), transnational co</w:t>
      </w:r>
      <w:r>
        <w:rPr>
          <w:rFonts w:ascii="Garamond" w:eastAsia="Times New Roman" w:hAnsi="Garamond" w:cs="Times New Roman"/>
          <w:color w:val="000000"/>
          <w:sz w:val="24"/>
          <w:szCs w:val="24"/>
          <w:shd w:val="clear" w:color="auto" w:fill="FFFFFF"/>
          <w:lang w:eastAsia="en-GB"/>
        </w:rPr>
        <w:t>mmodity cultures (Crang et al.</w:t>
      </w:r>
      <w:r w:rsidRPr="00645514">
        <w:rPr>
          <w:rFonts w:ascii="Garamond" w:eastAsia="Times New Roman" w:hAnsi="Garamond" w:cs="Times New Roman"/>
          <w:color w:val="000000"/>
          <w:sz w:val="24"/>
          <w:szCs w:val="24"/>
          <w:shd w:val="clear" w:color="auto" w:fill="FFFFFF"/>
          <w:lang w:eastAsia="en-GB"/>
        </w:rPr>
        <w:t xml:space="preserve"> 2003), food production and consumption (hooks, 1992; Slocum, 2006), and </w:t>
      </w:r>
      <w:r>
        <w:rPr>
          <w:rFonts w:ascii="Garamond" w:eastAsia="Times New Roman" w:hAnsi="Garamond" w:cs="Times New Roman"/>
          <w:color w:val="000000"/>
          <w:sz w:val="24"/>
          <w:szCs w:val="24"/>
          <w:shd w:val="clear" w:color="auto" w:fill="FFFFFF"/>
          <w:lang w:eastAsia="en-GB"/>
        </w:rPr>
        <w:t xml:space="preserve">advertising </w:t>
      </w:r>
      <w:r w:rsidRPr="00645514">
        <w:rPr>
          <w:rFonts w:ascii="Garamond" w:eastAsia="Times New Roman" w:hAnsi="Garamond" w:cs="Times New Roman"/>
          <w:color w:val="000000"/>
          <w:sz w:val="24"/>
          <w:szCs w:val="24"/>
          <w:shd w:val="clear" w:color="auto" w:fill="FFFFFF"/>
          <w:lang w:eastAsia="en-GB"/>
        </w:rPr>
        <w:t>racisms (</w:t>
      </w:r>
      <w:r>
        <w:rPr>
          <w:rFonts w:ascii="Garamond" w:eastAsia="Times New Roman" w:hAnsi="Garamond" w:cs="Times New Roman"/>
          <w:color w:val="000000"/>
          <w:sz w:val="24"/>
          <w:szCs w:val="24"/>
          <w:shd w:val="clear" w:color="auto" w:fill="FFFFFF"/>
          <w:lang w:eastAsia="en-GB"/>
        </w:rPr>
        <w:t xml:space="preserve">McClintock, 1995; Ramamurthy, 2003; </w:t>
      </w:r>
      <w:r w:rsidRPr="00645514">
        <w:rPr>
          <w:rFonts w:ascii="Garamond" w:eastAsia="Times New Roman" w:hAnsi="Garamond" w:cs="Times New Roman"/>
          <w:color w:val="000000"/>
          <w:sz w:val="24"/>
          <w:szCs w:val="24"/>
          <w:shd w:val="clear" w:color="auto" w:fill="FFFFFF"/>
          <w:lang w:eastAsia="en-GB"/>
        </w:rPr>
        <w:t xml:space="preserve">Robertson, 2009). With a focus on the reproduction </w:t>
      </w:r>
      <w:r>
        <w:rPr>
          <w:rFonts w:ascii="Garamond" w:eastAsia="Times New Roman" w:hAnsi="Garamond" w:cs="Times New Roman"/>
          <w:color w:val="000000"/>
          <w:sz w:val="24"/>
          <w:szCs w:val="24"/>
          <w:shd w:val="clear" w:color="auto" w:fill="FFFFFF"/>
          <w:lang w:eastAsia="en-GB"/>
        </w:rPr>
        <w:t>and contestation of whiteness, Chapter Six forwarded an original contribution to</w:t>
      </w:r>
      <w:r w:rsidRPr="00645514">
        <w:rPr>
          <w:rFonts w:ascii="Garamond" w:eastAsia="Times New Roman" w:hAnsi="Garamond" w:cs="Times New Roman"/>
          <w:color w:val="000000"/>
          <w:sz w:val="24"/>
          <w:szCs w:val="24"/>
          <w:shd w:val="clear" w:color="auto" w:fill="FFFFFF"/>
          <w:lang w:eastAsia="en-GB"/>
        </w:rPr>
        <w:t xml:space="preserve"> histories and ge</w:t>
      </w:r>
      <w:r>
        <w:rPr>
          <w:rFonts w:ascii="Garamond" w:eastAsia="Times New Roman" w:hAnsi="Garamond" w:cs="Times New Roman"/>
          <w:color w:val="000000"/>
          <w:sz w:val="24"/>
          <w:szCs w:val="24"/>
          <w:shd w:val="clear" w:color="auto" w:fill="FFFFFF"/>
          <w:lang w:eastAsia="en-GB"/>
        </w:rPr>
        <w:t>ographies of</w:t>
      </w:r>
      <w:r w:rsidRPr="00645514">
        <w:rPr>
          <w:rFonts w:ascii="Garamond" w:eastAsia="Times New Roman" w:hAnsi="Garamond" w:cs="Times New Roman"/>
          <w:color w:val="000000"/>
          <w:sz w:val="24"/>
          <w:szCs w:val="24"/>
          <w:shd w:val="clear" w:color="auto" w:fill="FFFFFF"/>
          <w:lang w:eastAsia="en-GB"/>
        </w:rPr>
        <w:t xml:space="preserve"> </w:t>
      </w:r>
      <w:r>
        <w:rPr>
          <w:rFonts w:ascii="Garamond" w:eastAsia="Times New Roman" w:hAnsi="Garamond" w:cs="Times New Roman"/>
          <w:color w:val="000000"/>
          <w:sz w:val="24"/>
          <w:szCs w:val="24"/>
          <w:shd w:val="clear" w:color="auto" w:fill="FFFFFF"/>
          <w:lang w:eastAsia="en-GB"/>
        </w:rPr>
        <w:t>the production and dissembling of migrants</w:t>
      </w:r>
      <w:r w:rsidRPr="00645514">
        <w:rPr>
          <w:rFonts w:ascii="Garamond" w:eastAsia="Times New Roman" w:hAnsi="Garamond" w:cs="Times New Roman"/>
          <w:color w:val="000000"/>
          <w:sz w:val="24"/>
          <w:szCs w:val="24"/>
          <w:shd w:val="clear" w:color="auto" w:fill="FFFFFF"/>
          <w:lang w:eastAsia="en-GB"/>
        </w:rPr>
        <w:t xml:space="preserve"> (</w:t>
      </w:r>
      <w:r w:rsidRPr="00645514">
        <w:rPr>
          <w:rFonts w:ascii="Garamond" w:hAnsi="Garamond"/>
          <w:sz w:val="24"/>
          <w:szCs w:val="24"/>
        </w:rPr>
        <w:t>Butcher, 2010; Findlay et al., 2013)</w:t>
      </w:r>
      <w:r>
        <w:rPr>
          <w:rFonts w:ascii="Garamond" w:hAnsi="Garamond"/>
          <w:sz w:val="24"/>
          <w:szCs w:val="24"/>
        </w:rPr>
        <w:t>, and Chapter Five added to</w:t>
      </w:r>
      <w:r w:rsidRPr="00645514">
        <w:rPr>
          <w:rFonts w:ascii="Garamond" w:hAnsi="Garamond"/>
          <w:sz w:val="24"/>
          <w:szCs w:val="24"/>
        </w:rPr>
        <w:t xml:space="preserve"> geographical </w:t>
      </w:r>
      <w:r>
        <w:rPr>
          <w:rFonts w:ascii="Garamond" w:hAnsi="Garamond"/>
          <w:sz w:val="24"/>
          <w:szCs w:val="24"/>
        </w:rPr>
        <w:t>scholarship on the whiteness of</w:t>
      </w:r>
      <w:r w:rsidRPr="00645514">
        <w:rPr>
          <w:rFonts w:ascii="Garamond" w:hAnsi="Garamond"/>
          <w:sz w:val="24"/>
          <w:szCs w:val="24"/>
        </w:rPr>
        <w:t xml:space="preserve"> fair trade (Mann, 2007; Guthman, 2008; Glassman 2009)</w:t>
      </w:r>
      <w:r>
        <w:rPr>
          <w:rFonts w:ascii="Garamond" w:hAnsi="Garamond"/>
          <w:sz w:val="24"/>
          <w:szCs w:val="24"/>
        </w:rPr>
        <w:t xml:space="preserve">. Throughout the thesis I have made original contributions to the production and deconstruction of </w:t>
      </w:r>
      <w:r w:rsidRPr="00645514">
        <w:rPr>
          <w:rFonts w:ascii="Garamond" w:hAnsi="Garamond"/>
          <w:sz w:val="24"/>
          <w:szCs w:val="24"/>
        </w:rPr>
        <w:t>white identities</w:t>
      </w:r>
      <w:r>
        <w:rPr>
          <w:rFonts w:ascii="Garamond" w:hAnsi="Garamond"/>
          <w:sz w:val="24"/>
          <w:szCs w:val="24"/>
        </w:rPr>
        <w:t xml:space="preserve"> (Bonnett, 2000). Research on the BOA has achieved this through analysing apartheid food advertising and the BOA boycott, the transnational pro- and anti-apartheid battle over migration, and expressions of national forms of whiteness in Dutch anti-apartheid activism (Chapters Three, Six and Seven respectively). My research on STT has critiqued how white activist identities are produced through imaginations of black childhood and masculinity as, respectively, white and black, and </w:t>
      </w:r>
      <w:r>
        <w:rPr>
          <w:rFonts w:ascii="Garamond" w:hAnsi="Garamond"/>
          <w:sz w:val="24"/>
          <w:szCs w:val="24"/>
        </w:rPr>
        <w:lastRenderedPageBreak/>
        <w:t>pure and corrupt (Chapter Four). I commented upon how whiteness manifests through a broader application of post-racialism in their branding of multicultural Britain, and across their communicative paradigms of liberal humanitarianism, mainstream developmental discourse and ethico-politics (Chapter Five). But I've also shown how whiteness operates benignly through cross-cultural coalitions made by STT Amsterdam and through advocacy that attempts to shift the co-ordinates of the chocolate colourline. I have contributed to research on the production of white images and imaginations</w:t>
      </w:r>
      <w:r w:rsidRPr="00645514">
        <w:rPr>
          <w:rFonts w:ascii="Garamond" w:hAnsi="Garamond"/>
          <w:sz w:val="24"/>
          <w:szCs w:val="24"/>
        </w:rPr>
        <w:t xml:space="preserve"> (Pieterse, 1992; Jackson, 1998; Linebaugh, 2007) and white assemblages (Saldanha, 2006; Swanton, 2010).</w:t>
      </w:r>
      <w:r>
        <w:rPr>
          <w:rFonts w:ascii="Garamond" w:hAnsi="Garamond"/>
          <w:sz w:val="24"/>
          <w:szCs w:val="24"/>
        </w:rPr>
        <w:t xml:space="preserve"> </w:t>
      </w:r>
      <w:r w:rsidRPr="00645514">
        <w:rPr>
          <w:rFonts w:ascii="Garamond" w:hAnsi="Garamond"/>
          <w:sz w:val="24"/>
          <w:szCs w:val="24"/>
        </w:rPr>
        <w:t xml:space="preserve">The work </w:t>
      </w:r>
      <w:r>
        <w:rPr>
          <w:rFonts w:ascii="Garamond" w:hAnsi="Garamond"/>
          <w:sz w:val="24"/>
          <w:szCs w:val="24"/>
        </w:rPr>
        <w:t>follows in the vein of</w:t>
      </w:r>
      <w:r w:rsidRPr="00645514">
        <w:rPr>
          <w:rFonts w:ascii="Garamond" w:hAnsi="Garamond"/>
          <w:sz w:val="24"/>
          <w:szCs w:val="24"/>
        </w:rPr>
        <w:t xml:space="preserve"> the publications outlined by</w:t>
      </w:r>
      <w:r>
        <w:rPr>
          <w:rFonts w:ascii="Garamond" w:hAnsi="Garamond"/>
          <w:sz w:val="24"/>
          <w:szCs w:val="24"/>
        </w:rPr>
        <w:t xml:space="preserve"> Price (2010) that combine</w:t>
      </w:r>
      <w:r w:rsidRPr="00645514">
        <w:rPr>
          <w:rFonts w:ascii="Garamond" w:hAnsi="Garamond"/>
          <w:sz w:val="24"/>
          <w:szCs w:val="24"/>
        </w:rPr>
        <w:t xml:space="preserve"> critical race theory with geography.</w:t>
      </w:r>
    </w:p>
    <w:p w:rsidR="008A2663" w:rsidRDefault="008A2663" w:rsidP="008A2663">
      <w:pPr>
        <w:rPr>
          <w:rFonts w:ascii="Garamond" w:hAnsi="Garamond"/>
          <w:b/>
          <w:sz w:val="24"/>
          <w:szCs w:val="24"/>
        </w:rPr>
      </w:pPr>
    </w:p>
    <w:p w:rsidR="008A2663" w:rsidRPr="008E61BC" w:rsidRDefault="008A2663" w:rsidP="008A2663">
      <w:pPr>
        <w:pStyle w:val="Heading2"/>
      </w:pPr>
      <w:bookmarkStart w:id="918" w:name="_Toc244578418"/>
      <w:bookmarkStart w:id="919" w:name="_Toc244578802"/>
      <w:bookmarkStart w:id="920" w:name="_Toc263452053"/>
      <w:bookmarkStart w:id="921" w:name="_Toc263510971"/>
      <w:r w:rsidRPr="008E61BC">
        <w:t>Boycott Outspan Action: boycotting apartheid and solidarity-making</w:t>
      </w:r>
      <w:bookmarkEnd w:id="918"/>
      <w:bookmarkEnd w:id="919"/>
      <w:bookmarkEnd w:id="920"/>
      <w:bookmarkEnd w:id="921"/>
    </w:p>
    <w:p w:rsidR="008A2663"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253C29" w:rsidRDefault="008A2663" w:rsidP="008A2663">
      <w:pPr>
        <w:autoSpaceDE w:val="0"/>
        <w:autoSpaceDN w:val="0"/>
        <w:adjustRightInd w:val="0"/>
        <w:spacing w:after="0" w:line="360" w:lineRule="auto"/>
        <w:jc w:val="both"/>
        <w:rPr>
          <w:rFonts w:ascii="Garamond" w:hAnsi="Garamond" w:cs="Times New Roman"/>
          <w:sz w:val="24"/>
          <w:szCs w:val="24"/>
        </w:rPr>
      </w:pPr>
      <w:r w:rsidRPr="00253C29">
        <w:rPr>
          <w:rFonts w:ascii="Garamond" w:hAnsi="Garamond" w:cs="Times New Roman"/>
          <w:sz w:val="24"/>
          <w:szCs w:val="24"/>
        </w:rPr>
        <w:t xml:space="preserve">In June 2013 I attended a conference entitled </w:t>
      </w:r>
      <w:r w:rsidRPr="00253C29">
        <w:rPr>
          <w:rFonts w:ascii="Garamond" w:hAnsi="Garamond" w:cs="Times New Roman"/>
          <w:i/>
          <w:sz w:val="24"/>
          <w:szCs w:val="24"/>
        </w:rPr>
        <w:t>Boycotts Past and Present</w:t>
      </w:r>
      <w:r w:rsidRPr="00253C29">
        <w:rPr>
          <w:rFonts w:ascii="Garamond" w:hAnsi="Garamond" w:cs="Times New Roman"/>
          <w:sz w:val="24"/>
          <w:szCs w:val="24"/>
        </w:rPr>
        <w:t xml:space="preserve"> at Birkbeck, University of London and listened to Saul Dubow, a South African historian, give a keynote speech with customary authority about anti-apartheid consumer boycotts. He made two claims to dispense with what he saw as misconceptions about the role of boycotts. Firstly, the major reason for regime change in South Africa was internal r</w:t>
      </w:r>
      <w:r>
        <w:rPr>
          <w:rFonts w:ascii="Garamond" w:hAnsi="Garamond" w:cs="Times New Roman"/>
          <w:sz w:val="24"/>
          <w:szCs w:val="24"/>
        </w:rPr>
        <w:t xml:space="preserve">ather than external. Secondly, </w:t>
      </w:r>
      <w:r w:rsidRPr="00253C29">
        <w:rPr>
          <w:rFonts w:ascii="Garamond" w:hAnsi="Garamond" w:cs="Times New Roman"/>
          <w:sz w:val="24"/>
          <w:szCs w:val="24"/>
        </w:rPr>
        <w:t xml:space="preserve">contrary to popular opinion, boycotting against apartheid was motivated less by an appeal to universal human rights and more by the ideas and practices of </w:t>
      </w:r>
      <w:r w:rsidRPr="00253C29">
        <w:rPr>
          <w:rFonts w:ascii="Garamond" w:hAnsi="Garamond"/>
          <w:sz w:val="24"/>
          <w:szCs w:val="24"/>
        </w:rPr>
        <w:t>national self-determination, anti-colonialism and anti-capitalism</w:t>
      </w:r>
      <w:r w:rsidRPr="00253C29">
        <w:rPr>
          <w:rFonts w:ascii="Garamond" w:hAnsi="Garamond"/>
        </w:rPr>
        <w:t xml:space="preserve">. </w:t>
      </w:r>
      <w:r w:rsidRPr="00253C29">
        <w:rPr>
          <w:rFonts w:ascii="Garamond" w:hAnsi="Garamond" w:cs="Times New Roman"/>
          <w:sz w:val="24"/>
          <w:szCs w:val="24"/>
        </w:rPr>
        <w:t xml:space="preserve">Elaborating on this, Dubow proposed that it was important to discern between the strategic goals of boycotters (seeking wider social transformation), and the idea of boycotts as a moral crusade, or as part of what might now be considered </w:t>
      </w:r>
      <w:r>
        <w:rPr>
          <w:rFonts w:ascii="Garamond" w:hAnsi="Garamond" w:cs="Times New Roman"/>
          <w:sz w:val="24"/>
          <w:szCs w:val="24"/>
        </w:rPr>
        <w:t xml:space="preserve">'moral-selving' (Barnett et al. </w:t>
      </w:r>
      <w:r w:rsidRPr="00253C29">
        <w:rPr>
          <w:rFonts w:ascii="Garamond" w:hAnsi="Garamond" w:cs="Times New Roman"/>
          <w:sz w:val="24"/>
          <w:szCs w:val="24"/>
        </w:rPr>
        <w:t>2005). At different times these two points are supported by the findings of this project. But Dubow also made some arguments that were less convincing. The consumer boycott, Dubow continued, should "always be understood through the sphere of national politics". Focusing rather exclusively on British anti-apartheid, he suggested:</w:t>
      </w:r>
    </w:p>
    <w:p w:rsidR="008A2663" w:rsidRPr="00253C29"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253C29" w:rsidRDefault="008A2663" w:rsidP="008A2663">
      <w:pPr>
        <w:autoSpaceDE w:val="0"/>
        <w:autoSpaceDN w:val="0"/>
        <w:adjustRightInd w:val="0"/>
        <w:spacing w:after="0" w:line="360" w:lineRule="auto"/>
        <w:ind w:left="284" w:right="284"/>
        <w:jc w:val="both"/>
        <w:rPr>
          <w:rFonts w:ascii="Garamond" w:hAnsi="Garamond" w:cs="Times New Roman"/>
        </w:rPr>
      </w:pPr>
      <w:r w:rsidRPr="00253C29">
        <w:rPr>
          <w:rFonts w:ascii="Garamond" w:hAnsi="Garamond" w:cs="Times New Roman"/>
        </w:rPr>
        <w:t xml:space="preserve">The anti-apartheid boycott was </w:t>
      </w:r>
      <w:r w:rsidRPr="00253C29">
        <w:rPr>
          <w:rFonts w:ascii="Garamond" w:hAnsi="Garamond" w:cs="Times New Roman"/>
          <w:i/>
        </w:rPr>
        <w:t>sui generis</w:t>
      </w:r>
      <w:r w:rsidRPr="00253C29">
        <w:rPr>
          <w:rFonts w:ascii="Garamond" w:hAnsi="Garamond" w:cs="Times New Roman"/>
        </w:rPr>
        <w:t xml:space="preserve">. To the extent that it was a success was related to intimate ties of association between South Africa and Britain in particular. An associational network developed as a result of a very long colonial history and an equally long set of postcolonial ties. </w:t>
      </w:r>
      <w:r w:rsidRPr="00253C29">
        <w:rPr>
          <w:rFonts w:ascii="Garamond" w:hAnsi="Garamond"/>
        </w:rPr>
        <w:t>Trade unions and black organizations...never gave a real passionate support for sanctions, because, you know, boycotts didn't really support their industrial strength</w:t>
      </w:r>
      <w:r w:rsidRPr="00253C29">
        <w:rPr>
          <w:rFonts w:ascii="Garamond" w:hAnsi="Garamond" w:cs="Times New Roman"/>
        </w:rPr>
        <w:t xml:space="preserve"> (Dubow, 2013, conference transcript).</w:t>
      </w:r>
    </w:p>
    <w:p w:rsidR="008A2663" w:rsidRPr="00253C29"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253C29" w:rsidRDefault="008A2663" w:rsidP="008A2663">
      <w:pPr>
        <w:autoSpaceDE w:val="0"/>
        <w:autoSpaceDN w:val="0"/>
        <w:adjustRightInd w:val="0"/>
        <w:spacing w:after="0" w:line="360" w:lineRule="auto"/>
        <w:jc w:val="both"/>
        <w:rPr>
          <w:rFonts w:ascii="Garamond" w:hAnsi="Garamond" w:cs="Times New Roman"/>
          <w:sz w:val="24"/>
          <w:szCs w:val="24"/>
        </w:rPr>
      </w:pPr>
      <w:r w:rsidRPr="00253C29">
        <w:rPr>
          <w:rFonts w:ascii="Garamond" w:hAnsi="Garamond" w:cs="Times New Roman"/>
          <w:sz w:val="24"/>
          <w:szCs w:val="24"/>
        </w:rPr>
        <w:t>These are interesting and substantiated points, but they are a little reductive. It seems boycotting apartheid was</w:t>
      </w:r>
      <w:r>
        <w:rPr>
          <w:rFonts w:ascii="Garamond" w:hAnsi="Garamond" w:cs="Times New Roman"/>
          <w:sz w:val="24"/>
          <w:szCs w:val="24"/>
        </w:rPr>
        <w:t xml:space="preserve"> a British-South African affair: </w:t>
      </w:r>
      <w:r w:rsidRPr="00253C29">
        <w:rPr>
          <w:rFonts w:ascii="Garamond" w:hAnsi="Garamond" w:cs="Times New Roman"/>
          <w:sz w:val="24"/>
          <w:szCs w:val="24"/>
        </w:rPr>
        <w:t xml:space="preserve"> the success of the anti-apartheid boycott is attributed to the exclusive colonial and postcolonial links between these two counties. 'The anti-apartheid boycott' (Dubow universalizes the actions of the British Boycott Movement) was not alone or unique in drawing from national colonial and postcolonial ties with Sout</w:t>
      </w:r>
      <w:r>
        <w:rPr>
          <w:rFonts w:ascii="Garamond" w:hAnsi="Garamond" w:cs="Times New Roman"/>
          <w:sz w:val="24"/>
          <w:szCs w:val="24"/>
        </w:rPr>
        <w:t>h Africa. In this project I have shown that</w:t>
      </w:r>
      <w:r w:rsidRPr="00253C29">
        <w:rPr>
          <w:rFonts w:ascii="Garamond" w:hAnsi="Garamond" w:cs="Times New Roman"/>
          <w:sz w:val="24"/>
          <w:szCs w:val="24"/>
        </w:rPr>
        <w:t xml:space="preserve"> there were significant anti-apartheid boycotts occurring elsewhere, and important cultural and economic relationships constructed between South Africans and state and civil society organizations from other European countries. Colonial histories and 'blood-ties' between Holland and South Africa were equally important to consumer boycotts in Holla</w:t>
      </w:r>
      <w:r>
        <w:rPr>
          <w:rFonts w:ascii="Garamond" w:hAnsi="Garamond" w:cs="Times New Roman"/>
          <w:sz w:val="24"/>
          <w:szCs w:val="24"/>
        </w:rPr>
        <w:t>nd (Grundy, 1974), and I show that</w:t>
      </w:r>
      <w:r w:rsidRPr="00253C29">
        <w:rPr>
          <w:rFonts w:ascii="Garamond" w:hAnsi="Garamond" w:cs="Times New Roman"/>
          <w:sz w:val="24"/>
          <w:szCs w:val="24"/>
        </w:rPr>
        <w:t xml:space="preserve"> consumer boycotts in Holland did receive passionate support from black South African trade unions. Boycotting as understood by Dubow was carried out by whites and Europeans separated from the black trade unions and liberation movements in South Africa. Dubow offered a reason for the lack of black participation in British boycotts: "people were externalizing their own sense of racial injustice, it was far better to have concern with South Africa than on the streets of London". But he did not mention how consumer boycotts were used alongside pickets by black South Africans to contest white capital in South Africa (Carson, 2011), or give any reflection on the transnational complexities of different boycotts. Yes, consumer boycotts can be understood through the prism of national politics, but there are also other forms of political organization, different types of imagined communities (outside the national), and various communicative devices and spatial frames that can be used to make sense of consumer boycotts. Dubow suggests that consumer boycotts w</w:t>
      </w:r>
      <w:r>
        <w:rPr>
          <w:rFonts w:ascii="Garamond" w:hAnsi="Garamond" w:cs="Times New Roman"/>
          <w:sz w:val="24"/>
          <w:szCs w:val="24"/>
        </w:rPr>
        <w:t>ere produced from colonial/post</w:t>
      </w:r>
      <w:r w:rsidRPr="00253C29">
        <w:rPr>
          <w:rFonts w:ascii="Garamond" w:hAnsi="Garamond" w:cs="Times New Roman"/>
          <w:sz w:val="24"/>
          <w:szCs w:val="24"/>
        </w:rPr>
        <w:t xml:space="preserve">colonial ties. But in addition to being shaped by these relationships, anti-apartheid boycott practices were productive of them, and generative of social and political relationships near and far. </w:t>
      </w:r>
    </w:p>
    <w:p w:rsidR="008A2663" w:rsidRDefault="008A2663" w:rsidP="008A2663">
      <w:pPr>
        <w:spacing w:line="360" w:lineRule="auto"/>
        <w:jc w:val="both"/>
        <w:rPr>
          <w:rFonts w:ascii="Garamond" w:hAnsi="Garamond" w:cs="Times New Roman"/>
          <w:i/>
          <w:sz w:val="24"/>
        </w:rPr>
      </w:pPr>
    </w:p>
    <w:p w:rsidR="008A2663" w:rsidRDefault="008A2663" w:rsidP="008A2663">
      <w:pPr>
        <w:spacing w:after="0" w:line="360" w:lineRule="auto"/>
        <w:jc w:val="both"/>
        <w:rPr>
          <w:rFonts w:ascii="Garamond" w:hAnsi="Garamond"/>
          <w:sz w:val="24"/>
          <w:szCs w:val="24"/>
        </w:rPr>
      </w:pPr>
      <w:r w:rsidRPr="000E1386">
        <w:rPr>
          <w:rFonts w:ascii="Garamond" w:hAnsi="Garamond"/>
          <w:sz w:val="24"/>
          <w:szCs w:val="24"/>
        </w:rPr>
        <w:t>In the early 1970s the BOA exploded into public consciousness in Holland</w:t>
      </w:r>
      <w:r>
        <w:rPr>
          <w:rFonts w:ascii="Garamond" w:hAnsi="Garamond"/>
          <w:sz w:val="24"/>
          <w:szCs w:val="24"/>
        </w:rPr>
        <w:t>,</w:t>
      </w:r>
      <w:r w:rsidRPr="000E1386">
        <w:rPr>
          <w:rFonts w:ascii="Garamond" w:hAnsi="Garamond"/>
          <w:sz w:val="24"/>
          <w:szCs w:val="24"/>
        </w:rPr>
        <w:t xml:space="preserve"> determined to put an end to unproductive dialogue between anti-apartheid activists and the Dutch state, and the Dutch state and apartheid diplomats. The BOA were, as their name suggested, an action group. 'Hard action' was required to bring the horrors of apartheid to people across all walks of life. Pressure needed to come from the masses. Before the Outspan campaign anti-apartheid </w:t>
      </w:r>
      <w:r>
        <w:rPr>
          <w:rFonts w:ascii="Garamond" w:hAnsi="Garamond"/>
          <w:sz w:val="24"/>
          <w:szCs w:val="24"/>
        </w:rPr>
        <w:t xml:space="preserve">in Holland </w:t>
      </w:r>
      <w:r w:rsidRPr="000E1386">
        <w:rPr>
          <w:rFonts w:ascii="Garamond" w:hAnsi="Garamond"/>
          <w:sz w:val="24"/>
          <w:szCs w:val="24"/>
        </w:rPr>
        <w:t xml:space="preserve">was a niche interest; after it over 70% of the Dutch public knew who the BOA were and what they stood for. Blood, decapitation, </w:t>
      </w:r>
      <w:r w:rsidRPr="000E1386">
        <w:rPr>
          <w:rFonts w:ascii="Garamond" w:hAnsi="Garamond"/>
          <w:sz w:val="24"/>
          <w:szCs w:val="24"/>
        </w:rPr>
        <w:lastRenderedPageBreak/>
        <w:t>juicing. The dangerous thing about that image is that it lives on beyond its context and its familiarizing framings (Drucker, 2008). The brazen bodywork of the Outspan boycott is</w:t>
      </w:r>
      <w:r>
        <w:rPr>
          <w:rFonts w:ascii="Garamond" w:hAnsi="Garamond"/>
          <w:sz w:val="24"/>
          <w:szCs w:val="24"/>
        </w:rPr>
        <w:t xml:space="preserve"> shocking, and recently,</w:t>
      </w:r>
      <w:r w:rsidRPr="000E1386">
        <w:rPr>
          <w:rFonts w:ascii="Garamond" w:hAnsi="Garamond"/>
          <w:sz w:val="24"/>
          <w:szCs w:val="24"/>
        </w:rPr>
        <w:t xml:space="preserve"> when I have presented on the organization, I have fielded questions from sceptical development studies</w:t>
      </w:r>
      <w:r>
        <w:rPr>
          <w:rFonts w:ascii="Garamond" w:hAnsi="Garamond"/>
          <w:sz w:val="24"/>
          <w:szCs w:val="24"/>
        </w:rPr>
        <w:t xml:space="preserve"> students</w:t>
      </w:r>
      <w:r w:rsidRPr="000E1386">
        <w:rPr>
          <w:rFonts w:ascii="Garamond" w:hAnsi="Garamond"/>
          <w:sz w:val="24"/>
          <w:szCs w:val="24"/>
        </w:rPr>
        <w:t xml:space="preserve"> on the anthropophagic poster as</w:t>
      </w:r>
      <w:r>
        <w:rPr>
          <w:rFonts w:ascii="Garamond" w:hAnsi="Garamond"/>
          <w:sz w:val="24"/>
          <w:szCs w:val="24"/>
        </w:rPr>
        <w:t xml:space="preserve"> 'development pornography'. In Chapter T</w:t>
      </w:r>
      <w:r w:rsidRPr="000E1386">
        <w:rPr>
          <w:rFonts w:ascii="Garamond" w:hAnsi="Garamond"/>
          <w:sz w:val="24"/>
          <w:szCs w:val="24"/>
        </w:rPr>
        <w:t xml:space="preserve">hree I hope </w:t>
      </w:r>
      <w:r>
        <w:rPr>
          <w:rFonts w:ascii="Garamond" w:hAnsi="Garamond"/>
          <w:sz w:val="24"/>
          <w:szCs w:val="24"/>
        </w:rPr>
        <w:t>I have done enough to prove that describing their</w:t>
      </w:r>
      <w:r w:rsidRPr="000E1386">
        <w:rPr>
          <w:rFonts w:ascii="Garamond" w:hAnsi="Garamond"/>
          <w:sz w:val="24"/>
          <w:szCs w:val="24"/>
        </w:rPr>
        <w:t xml:space="preserve"> poster in </w:t>
      </w:r>
      <w:r>
        <w:rPr>
          <w:rFonts w:ascii="Garamond" w:hAnsi="Garamond"/>
          <w:sz w:val="24"/>
          <w:szCs w:val="24"/>
        </w:rPr>
        <w:t>those</w:t>
      </w:r>
      <w:r w:rsidRPr="000E1386">
        <w:rPr>
          <w:rFonts w:ascii="Garamond" w:hAnsi="Garamond"/>
          <w:sz w:val="24"/>
          <w:szCs w:val="24"/>
        </w:rPr>
        <w:t xml:space="preserve"> terms is to do the image, and the BOA, a grave injustice.</w:t>
      </w:r>
    </w:p>
    <w:p w:rsidR="008A2663" w:rsidRPr="00AA71A6" w:rsidRDefault="008A2663" w:rsidP="008A2663">
      <w:pPr>
        <w:spacing w:after="0" w:line="360" w:lineRule="auto"/>
        <w:jc w:val="both"/>
        <w:rPr>
          <w:rFonts w:ascii="Garamond" w:hAnsi="Garamond"/>
          <w:sz w:val="24"/>
          <w:szCs w:val="24"/>
        </w:rPr>
      </w:pPr>
    </w:p>
    <w:p w:rsidR="008A2663" w:rsidRDefault="008A2663" w:rsidP="008A2663">
      <w:pPr>
        <w:spacing w:after="0" w:line="360" w:lineRule="auto"/>
        <w:jc w:val="both"/>
        <w:rPr>
          <w:rFonts w:ascii="Garamond" w:hAnsi="Garamond" w:cs="Times New Roman"/>
          <w:sz w:val="24"/>
        </w:rPr>
      </w:pPr>
      <w:r>
        <w:rPr>
          <w:rFonts w:ascii="Garamond" w:hAnsi="Garamond" w:cs="Times New Roman"/>
          <w:sz w:val="24"/>
        </w:rPr>
        <w:t>I have focused on how the BOA produced different types of politics, cultures and solidarities within, across and outside of anti-apartheid. Beginning with the Outspan boycott which was considered 'too hard' and controversial for the AABN, I have argued that through action the organization challenged prescriptive boundaries within Dutch anti-apartheid of what it meant to be an AAM. I proposed that the BOA produced what Dubow broadly terms 'postcolonial ties' through engagements with Outspan oranges, through dialogue with Dutch consumers and potential migrants and interactions with other anti-apartheid and supra-national organizations (including CETIM and The World Council of Churches). Postcolonial ties were made through dialogue with the ANC and SACTU by accepting their support in contesting proximate racisms, and by inviting key delegates to speak local campaigns. I have outlined some of the complex and deep relationships formed with international trade unions, other AAMs, artists, feminists, academics, musicians, schools, antiracism activists and South African exiles. I have argued that the BOA engaged in anti-colonialism through the Inspan Girls and by developing a racialized counter discourse to strike fear into potential white migrants to South Africa.</w:t>
      </w:r>
    </w:p>
    <w:p w:rsidR="008A2663" w:rsidRDefault="008A2663" w:rsidP="008A2663">
      <w:pPr>
        <w:spacing w:line="360" w:lineRule="auto"/>
        <w:jc w:val="both"/>
        <w:rPr>
          <w:rFonts w:ascii="Garamond" w:hAnsi="Garamond" w:cs="Times New Roman"/>
          <w:sz w:val="24"/>
        </w:rPr>
      </w:pPr>
    </w:p>
    <w:p w:rsidR="008A2663" w:rsidRDefault="008A2663" w:rsidP="008A2663">
      <w:pPr>
        <w:spacing w:line="360" w:lineRule="auto"/>
        <w:jc w:val="both"/>
        <w:rPr>
          <w:rFonts w:ascii="Garamond" w:hAnsi="Garamond" w:cs="Times New Roman"/>
          <w:sz w:val="24"/>
        </w:rPr>
      </w:pPr>
      <w:r>
        <w:rPr>
          <w:rFonts w:ascii="Garamond" w:hAnsi="Garamond" w:cs="Times New Roman"/>
          <w:sz w:val="24"/>
        </w:rPr>
        <w:t xml:space="preserve"> In Chapter Three I argued that the BOA contested the way that race and place were consumed in 1970s Holland through the Outspan boycott. The BOA followed a non-violent doctrine in Holland but saw violence as an inevitable response to continued racist oppression in South Africa; in Chapter Six I showed how solidarity with the violent struggle of the liberation movements against white supremacy in South Africa was enacted through the campaign against white migration. Chapter Seven traced out how international labour solidarities were constructed and how antiracist solidarity was provided by SACTU in the BOA's struggle against racism in Holland. Here, I also develop the idea that the BOA crafted solidarity through antiracist transformation during the bus tours and the urban campaign, Leiden Against Apartheid. Throughout the chapters I have analysed what the BOA's politics of solidarity looked and felt like: how it </w:t>
      </w:r>
      <w:r>
        <w:rPr>
          <w:rFonts w:ascii="Garamond" w:hAnsi="Garamond" w:cs="Times New Roman"/>
          <w:sz w:val="24"/>
        </w:rPr>
        <w:lastRenderedPageBreak/>
        <w:t xml:space="preserve">responded to the demands of the liberation movements (for the boycott of Outspan and a campaign against white migration); how it prioritized situated knowledge and ceded power issues related to South Africa to SACTU and the ANC; how it acknowledged the sacrifices being made in South Africa at the sharp end of apartheid; and how it undermined European racism and white supremacy across individual, cultural and institutional forms. </w:t>
      </w:r>
    </w:p>
    <w:p w:rsidR="008A2663" w:rsidRDefault="008A2663" w:rsidP="008A2663">
      <w:pPr>
        <w:spacing w:line="360" w:lineRule="auto"/>
        <w:jc w:val="both"/>
        <w:rPr>
          <w:rFonts w:ascii="Garamond" w:hAnsi="Garamond"/>
          <w:b/>
          <w:sz w:val="24"/>
          <w:szCs w:val="24"/>
        </w:rPr>
      </w:pPr>
    </w:p>
    <w:p w:rsidR="008A2663" w:rsidRDefault="008A2663" w:rsidP="008A2663">
      <w:pPr>
        <w:pStyle w:val="Heading2"/>
      </w:pPr>
      <w:bookmarkStart w:id="922" w:name="_Toc244578419"/>
      <w:bookmarkStart w:id="923" w:name="_Toc244578803"/>
      <w:bookmarkStart w:id="924" w:name="_Toc263452054"/>
      <w:bookmarkStart w:id="925" w:name="_Toc263510972"/>
      <w:r w:rsidRPr="00AA71A6">
        <w:t>Stop The Traffik: anti-trafficking fair trade and the politics of globalizing responsibility</w:t>
      </w:r>
      <w:bookmarkEnd w:id="922"/>
      <w:bookmarkEnd w:id="923"/>
      <w:bookmarkEnd w:id="924"/>
      <w:bookmarkEnd w:id="925"/>
    </w:p>
    <w:p w:rsidR="008A2663" w:rsidRPr="00AA71A6" w:rsidRDefault="008A2663" w:rsidP="008A2663"/>
    <w:p w:rsidR="008A2663" w:rsidRDefault="008A2663" w:rsidP="008A2663">
      <w:pPr>
        <w:spacing w:after="0" w:line="360" w:lineRule="auto"/>
        <w:jc w:val="both"/>
        <w:rPr>
          <w:rFonts w:ascii="Garamond" w:eastAsia="Times New Roman" w:hAnsi="Garamond" w:cs="Times New Roman"/>
          <w:color w:val="000000"/>
          <w:sz w:val="24"/>
          <w:szCs w:val="24"/>
          <w:shd w:val="clear" w:color="auto" w:fill="FFFFFF"/>
          <w:lang w:eastAsia="en-GB"/>
        </w:rPr>
      </w:pPr>
      <w:r w:rsidRPr="001E09C8">
        <w:rPr>
          <w:rFonts w:ascii="Garamond" w:eastAsia="Times New Roman" w:hAnsi="Garamond" w:cs="Times New Roman"/>
          <w:color w:val="000000"/>
          <w:sz w:val="24"/>
          <w:szCs w:val="24"/>
          <w:shd w:val="clear" w:color="auto" w:fill="FFFFFF"/>
          <w:lang w:eastAsia="en-GB"/>
        </w:rPr>
        <w:t>A number of contemporary feminist and post-colonial academics from a variety of disciplines are united in their criticism of anti-trafficking NGOs. Anti-trafficking discourse deploys terminology that victimizes feminine bodies (</w:t>
      </w:r>
      <w:r>
        <w:rPr>
          <w:rFonts w:ascii="Garamond" w:eastAsia="Times New Roman" w:hAnsi="Garamond" w:cs="Times New Roman"/>
          <w:color w:val="000000"/>
          <w:sz w:val="24"/>
          <w:szCs w:val="24"/>
          <w:shd w:val="clear" w:color="auto" w:fill="FFFFFF"/>
          <w:lang w:eastAsia="en-GB"/>
        </w:rPr>
        <w:t xml:space="preserve">van </w:t>
      </w:r>
      <w:r w:rsidRPr="001E09C8">
        <w:rPr>
          <w:rFonts w:ascii="Garamond" w:eastAsia="Times New Roman" w:hAnsi="Garamond" w:cs="Times New Roman"/>
          <w:color w:val="000000"/>
          <w:sz w:val="24"/>
          <w:szCs w:val="24"/>
          <w:shd w:val="clear" w:color="auto" w:fill="FFFFFF"/>
          <w:lang w:eastAsia="en-GB"/>
        </w:rPr>
        <w:t>Liempt, 2011), reifies patriarchal colonial rescue narratives (Dragiewicz, 2008), reawakens spectres of white slavery (David, 1999; Doezma, 2002), and reproduces spectacles of childhood suffering (Lawrance 2010a). The social construction of trafficking moral panics and shock doctrines (Wietzer, 2007; Munro, 2008) are made at the expense of considering t</w:t>
      </w:r>
      <w:r>
        <w:rPr>
          <w:rFonts w:ascii="Garamond" w:eastAsia="Times New Roman" w:hAnsi="Garamond" w:cs="Times New Roman"/>
          <w:color w:val="000000"/>
          <w:sz w:val="24"/>
          <w:szCs w:val="24"/>
          <w:shd w:val="clear" w:color="auto" w:fill="FFFFFF"/>
          <w:lang w:eastAsia="en-GB"/>
        </w:rPr>
        <w:t>he place-</w:t>
      </w:r>
      <w:r w:rsidRPr="001E09C8">
        <w:rPr>
          <w:rFonts w:ascii="Garamond" w:eastAsia="Times New Roman" w:hAnsi="Garamond" w:cs="Times New Roman"/>
          <w:color w:val="000000"/>
          <w:sz w:val="24"/>
          <w:szCs w:val="24"/>
          <w:shd w:val="clear" w:color="auto" w:fill="FFFFFF"/>
          <w:lang w:eastAsia="en-GB"/>
        </w:rPr>
        <w:t xml:space="preserve">specific motivations of assisted migration (Liempt, 2011). Additionally, child placements and fostering in West Africa are sometimes mistaken as examples of trafficking (Manzo, 2005). While these are valid and substantiated critiques, surely there is more at stake with anti-trafficking discourse and its associated NGO practices than the reproduction of prejudiced imaginative geographies and displaced identities? </w:t>
      </w:r>
    </w:p>
    <w:p w:rsidR="008A2663" w:rsidRPr="001E09C8" w:rsidRDefault="008A2663" w:rsidP="008A2663">
      <w:pPr>
        <w:spacing w:after="0" w:line="360" w:lineRule="auto"/>
        <w:jc w:val="both"/>
        <w:rPr>
          <w:rFonts w:ascii="Garamond" w:eastAsia="Times New Roman" w:hAnsi="Garamond" w:cs="Times New Roman"/>
          <w:color w:val="000000"/>
          <w:sz w:val="24"/>
          <w:szCs w:val="24"/>
          <w:shd w:val="clear" w:color="auto" w:fill="FFFFFF"/>
          <w:lang w:eastAsia="en-GB"/>
        </w:rPr>
      </w:pPr>
    </w:p>
    <w:p w:rsidR="008A2663" w:rsidRDefault="008A2663" w:rsidP="008A2663">
      <w:pPr>
        <w:spacing w:after="0" w:line="360" w:lineRule="auto"/>
        <w:jc w:val="both"/>
        <w:rPr>
          <w:rFonts w:ascii="Garamond" w:hAnsi="Garamond" w:cs="Times New Roman"/>
          <w:sz w:val="24"/>
          <w:szCs w:val="24"/>
        </w:rPr>
      </w:pPr>
      <w:r w:rsidRPr="001E09C8">
        <w:rPr>
          <w:rFonts w:ascii="Garamond" w:eastAsia="Times New Roman" w:hAnsi="Garamond" w:cs="Times New Roman"/>
          <w:color w:val="000000"/>
          <w:sz w:val="24"/>
          <w:szCs w:val="24"/>
          <w:shd w:val="clear" w:color="auto" w:fill="FFFFFF"/>
          <w:lang w:eastAsia="en-GB"/>
        </w:rPr>
        <w:t>Much of the social constructivist engagement with anti-trafficking fails to apprehend the material existence of slavery, and the reader of these arguments could be forgiven for assuming that all distanciated ‘ethical’ responses and forms of resistance to slavery are misplaced, futile or damaging. Furthermore, NGOs do not work in a separate sphere to public discourse</w:t>
      </w:r>
      <w:r>
        <w:rPr>
          <w:rFonts w:ascii="Garamond" w:eastAsia="Times New Roman" w:hAnsi="Garamond" w:cs="Times New Roman"/>
          <w:color w:val="000000"/>
          <w:sz w:val="24"/>
          <w:szCs w:val="24"/>
          <w:shd w:val="clear" w:color="auto" w:fill="FFFFFF"/>
          <w:lang w:eastAsia="en-GB"/>
        </w:rPr>
        <w:t>;</w:t>
      </w:r>
      <w:r w:rsidRPr="001E09C8">
        <w:rPr>
          <w:rFonts w:ascii="Garamond" w:eastAsia="Times New Roman" w:hAnsi="Garamond" w:cs="Times New Roman"/>
          <w:color w:val="000000"/>
          <w:sz w:val="24"/>
          <w:szCs w:val="24"/>
          <w:shd w:val="clear" w:color="auto" w:fill="FFFFFF"/>
          <w:lang w:eastAsia="en-GB"/>
        </w:rPr>
        <w:t xml:space="preserve"> in social constructivist approaches there is little acknowledgement of the crowded marketplace in which anti-trafficking movements are forced to operate, and little evidence (with the notable exceptions of Kempadoo, 2005</w:t>
      </w:r>
      <w:r>
        <w:rPr>
          <w:rFonts w:ascii="Garamond" w:eastAsia="Times New Roman" w:hAnsi="Garamond" w:cs="Times New Roman"/>
          <w:color w:val="000000"/>
          <w:sz w:val="24"/>
          <w:szCs w:val="24"/>
          <w:shd w:val="clear" w:color="auto" w:fill="FFFFFF"/>
          <w:lang w:eastAsia="en-GB"/>
        </w:rPr>
        <w:t>;</w:t>
      </w:r>
      <w:r w:rsidRPr="001E09C8">
        <w:rPr>
          <w:rFonts w:ascii="Garamond" w:eastAsia="Times New Roman" w:hAnsi="Garamond" w:cs="Times New Roman"/>
          <w:color w:val="000000"/>
          <w:sz w:val="24"/>
          <w:szCs w:val="24"/>
          <w:shd w:val="clear" w:color="auto" w:fill="FFFFFF"/>
          <w:lang w:eastAsia="en-GB"/>
        </w:rPr>
        <w:t xml:space="preserve"> and Qui</w:t>
      </w:r>
      <w:r>
        <w:rPr>
          <w:rFonts w:ascii="Garamond" w:eastAsia="Times New Roman" w:hAnsi="Garamond" w:cs="Times New Roman"/>
          <w:color w:val="000000"/>
          <w:sz w:val="24"/>
          <w:szCs w:val="24"/>
          <w:shd w:val="clear" w:color="auto" w:fill="FFFFFF"/>
          <w:lang w:eastAsia="en-GB"/>
        </w:rPr>
        <w:t>rk, 2010)</w:t>
      </w:r>
      <w:r w:rsidRPr="001E09C8">
        <w:rPr>
          <w:rFonts w:ascii="Garamond" w:eastAsia="Times New Roman" w:hAnsi="Garamond" w:cs="Times New Roman"/>
          <w:color w:val="000000"/>
          <w:sz w:val="24"/>
          <w:szCs w:val="24"/>
          <w:shd w:val="clear" w:color="auto" w:fill="FFFFFF"/>
          <w:lang w:eastAsia="en-GB"/>
        </w:rPr>
        <w:t xml:space="preserve"> of any sustained empirical research on specific anti-trafficking organizations. While “</w:t>
      </w:r>
      <w:r w:rsidRPr="001E09C8">
        <w:rPr>
          <w:rFonts w:ascii="Garamond" w:hAnsi="Garamond" w:cs="Times New Roman"/>
          <w:sz w:val="24"/>
          <w:szCs w:val="24"/>
        </w:rPr>
        <w:t>consumer advocacy campaigns [can] rely on distant perceptions of problems and people” (Le Billon, 2006: 780), academics can equally rely on distant perceptions of the problems and people working in consumer advocacy campaigns.</w:t>
      </w:r>
    </w:p>
    <w:p w:rsidR="008A2663" w:rsidRPr="001E09C8" w:rsidRDefault="008A2663" w:rsidP="008A2663">
      <w:pPr>
        <w:spacing w:after="0" w:line="360" w:lineRule="auto"/>
        <w:jc w:val="both"/>
        <w:rPr>
          <w:rFonts w:ascii="Garamond" w:hAnsi="Garamond" w:cs="Times New Roman"/>
          <w:sz w:val="24"/>
          <w:szCs w:val="24"/>
        </w:rPr>
      </w:pPr>
    </w:p>
    <w:p w:rsidR="008A2663" w:rsidRDefault="008A2663" w:rsidP="008A2663">
      <w:pPr>
        <w:spacing w:after="0" w:line="360" w:lineRule="auto"/>
        <w:ind w:right="95"/>
        <w:jc w:val="both"/>
        <w:rPr>
          <w:rFonts w:ascii="Garamond" w:hAnsi="Garamond"/>
          <w:sz w:val="24"/>
          <w:szCs w:val="24"/>
          <w:lang w:val="en-US"/>
        </w:rPr>
      </w:pPr>
      <w:r w:rsidRPr="001E09C8">
        <w:rPr>
          <w:rFonts w:ascii="Garamond" w:hAnsi="Garamond" w:cs="Times New Roman"/>
          <w:sz w:val="24"/>
          <w:szCs w:val="24"/>
        </w:rPr>
        <w:t>Through ethnographic engagement with STT and interviews with activists</w:t>
      </w:r>
      <w:r>
        <w:rPr>
          <w:rFonts w:ascii="Garamond" w:hAnsi="Garamond" w:cs="Times New Roman"/>
          <w:sz w:val="24"/>
          <w:szCs w:val="24"/>
        </w:rPr>
        <w:t>,</w:t>
      </w:r>
      <w:r w:rsidRPr="001E09C8">
        <w:rPr>
          <w:rFonts w:ascii="Garamond" w:hAnsi="Garamond" w:cs="Times New Roman"/>
          <w:sz w:val="24"/>
          <w:szCs w:val="24"/>
        </w:rPr>
        <w:t xml:space="preserve"> I have brought activist frames of interpretation into dialogue with critical geography over the terrain of STT's chocolate </w:t>
      </w:r>
      <w:r>
        <w:rPr>
          <w:rFonts w:ascii="Garamond" w:hAnsi="Garamond" w:cs="Times New Roman"/>
          <w:sz w:val="24"/>
          <w:szCs w:val="24"/>
        </w:rPr>
        <w:t>campaigns. This has meant analys</w:t>
      </w:r>
      <w:r w:rsidRPr="001E09C8">
        <w:rPr>
          <w:rFonts w:ascii="Garamond" w:hAnsi="Garamond" w:cs="Times New Roman"/>
          <w:sz w:val="24"/>
          <w:szCs w:val="24"/>
        </w:rPr>
        <w:t>ing the utility of particular practices to STT and their wider racia</w:t>
      </w:r>
      <w:r>
        <w:rPr>
          <w:rFonts w:ascii="Garamond" w:hAnsi="Garamond" w:cs="Times New Roman"/>
          <w:sz w:val="24"/>
          <w:szCs w:val="24"/>
        </w:rPr>
        <w:t>lizing affects and effects. In Chapter F</w:t>
      </w:r>
      <w:r w:rsidRPr="001E09C8">
        <w:rPr>
          <w:rFonts w:ascii="Garamond" w:hAnsi="Garamond" w:cs="Times New Roman"/>
          <w:sz w:val="24"/>
          <w:szCs w:val="24"/>
        </w:rPr>
        <w:t>our I introduced the two types of chocolate topoi used by STT to make consuming fair trade urgent, emotional and engaging to a broader global battle with</w:t>
      </w:r>
      <w:r>
        <w:rPr>
          <w:rFonts w:ascii="Garamond" w:hAnsi="Garamond" w:cs="Times New Roman"/>
          <w:sz w:val="24"/>
          <w:szCs w:val="24"/>
        </w:rPr>
        <w:t xml:space="preserve"> human</w:t>
      </w:r>
      <w:r w:rsidRPr="001E09C8">
        <w:rPr>
          <w:rFonts w:ascii="Garamond" w:hAnsi="Garamond" w:cs="Times New Roman"/>
          <w:sz w:val="24"/>
          <w:szCs w:val="24"/>
        </w:rPr>
        <w:t xml:space="preserve"> trafficking. In contrast to a boycotting politics based on forms of mutuality and solidarity, I argued that STT position engagement based on the idea of the citizen-consumer and stakeholder responsibility. </w:t>
      </w:r>
      <w:r>
        <w:rPr>
          <w:rFonts w:ascii="Garamond" w:hAnsi="Garamond"/>
          <w:sz w:val="24"/>
          <w:szCs w:val="24"/>
          <w:lang w:val="en-US"/>
        </w:rPr>
        <w:t>In Chapters Four and F</w:t>
      </w:r>
      <w:r w:rsidRPr="001E09C8">
        <w:rPr>
          <w:rFonts w:ascii="Garamond" w:hAnsi="Garamond"/>
          <w:sz w:val="24"/>
          <w:szCs w:val="24"/>
          <w:lang w:val="en-US"/>
        </w:rPr>
        <w:t xml:space="preserve">ive I showed that the politics of globalizing responsibility is bound up with attempts to restructure the chocolate industry around fair trade certification and with increasing participation of citizen-consumers to engage in the surveillance and policing of 'informal', 'black' or 'illicit' economies and migration.  There are potential geographies of exclusion to the politics of globalizing responsibility that I have outlined. STT are an instrument or technology of governmentality, and globalizing responsibility is constructed through particular types of power-inflected relationships. </w:t>
      </w:r>
    </w:p>
    <w:p w:rsidR="008A2663" w:rsidRPr="001E09C8" w:rsidRDefault="008A2663" w:rsidP="008A2663">
      <w:pPr>
        <w:spacing w:after="0" w:line="360" w:lineRule="auto"/>
        <w:ind w:right="95"/>
        <w:jc w:val="both"/>
        <w:rPr>
          <w:rFonts w:ascii="Garamond" w:hAnsi="Garamond"/>
          <w:sz w:val="24"/>
          <w:szCs w:val="24"/>
          <w:lang w:val="en-US"/>
        </w:rPr>
      </w:pPr>
    </w:p>
    <w:p w:rsidR="008A2663" w:rsidRDefault="008A2663" w:rsidP="008A2663">
      <w:pPr>
        <w:spacing w:after="0" w:line="360" w:lineRule="auto"/>
        <w:jc w:val="both"/>
        <w:rPr>
          <w:rFonts w:ascii="Garamond" w:eastAsia="Times New Roman" w:hAnsi="Garamond" w:cs="Times New Roman"/>
          <w:sz w:val="24"/>
          <w:szCs w:val="24"/>
          <w:lang w:val="en-US"/>
        </w:rPr>
      </w:pPr>
      <w:r w:rsidRPr="001E09C8">
        <w:rPr>
          <w:rFonts w:ascii="Garamond" w:eastAsia="Times New Roman" w:hAnsi="Garamond" w:cs="Times New Roman"/>
          <w:sz w:val="24"/>
          <w:szCs w:val="24"/>
          <w:lang w:val="en-US"/>
        </w:rPr>
        <w:t xml:space="preserve">Although NGOs and charities may be reluctant to describe their publicity work as a part of a branding exercise (Tapp, 1996), non-profit organizations must nevertheless project consistent values and ‘personality’ (Sargeant </w:t>
      </w:r>
      <w:r w:rsidR="00F152DB">
        <w:rPr>
          <w:rFonts w:ascii="Garamond" w:eastAsia="Times New Roman" w:hAnsi="Garamond" w:cs="Times New Roman"/>
          <w:sz w:val="24"/>
          <w:szCs w:val="24"/>
          <w:lang w:val="en-US"/>
        </w:rPr>
        <w:t>and</w:t>
      </w:r>
      <w:r w:rsidRPr="001E09C8">
        <w:rPr>
          <w:rFonts w:ascii="Garamond" w:eastAsia="Times New Roman" w:hAnsi="Garamond" w:cs="Times New Roman"/>
          <w:sz w:val="24"/>
          <w:szCs w:val="24"/>
          <w:lang w:val="en-US"/>
        </w:rPr>
        <w:t xml:space="preserve"> Jay 2004; Sargeant </w:t>
      </w:r>
      <w:r w:rsidR="00F152DB">
        <w:rPr>
          <w:rFonts w:ascii="Garamond" w:eastAsia="Times New Roman" w:hAnsi="Garamond" w:cs="Times New Roman"/>
          <w:sz w:val="24"/>
          <w:szCs w:val="24"/>
          <w:lang w:val="en-US"/>
        </w:rPr>
        <w:t>and</w:t>
      </w:r>
      <w:r w:rsidRPr="001E09C8">
        <w:rPr>
          <w:rFonts w:ascii="Garamond" w:eastAsia="Times New Roman" w:hAnsi="Garamond" w:cs="Times New Roman"/>
          <w:sz w:val="24"/>
          <w:szCs w:val="24"/>
          <w:lang w:val="en-US"/>
        </w:rPr>
        <w:t xml:space="preserve"> Woodliffe, 2007). STT’s personality as an anti-trafficking movement is determi</w:t>
      </w:r>
      <w:r>
        <w:rPr>
          <w:rFonts w:ascii="Garamond" w:eastAsia="Times New Roman" w:hAnsi="Garamond" w:cs="Times New Roman"/>
          <w:sz w:val="24"/>
          <w:szCs w:val="24"/>
          <w:lang w:val="en-US"/>
        </w:rPr>
        <w:t>ned by five key characteristics: a universalized voice;</w:t>
      </w:r>
      <w:r w:rsidRPr="001E09C8">
        <w:rPr>
          <w:rFonts w:ascii="Garamond" w:eastAsia="Times New Roman" w:hAnsi="Garamond" w:cs="Times New Roman"/>
          <w:sz w:val="24"/>
          <w:szCs w:val="24"/>
          <w:lang w:val="en-US"/>
        </w:rPr>
        <w:t xml:space="preserve"> a specific tradition and nosta</w:t>
      </w:r>
      <w:r>
        <w:rPr>
          <w:rFonts w:ascii="Garamond" w:eastAsia="Times New Roman" w:hAnsi="Garamond" w:cs="Times New Roman"/>
          <w:sz w:val="24"/>
          <w:szCs w:val="24"/>
          <w:lang w:val="en-US"/>
        </w:rPr>
        <w:t>lgia;</w:t>
      </w:r>
      <w:r w:rsidRPr="001E09C8">
        <w:rPr>
          <w:rFonts w:ascii="Garamond" w:eastAsia="Times New Roman" w:hAnsi="Garamond" w:cs="Times New Roman"/>
          <w:sz w:val="24"/>
          <w:szCs w:val="24"/>
          <w:lang w:val="en-US"/>
        </w:rPr>
        <w:t xml:space="preserve"> an urgent rights based teleological an</w:t>
      </w:r>
      <w:r>
        <w:rPr>
          <w:rFonts w:ascii="Garamond" w:eastAsia="Times New Roman" w:hAnsi="Garamond" w:cs="Times New Roman"/>
          <w:sz w:val="24"/>
          <w:szCs w:val="24"/>
          <w:lang w:val="en-US"/>
        </w:rPr>
        <w:t xml:space="preserve">d egalitarian moral philosophy; </w:t>
      </w:r>
      <w:r w:rsidRPr="001E09C8">
        <w:rPr>
          <w:rFonts w:ascii="Garamond" w:eastAsia="Times New Roman" w:hAnsi="Garamond" w:cs="Times New Roman"/>
          <w:sz w:val="24"/>
          <w:szCs w:val="24"/>
          <w:lang w:val="en-US"/>
        </w:rPr>
        <w:t>a range of inter subjective c</w:t>
      </w:r>
      <w:r>
        <w:rPr>
          <w:rFonts w:ascii="Garamond" w:eastAsia="Times New Roman" w:hAnsi="Garamond" w:cs="Times New Roman"/>
          <w:sz w:val="24"/>
          <w:szCs w:val="24"/>
          <w:lang w:val="en-US"/>
        </w:rPr>
        <w:t>onsumer and community campaigns;</w:t>
      </w:r>
      <w:r w:rsidRPr="001E09C8">
        <w:rPr>
          <w:rFonts w:ascii="Garamond" w:eastAsia="Times New Roman" w:hAnsi="Garamond" w:cs="Times New Roman"/>
          <w:sz w:val="24"/>
          <w:szCs w:val="24"/>
          <w:lang w:val="en-US"/>
        </w:rPr>
        <w:t xml:space="preserve"> and a call for a type of counter globalization</w:t>
      </w:r>
      <w:r>
        <w:rPr>
          <w:rFonts w:ascii="Garamond" w:eastAsia="Times New Roman" w:hAnsi="Garamond" w:cs="Times New Roman"/>
          <w:sz w:val="24"/>
          <w:szCs w:val="24"/>
          <w:lang w:val="en-US"/>
        </w:rPr>
        <w:t>. In Chapter Four I demonstrated how chocolate activism enables and enacts these different characteristics across some of the places of STT's branding and advocacy work.</w:t>
      </w:r>
    </w:p>
    <w:p w:rsidR="008A2663" w:rsidRDefault="008A2663" w:rsidP="008A2663">
      <w:pPr>
        <w:spacing w:after="0" w:line="360" w:lineRule="auto"/>
        <w:jc w:val="both"/>
        <w:rPr>
          <w:rFonts w:ascii="Garamond" w:eastAsia="Times New Roman" w:hAnsi="Garamond" w:cs="Times New Roman"/>
          <w:sz w:val="24"/>
          <w:szCs w:val="24"/>
          <w:lang w:val="en-US"/>
        </w:rPr>
      </w:pPr>
    </w:p>
    <w:p w:rsidR="008A2663" w:rsidRDefault="008A2663" w:rsidP="008A2663">
      <w:pPr>
        <w:spacing w:after="0" w:line="360" w:lineRule="auto"/>
        <w:jc w:val="both"/>
        <w:rPr>
          <w:rFonts w:ascii="Garamond" w:hAnsi="Garamond" w:cs="Times New Roman"/>
          <w:sz w:val="24"/>
          <w:szCs w:val="24"/>
        </w:rPr>
      </w:pPr>
      <w:r w:rsidRPr="001E09C8">
        <w:rPr>
          <w:rFonts w:ascii="Garamond" w:eastAsia="Times New Roman" w:hAnsi="Garamond" w:cs="Times New Roman"/>
          <w:color w:val="000000"/>
          <w:sz w:val="24"/>
          <w:szCs w:val="24"/>
          <w:shd w:val="clear" w:color="auto" w:fill="FFFFFF"/>
          <w:lang w:eastAsia="en-GB"/>
        </w:rPr>
        <w:t>STT's voice is universalized on the internet through a user-friendly website (receiving over three thousand unique visitors a day), and on dispersed webpages and links on social networking sites (Facebook, Bebo, Twitter, Twebon), news agencies, and NGO partners’ websites. These new forms of social media allow STT to ‘go viral’ and access a young, technologically savvy demographic, and they facilitate the co-authorship of anti-trafficking with armchair activists who add to blogs, and publish slogans, designs, portals, websites and avatars (</w:t>
      </w:r>
      <w:r>
        <w:rPr>
          <w:rFonts w:ascii="Garamond" w:eastAsia="Times New Roman" w:hAnsi="Garamond" w:cs="Times New Roman"/>
          <w:color w:val="000000"/>
          <w:sz w:val="24"/>
          <w:szCs w:val="24"/>
          <w:shd w:val="clear" w:color="auto" w:fill="FFFFFF"/>
          <w:lang w:eastAsia="en-GB"/>
        </w:rPr>
        <w:t>Interview Bex</w:t>
      </w:r>
      <w:r w:rsidRPr="001E09C8">
        <w:rPr>
          <w:rFonts w:ascii="Garamond" w:eastAsia="Times New Roman" w:hAnsi="Garamond" w:cs="Times New Roman"/>
          <w:color w:val="000000"/>
          <w:sz w:val="24"/>
          <w:szCs w:val="24"/>
          <w:shd w:val="clear" w:color="auto" w:fill="FFFFFF"/>
          <w:lang w:eastAsia="en-GB"/>
        </w:rPr>
        <w:t xml:space="preserve"> 2011). STT are an ‘internetworked’ social movement </w:t>
      </w:r>
      <w:r w:rsidRPr="001E09C8">
        <w:rPr>
          <w:rFonts w:ascii="Garamond" w:eastAsia="Times New Roman" w:hAnsi="Garamond" w:cs="Times New Roman"/>
          <w:color w:val="000000"/>
          <w:sz w:val="24"/>
          <w:szCs w:val="24"/>
          <w:shd w:val="clear" w:color="auto" w:fill="FFFFFF"/>
          <w:lang w:eastAsia="en-GB"/>
        </w:rPr>
        <w:lastRenderedPageBreak/>
        <w:t>(Langman, 2006), but f</w:t>
      </w:r>
      <w:r w:rsidRPr="001E09C8">
        <w:rPr>
          <w:rFonts w:ascii="Garamond" w:hAnsi="Garamond" w:cs="Times New Roman"/>
          <w:sz w:val="24"/>
          <w:szCs w:val="24"/>
        </w:rPr>
        <w:t>ar from encouraging a disembodied and virtual presence for activism, the anti-trafficking campaigns of STT produce new possibilities for consumer bodies to merge in a corporeal relationship with the commodity at stake, other consumer/activist/citizens</w:t>
      </w:r>
      <w:r>
        <w:rPr>
          <w:rFonts w:ascii="Garamond" w:hAnsi="Garamond" w:cs="Times New Roman"/>
          <w:sz w:val="24"/>
          <w:szCs w:val="24"/>
        </w:rPr>
        <w:t>, and the producer –</w:t>
      </w:r>
      <w:r w:rsidRPr="001E09C8">
        <w:rPr>
          <w:rFonts w:ascii="Garamond" w:hAnsi="Garamond" w:cs="Times New Roman"/>
          <w:sz w:val="24"/>
          <w:szCs w:val="24"/>
        </w:rPr>
        <w:t xml:space="preserve"> the trafficked vic</w:t>
      </w:r>
      <w:r>
        <w:rPr>
          <w:rFonts w:ascii="Garamond" w:hAnsi="Garamond" w:cs="Times New Roman"/>
          <w:sz w:val="24"/>
          <w:szCs w:val="24"/>
        </w:rPr>
        <w:t>tim. In Chapter F</w:t>
      </w:r>
      <w:r w:rsidRPr="001E09C8">
        <w:rPr>
          <w:rFonts w:ascii="Garamond" w:hAnsi="Garamond" w:cs="Times New Roman"/>
          <w:sz w:val="24"/>
          <w:szCs w:val="24"/>
        </w:rPr>
        <w:t xml:space="preserve">our I outlined this process in relation to the celebritization of fair trade and the Fairtrade Town campaign. </w:t>
      </w:r>
      <w:r>
        <w:rPr>
          <w:rFonts w:ascii="Garamond" w:hAnsi="Garamond" w:cs="Times New Roman"/>
          <w:sz w:val="24"/>
          <w:szCs w:val="24"/>
        </w:rPr>
        <w:t>I showed how these</w:t>
      </w:r>
      <w:r w:rsidRPr="001E09C8">
        <w:rPr>
          <w:rFonts w:ascii="Garamond" w:hAnsi="Garamond" w:cs="Times New Roman"/>
          <w:sz w:val="24"/>
          <w:szCs w:val="24"/>
        </w:rPr>
        <w:t xml:space="preserve"> internetworked corporeal solutions are only open t</w:t>
      </w:r>
      <w:r>
        <w:rPr>
          <w:rFonts w:ascii="Garamond" w:hAnsi="Garamond" w:cs="Times New Roman"/>
          <w:sz w:val="24"/>
          <w:szCs w:val="24"/>
        </w:rPr>
        <w:t>o the citizen-activist-consumer;</w:t>
      </w:r>
      <w:r w:rsidRPr="001E09C8">
        <w:rPr>
          <w:rFonts w:ascii="Garamond" w:hAnsi="Garamond" w:cs="Times New Roman"/>
          <w:sz w:val="24"/>
          <w:szCs w:val="24"/>
        </w:rPr>
        <w:t xml:space="preserve"> the trafficked producer lingers in a phantom space of images and speech bubbles, where their g</w:t>
      </w:r>
      <w:r>
        <w:rPr>
          <w:rFonts w:ascii="Garamond" w:hAnsi="Garamond" w:cs="Times New Roman"/>
          <w:sz w:val="24"/>
          <w:szCs w:val="24"/>
        </w:rPr>
        <w:t>endered, racialized and sexualiz</w:t>
      </w:r>
      <w:r w:rsidRPr="001E09C8">
        <w:rPr>
          <w:rFonts w:ascii="Garamond" w:hAnsi="Garamond" w:cs="Times New Roman"/>
          <w:sz w:val="24"/>
          <w:szCs w:val="24"/>
        </w:rPr>
        <w:t>ed identities are represented. What is forged is not a politics of solidarity</w:t>
      </w:r>
      <w:r>
        <w:rPr>
          <w:rFonts w:ascii="Garamond" w:hAnsi="Garamond" w:cs="Times New Roman"/>
          <w:sz w:val="24"/>
          <w:szCs w:val="24"/>
        </w:rPr>
        <w:t>,</w:t>
      </w:r>
      <w:r w:rsidRPr="001E09C8">
        <w:rPr>
          <w:rFonts w:ascii="Garamond" w:hAnsi="Garamond" w:cs="Times New Roman"/>
          <w:sz w:val="24"/>
          <w:szCs w:val="24"/>
        </w:rPr>
        <w:t xml:space="preserve"> which was so distinguished in a</w:t>
      </w:r>
      <w:r>
        <w:rPr>
          <w:rFonts w:ascii="Garamond" w:hAnsi="Garamond" w:cs="Times New Roman"/>
          <w:sz w:val="24"/>
          <w:szCs w:val="24"/>
        </w:rPr>
        <w:t>nti-apartheid forms of activism</w:t>
      </w:r>
      <w:r w:rsidRPr="001E09C8">
        <w:rPr>
          <w:rFonts w:ascii="Garamond" w:hAnsi="Garamond" w:cs="Times New Roman"/>
          <w:sz w:val="24"/>
          <w:szCs w:val="24"/>
        </w:rPr>
        <w:t xml:space="preserve"> and exemplified by the BOA, but a rights b</w:t>
      </w:r>
      <w:r>
        <w:rPr>
          <w:rFonts w:ascii="Garamond" w:hAnsi="Garamond" w:cs="Times New Roman"/>
          <w:sz w:val="24"/>
          <w:szCs w:val="24"/>
        </w:rPr>
        <w:t>ased politics of responsibility where the organization speaks for and acts on behalf of child victims of trafficking.</w:t>
      </w:r>
    </w:p>
    <w:p w:rsidR="008A2663" w:rsidRPr="003F7330" w:rsidRDefault="008A2663" w:rsidP="008A2663">
      <w:pPr>
        <w:spacing w:after="0" w:line="360" w:lineRule="auto"/>
        <w:jc w:val="both"/>
        <w:rPr>
          <w:rFonts w:ascii="Garamond" w:eastAsia="Times New Roman" w:hAnsi="Garamond" w:cs="Times New Roman"/>
          <w:sz w:val="24"/>
          <w:szCs w:val="24"/>
          <w:lang w:val="en-US"/>
        </w:rPr>
      </w:pPr>
    </w:p>
    <w:p w:rsidR="008A2663" w:rsidRDefault="008A2663" w:rsidP="008A2663">
      <w:pPr>
        <w:spacing w:after="0" w:line="360" w:lineRule="auto"/>
        <w:jc w:val="both"/>
        <w:rPr>
          <w:rFonts w:ascii="Garamond" w:hAnsi="Garamond"/>
          <w:sz w:val="24"/>
          <w:szCs w:val="24"/>
        </w:rPr>
      </w:pPr>
      <w:r>
        <w:rPr>
          <w:rFonts w:ascii="Garamond" w:hAnsi="Garamond" w:cs="Times New Roman"/>
          <w:sz w:val="24"/>
          <w:szCs w:val="24"/>
        </w:rPr>
        <w:t xml:space="preserve">In order to interpolate Western children into the story of trafficking, STT's story Chocolate Chaga illustrates trafficked children as whiter than their captors. The racialized separation of victim and perpetrator, child and adult, purity and evil, highlights some of the means in which anti-trafficking is embedded in the machinery of whiteness.  </w:t>
      </w:r>
      <w:r>
        <w:rPr>
          <w:rFonts w:ascii="Garamond" w:hAnsi="Garamond"/>
          <w:sz w:val="24"/>
          <w:szCs w:val="24"/>
        </w:rPr>
        <w:t xml:space="preserve">According to Steve Martinot (2010: 172-174) the machinery of whiteness works through three entwined spheres: the individual, the institutional and the cultural. On an individual level, a threat is required to highlight the purity of whiteness and to produce defensive solidarities. Institutionally, political parties, the media, the judiciary and public services legitimize and make proper racialized exclusions. Culturally, whiteness is apparent in support for white vigilantism, police harassment of black and brown bodies, and foreign interventionism. What is common across these strands, Martinot insists, is a barely visible structure that decriminalizes white domination and enables whites to act with impunity to perceived threats. The concern is that by presenting the need to buy fair trade chocolate through black violence and naturalized hostile landscapes, the poverty from structural inequalities which fair trade works to reduce, becomes less of a reason for trafficking in the minds of Western children and their parents, than the violence of black adults towards children, and the moral debasement of a broadly defined black producer culture. </w:t>
      </w:r>
    </w:p>
    <w:p w:rsidR="008A2663" w:rsidRDefault="008A2663" w:rsidP="008A2663">
      <w:pPr>
        <w:spacing w:after="0" w:line="360" w:lineRule="auto"/>
        <w:jc w:val="both"/>
        <w:rPr>
          <w:rFonts w:ascii="Garamond" w:hAnsi="Garamond"/>
          <w:sz w:val="24"/>
          <w:szCs w:val="24"/>
        </w:rPr>
      </w:pPr>
    </w:p>
    <w:p w:rsidR="008A2663" w:rsidRDefault="008A2663" w:rsidP="008A2663">
      <w:pPr>
        <w:spacing w:after="0" w:line="360" w:lineRule="auto"/>
        <w:jc w:val="both"/>
        <w:rPr>
          <w:rStyle w:val="apple-converted-space"/>
        </w:rPr>
      </w:pPr>
      <w:r>
        <w:rPr>
          <w:rFonts w:ascii="Garamond" w:hAnsi="Garamond"/>
          <w:sz w:val="24"/>
          <w:szCs w:val="24"/>
        </w:rPr>
        <w:t xml:space="preserve">However, STT's anti-trafficking chocolate campaigns work in other ways that undermine the machinery of whiteness. Through the Tunbridge Wells Fairtrade Town campaign, children are encouraged to think relationally by connecting their local actions to effects in distant places. STT Amsterdam are part of an international coalition that lobbies the </w:t>
      </w:r>
      <w:r>
        <w:rPr>
          <w:rFonts w:ascii="Garamond" w:hAnsi="Garamond"/>
          <w:sz w:val="24"/>
          <w:szCs w:val="24"/>
        </w:rPr>
        <w:lastRenderedPageBreak/>
        <w:t xml:space="preserve">cocoa industry to re-allocate profits in more egalitarian ways, and to strengthen cocoa farming collectives through education, better equipment and yields. In Chapter Five I argued that the CCC, the newly formed national marketing </w:t>
      </w:r>
      <w:r w:rsidRPr="00EA2A43">
        <w:rPr>
          <w:rFonts w:ascii="Garamond" w:hAnsi="Garamond"/>
          <w:sz w:val="24"/>
          <w:szCs w:val="24"/>
        </w:rPr>
        <w:t xml:space="preserve">board in the </w:t>
      </w:r>
      <w:r w:rsidRPr="00EA2A43">
        <w:rPr>
          <w:rFonts w:ascii="Garamond" w:hAnsi="Garamond" w:cs="Arial"/>
          <w:sz w:val="24"/>
          <w:szCs w:val="24"/>
          <w:shd w:val="clear" w:color="auto" w:fill="FFFFFF"/>
        </w:rPr>
        <w:t>Côte</w:t>
      </w:r>
      <w:r w:rsidRPr="00EA2A43">
        <w:rPr>
          <w:rStyle w:val="apple-converted-space"/>
          <w:rFonts w:ascii="Garamond" w:hAnsi="Garamond" w:cs="Arial"/>
          <w:sz w:val="24"/>
          <w:szCs w:val="24"/>
          <w:shd w:val="clear" w:color="auto" w:fill="FFFFFF"/>
        </w:rPr>
        <w:t> D'Ivoire</w:t>
      </w:r>
      <w:r>
        <w:rPr>
          <w:rStyle w:val="apple-converted-space"/>
          <w:rFonts w:ascii="Garamond" w:hAnsi="Garamond" w:cs="Arial"/>
          <w:sz w:val="24"/>
          <w:szCs w:val="24"/>
          <w:shd w:val="clear" w:color="auto" w:fill="FFFFFF"/>
        </w:rPr>
        <w:t xml:space="preserve"> offers hope that cocoa value can be fixed at the start of each season to protect farmers against ravages caused by global market fluctuations in the price of cocoa futures (Losch, 2002). STT's work in encouraging patience from chocolate multinationals as cocoa production and trade is transferred through the state marketing board will be vital.  Re-territorializing aspects of cocoa production offers potential for undermining the broadly neoliberal capitalist imperialisms of the global chocolate agro-industry (Harvey, 2005a).  </w:t>
      </w:r>
    </w:p>
    <w:p w:rsidR="008A2663" w:rsidRDefault="008A2663" w:rsidP="008A2663">
      <w:pPr>
        <w:spacing w:after="0" w:line="360" w:lineRule="auto"/>
        <w:jc w:val="both"/>
        <w:rPr>
          <w:rStyle w:val="apple-converted-space"/>
        </w:rPr>
      </w:pPr>
    </w:p>
    <w:p w:rsidR="007E10FB" w:rsidRDefault="007E10FB" w:rsidP="008A2663">
      <w:pPr>
        <w:pStyle w:val="Heading2"/>
      </w:pPr>
      <w:bookmarkStart w:id="926" w:name="_Toc244578420"/>
      <w:bookmarkStart w:id="927" w:name="_Toc244578804"/>
      <w:bookmarkStart w:id="928" w:name="_Toc263452055"/>
    </w:p>
    <w:p w:rsidR="008A2663" w:rsidRPr="00C747C4" w:rsidRDefault="008A2663" w:rsidP="008A2663">
      <w:pPr>
        <w:pStyle w:val="Heading2"/>
      </w:pPr>
      <w:bookmarkStart w:id="929" w:name="_Toc263510973"/>
      <w:r w:rsidRPr="00C747C4">
        <w:t>Expanding understandings of what boycott activists do</w:t>
      </w:r>
      <w:bookmarkEnd w:id="926"/>
      <w:bookmarkEnd w:id="927"/>
      <w:bookmarkEnd w:id="928"/>
      <w:bookmarkEnd w:id="929"/>
    </w:p>
    <w:p w:rsidR="008A2663" w:rsidRPr="009359AE" w:rsidRDefault="008A2663" w:rsidP="008A2663">
      <w:pPr>
        <w:spacing w:after="0" w:line="360" w:lineRule="auto"/>
        <w:rPr>
          <w:rFonts w:ascii="Garamond" w:hAnsi="Garamond"/>
          <w:sz w:val="24"/>
          <w:szCs w:val="24"/>
        </w:rPr>
      </w:pPr>
    </w:p>
    <w:p w:rsidR="008A2663" w:rsidRDefault="008A2663" w:rsidP="008A2663">
      <w:pPr>
        <w:autoSpaceDE w:val="0"/>
        <w:autoSpaceDN w:val="0"/>
        <w:adjustRightInd w:val="0"/>
        <w:spacing w:after="0" w:line="360" w:lineRule="auto"/>
        <w:jc w:val="both"/>
        <w:rPr>
          <w:rFonts w:ascii="Garamond" w:hAnsi="Garamond"/>
          <w:sz w:val="24"/>
          <w:szCs w:val="24"/>
        </w:rPr>
      </w:pPr>
      <w:r>
        <w:rPr>
          <w:rFonts w:ascii="Garamond" w:hAnsi="Garamond"/>
          <w:sz w:val="24"/>
          <w:szCs w:val="24"/>
        </w:rPr>
        <w:t xml:space="preserve">Across both case studies I sought to understand how the inequalities addressed by the BOA and STT were the product of socio-economic processes (colonialism, economic liberalization, white capitalism) rather than 'natural market effects' (Wolpe, 1972; Fold, 2002; Ferguson, 2007; Brooks, 2012). On the one hand, this required relating transnational apartheid and chocolate capitalism to postcolonial and cultural and political economy approaches, and on the other hand, it has meant investigating how the activisms of the BOA and STT impact upon cultural and political economies of transnational apartheid capitalism and the chocolate industry respectively. I considered the ways in which cultural and social relations are embedded in the practices of apartheid citrus capitalism and the global chocolate industry, and I proposed that these relations contribute to shaping the material commodity (du Gay </w:t>
      </w:r>
      <w:r w:rsidR="00F152DB">
        <w:rPr>
          <w:rFonts w:ascii="Garamond" w:hAnsi="Garamond"/>
          <w:sz w:val="24"/>
          <w:szCs w:val="24"/>
        </w:rPr>
        <w:t>and</w:t>
      </w:r>
      <w:r>
        <w:rPr>
          <w:rFonts w:ascii="Garamond" w:hAnsi="Garamond"/>
          <w:sz w:val="24"/>
          <w:szCs w:val="24"/>
        </w:rPr>
        <w:t xml:space="preserve"> Pryke, 2002; Amin </w:t>
      </w:r>
      <w:r w:rsidR="00F152DB">
        <w:rPr>
          <w:rFonts w:ascii="Garamond" w:hAnsi="Garamond"/>
          <w:sz w:val="24"/>
          <w:szCs w:val="24"/>
        </w:rPr>
        <w:t>and</w:t>
      </w:r>
      <w:r>
        <w:rPr>
          <w:rFonts w:ascii="Garamond" w:hAnsi="Garamond"/>
          <w:sz w:val="24"/>
          <w:szCs w:val="24"/>
        </w:rPr>
        <w:t xml:space="preserve"> Thrift, 2003). At times, I adopted a Marxist political economy approach (most notably in Chapter Five where I used secondary sources to highlight the different exchange nodes for cocoa in the </w:t>
      </w:r>
      <w:r w:rsidRPr="00A55217">
        <w:rPr>
          <w:rStyle w:val="st"/>
          <w:rFonts w:ascii="Garamond" w:hAnsi="Garamond"/>
          <w:bCs/>
          <w:sz w:val="24"/>
          <w:szCs w:val="24"/>
        </w:rPr>
        <w:t>Côte d'Ivoire</w:t>
      </w:r>
      <w:r>
        <w:rPr>
          <w:rFonts w:ascii="Garamond" w:hAnsi="Garamond"/>
          <w:sz w:val="24"/>
          <w:szCs w:val="24"/>
        </w:rPr>
        <w:t>), but much of the thesis is shot through with the imperative to ask how the empirical findings speak to broadly postcolonial geographies on distance, proximity, affect and race. To bring these elements together I now return to my initial aim: to expand understandings of what commodity boycott organizations do.</w:t>
      </w:r>
    </w:p>
    <w:p w:rsidR="008A2663" w:rsidRDefault="008A2663" w:rsidP="008A2663">
      <w:pPr>
        <w:autoSpaceDE w:val="0"/>
        <w:autoSpaceDN w:val="0"/>
        <w:adjustRightInd w:val="0"/>
        <w:spacing w:after="0" w:line="360" w:lineRule="auto"/>
        <w:jc w:val="both"/>
        <w:rPr>
          <w:rFonts w:ascii="Garamond" w:hAnsi="Garamond"/>
          <w:sz w:val="24"/>
          <w:szCs w:val="24"/>
        </w:rPr>
      </w:pPr>
    </w:p>
    <w:p w:rsidR="008A2663" w:rsidRPr="00F51419" w:rsidRDefault="008A2663" w:rsidP="008A2663">
      <w:pPr>
        <w:spacing w:line="360" w:lineRule="auto"/>
        <w:jc w:val="both"/>
        <w:rPr>
          <w:rFonts w:ascii="Garamond" w:hAnsi="Garamond"/>
          <w:b/>
          <w:i/>
          <w:szCs w:val="24"/>
        </w:rPr>
      </w:pPr>
      <w:r w:rsidRPr="00F51419">
        <w:rPr>
          <w:rFonts w:ascii="Garamond" w:hAnsi="Garamond"/>
          <w:b/>
          <w:i/>
          <w:szCs w:val="24"/>
        </w:rPr>
        <w:t xml:space="preserve">The white geographical imagination </w:t>
      </w:r>
    </w:p>
    <w:p w:rsidR="008A2663" w:rsidRPr="000E1386" w:rsidRDefault="008A2663" w:rsidP="008A2663">
      <w:pPr>
        <w:spacing w:line="360" w:lineRule="auto"/>
        <w:jc w:val="both"/>
        <w:rPr>
          <w:rFonts w:ascii="Garamond" w:hAnsi="Garamond"/>
          <w:sz w:val="24"/>
          <w:szCs w:val="24"/>
        </w:rPr>
      </w:pPr>
      <w:r>
        <w:rPr>
          <w:rFonts w:ascii="Garamond" w:hAnsi="Garamond"/>
          <w:sz w:val="24"/>
          <w:szCs w:val="24"/>
        </w:rPr>
        <w:t xml:space="preserve">Through white geographical imaginaries this thesis has ducked and dived. Let me return briefly to the BOA poster. </w:t>
      </w:r>
      <w:r w:rsidRPr="000E1386">
        <w:rPr>
          <w:rFonts w:ascii="Garamond" w:hAnsi="Garamond"/>
          <w:sz w:val="24"/>
          <w:szCs w:val="24"/>
        </w:rPr>
        <w:t xml:space="preserve">The image was simple yet ludicrous; a white hand squishing a black boy's head into an orange-juicer. The pain seemingly unmistakable on the </w:t>
      </w:r>
      <w:r w:rsidRPr="000E1386">
        <w:rPr>
          <w:rFonts w:ascii="Garamond" w:hAnsi="Garamond"/>
          <w:sz w:val="24"/>
          <w:szCs w:val="24"/>
        </w:rPr>
        <w:lastRenderedPageBreak/>
        <w:t>disembodied boy's face, the white hand cuffed with the label of apartheid. Its power,</w:t>
      </w:r>
      <w:r>
        <w:rPr>
          <w:rFonts w:ascii="Garamond" w:hAnsi="Garamond"/>
          <w:sz w:val="24"/>
          <w:szCs w:val="24"/>
        </w:rPr>
        <w:t xml:space="preserve"> as I showed in Chapter T</w:t>
      </w:r>
      <w:r w:rsidRPr="000E1386">
        <w:rPr>
          <w:rFonts w:ascii="Garamond" w:hAnsi="Garamond"/>
          <w:sz w:val="24"/>
          <w:szCs w:val="24"/>
        </w:rPr>
        <w:t>hree, derived from its immediate somatic affect of disgust in connotation with the embodied practice of making and drinking orange juice. But the image is a kind of allegory for the BOA's work as a whole; the contingent relations of complex politics</w:t>
      </w:r>
      <w:r>
        <w:rPr>
          <w:rFonts w:ascii="Garamond" w:hAnsi="Garamond"/>
          <w:sz w:val="24"/>
          <w:szCs w:val="24"/>
        </w:rPr>
        <w:t xml:space="preserve"> between Europe and South Africa, black and white, body and food,</w:t>
      </w:r>
      <w:r w:rsidRPr="000E1386">
        <w:rPr>
          <w:rFonts w:ascii="Garamond" w:hAnsi="Garamond"/>
          <w:sz w:val="24"/>
          <w:szCs w:val="24"/>
        </w:rPr>
        <w:t xml:space="preserve"> are condensed </w:t>
      </w:r>
      <w:r>
        <w:rPr>
          <w:rFonts w:ascii="Garamond" w:hAnsi="Garamond"/>
          <w:sz w:val="24"/>
          <w:szCs w:val="24"/>
        </w:rPr>
        <w:t>into one crushing and disgusting</w:t>
      </w:r>
      <w:r w:rsidRPr="000E1386">
        <w:rPr>
          <w:rFonts w:ascii="Garamond" w:hAnsi="Garamond"/>
          <w:sz w:val="24"/>
          <w:szCs w:val="24"/>
        </w:rPr>
        <w:t xml:space="preserve"> display of power. For the BOA and Esau du Plessis, the poster effectively visualized what racism was; the impersonalized application of white power on black bodies. And if the campaigns against white migration, the bus tours, the labour solid</w:t>
      </w:r>
      <w:r>
        <w:rPr>
          <w:rFonts w:ascii="Garamond" w:hAnsi="Garamond"/>
          <w:sz w:val="24"/>
          <w:szCs w:val="24"/>
        </w:rPr>
        <w:t>arities, the urban campaigns could</w:t>
      </w:r>
      <w:r w:rsidRPr="000E1386">
        <w:rPr>
          <w:rFonts w:ascii="Garamond" w:hAnsi="Garamond"/>
          <w:sz w:val="24"/>
          <w:szCs w:val="24"/>
        </w:rPr>
        <w:t xml:space="preserve"> be condensed into one political aim,</w:t>
      </w:r>
      <w:r>
        <w:rPr>
          <w:rFonts w:ascii="Garamond" w:hAnsi="Garamond"/>
          <w:sz w:val="24"/>
          <w:szCs w:val="24"/>
        </w:rPr>
        <w:t xml:space="preserve"> it is this: to 'out'</w:t>
      </w:r>
      <w:r w:rsidRPr="000E1386">
        <w:rPr>
          <w:rFonts w:ascii="Garamond" w:hAnsi="Garamond"/>
          <w:sz w:val="24"/>
          <w:szCs w:val="24"/>
        </w:rPr>
        <w:t xml:space="preserve"> and eradicate structural racism.</w:t>
      </w:r>
    </w:p>
    <w:p w:rsidR="008A2663" w:rsidRPr="000E1386" w:rsidRDefault="008A2663" w:rsidP="008A2663">
      <w:pPr>
        <w:spacing w:line="360" w:lineRule="auto"/>
        <w:jc w:val="both"/>
        <w:rPr>
          <w:rFonts w:ascii="Garamond" w:hAnsi="Garamond"/>
          <w:sz w:val="24"/>
          <w:szCs w:val="24"/>
        </w:rPr>
      </w:pPr>
      <w:r w:rsidRPr="000E1386">
        <w:rPr>
          <w:rFonts w:ascii="Garamond" w:hAnsi="Garamond"/>
          <w:sz w:val="24"/>
          <w:szCs w:val="24"/>
        </w:rPr>
        <w:t xml:space="preserve">But why were the BOA so dramatic, so bloody and bloody-minded - so controversial? Why did antiracism become the organization's raison d'être? During an interview, du Plessis told me a story of a neighbour to the farm in which he grew up in near Maclear, South Africa. Rumours were rife among du Plessis' group of friends that this neighbour, a white farmer, was making young black boys disappear. </w:t>
      </w:r>
      <w:r>
        <w:rPr>
          <w:rFonts w:ascii="Garamond" w:hAnsi="Garamond"/>
          <w:sz w:val="24"/>
          <w:szCs w:val="24"/>
        </w:rPr>
        <w:t xml:space="preserve">Nothing could be done </w:t>
      </w:r>
      <w:r w:rsidRPr="000E1386">
        <w:rPr>
          <w:rFonts w:ascii="Garamond" w:hAnsi="Garamond"/>
          <w:sz w:val="24"/>
          <w:szCs w:val="24"/>
        </w:rPr>
        <w:t xml:space="preserve">and the boys would not be believed. </w:t>
      </w:r>
      <w:r>
        <w:rPr>
          <w:rFonts w:ascii="Garamond" w:hAnsi="Garamond"/>
          <w:sz w:val="24"/>
          <w:szCs w:val="24"/>
        </w:rPr>
        <w:t xml:space="preserve">Many years later </w:t>
      </w:r>
      <w:r w:rsidRPr="000E1386">
        <w:rPr>
          <w:rFonts w:ascii="Garamond" w:hAnsi="Garamond"/>
          <w:sz w:val="24"/>
          <w:szCs w:val="24"/>
        </w:rPr>
        <w:t xml:space="preserve">the boys - long turned men, returned to the farmer's old property </w:t>
      </w:r>
      <w:r>
        <w:rPr>
          <w:rFonts w:ascii="Garamond" w:hAnsi="Garamond"/>
          <w:sz w:val="24"/>
          <w:szCs w:val="24"/>
        </w:rPr>
        <w:t>and dug to find their friends in the soil.</w:t>
      </w:r>
      <w:r w:rsidRPr="000E1386">
        <w:rPr>
          <w:rFonts w:ascii="Garamond" w:hAnsi="Garamond"/>
          <w:sz w:val="24"/>
          <w:szCs w:val="24"/>
        </w:rPr>
        <w:t xml:space="preserve"> </w:t>
      </w:r>
    </w:p>
    <w:p w:rsidR="008A2663" w:rsidRPr="000E1386" w:rsidRDefault="008A2663" w:rsidP="008A2663">
      <w:pPr>
        <w:spacing w:line="360" w:lineRule="auto"/>
        <w:jc w:val="both"/>
        <w:rPr>
          <w:rFonts w:ascii="Garamond" w:hAnsi="Garamond"/>
          <w:sz w:val="24"/>
          <w:szCs w:val="24"/>
        </w:rPr>
      </w:pPr>
      <w:r w:rsidRPr="000E1386">
        <w:rPr>
          <w:rFonts w:ascii="Garamond" w:hAnsi="Garamond"/>
          <w:sz w:val="24"/>
          <w:szCs w:val="24"/>
        </w:rPr>
        <w:t>When we first met du Plessis said that he could tell a racist from the way a person looked at him. Although I had read some of Fanon's descriptions of this immediate phenomenological process, this comment had me slightly concerned. Did he see a racist in me? In a way he wasn't wrong. I have grown up with all the benefits of whiteness embodied in my past; as the son of an engineer working for a large multinational construction firm I lived as a white expatriate child in various hot, arid and tropical countries. Brown hands fed and tended me as a baby, and in the early 1990s I went to a boarding school where I was taught to imagine the world through archaic structures of feeling, to think and feel in ways that befitted my white, male, middle-class status.</w:t>
      </w:r>
      <w:r w:rsidRPr="007F3D44">
        <w:rPr>
          <w:rFonts w:ascii="Garamond" w:hAnsi="Garamond"/>
          <w:sz w:val="24"/>
          <w:szCs w:val="24"/>
        </w:rPr>
        <w:t xml:space="preserve"> </w:t>
      </w:r>
      <w:r w:rsidRPr="000E1386">
        <w:rPr>
          <w:rFonts w:ascii="Garamond" w:hAnsi="Garamond"/>
          <w:sz w:val="24"/>
          <w:szCs w:val="24"/>
        </w:rPr>
        <w:t>At weekends I stayed w</w:t>
      </w:r>
      <w:r>
        <w:rPr>
          <w:rFonts w:ascii="Garamond" w:hAnsi="Garamond"/>
          <w:sz w:val="24"/>
          <w:szCs w:val="24"/>
        </w:rPr>
        <w:t>ith my grandparents whose world-</w:t>
      </w:r>
      <w:r w:rsidRPr="000E1386">
        <w:rPr>
          <w:rFonts w:ascii="Garamond" w:hAnsi="Garamond"/>
          <w:sz w:val="24"/>
          <w:szCs w:val="24"/>
        </w:rPr>
        <w:t>views had been shaped in the colonies</w:t>
      </w:r>
      <w:r>
        <w:rPr>
          <w:rFonts w:ascii="Garamond" w:hAnsi="Garamond"/>
          <w:sz w:val="24"/>
          <w:szCs w:val="24"/>
        </w:rPr>
        <w:t>.</w:t>
      </w:r>
      <w:r w:rsidRPr="000E1386">
        <w:rPr>
          <w:rFonts w:ascii="Garamond" w:hAnsi="Garamond"/>
          <w:sz w:val="24"/>
          <w:szCs w:val="24"/>
        </w:rPr>
        <w:t xml:space="preserve"> Affective states as Ann Stoler</w:t>
      </w:r>
      <w:r>
        <w:rPr>
          <w:rFonts w:ascii="Garamond" w:hAnsi="Garamond"/>
          <w:sz w:val="24"/>
          <w:szCs w:val="24"/>
        </w:rPr>
        <w:t xml:space="preserve"> (2008)</w:t>
      </w:r>
      <w:r w:rsidRPr="000E1386">
        <w:rPr>
          <w:rFonts w:ascii="Garamond" w:hAnsi="Garamond"/>
          <w:sz w:val="24"/>
          <w:szCs w:val="24"/>
        </w:rPr>
        <w:t xml:space="preserve"> writes are taught</w:t>
      </w:r>
      <w:r>
        <w:rPr>
          <w:rFonts w:ascii="Garamond" w:hAnsi="Garamond"/>
          <w:sz w:val="24"/>
          <w:szCs w:val="24"/>
        </w:rPr>
        <w:t xml:space="preserve"> (and thankfully they can be untaught)</w:t>
      </w:r>
      <w:r w:rsidRPr="000E1386">
        <w:rPr>
          <w:rFonts w:ascii="Garamond" w:hAnsi="Garamond"/>
          <w:sz w:val="24"/>
          <w:szCs w:val="24"/>
        </w:rPr>
        <w:t>. Had Esau sensed this? As Derek Hook</w:t>
      </w:r>
      <w:r>
        <w:rPr>
          <w:rFonts w:ascii="Garamond" w:hAnsi="Garamond"/>
          <w:sz w:val="24"/>
          <w:szCs w:val="24"/>
        </w:rPr>
        <w:t xml:space="preserve"> (2006)</w:t>
      </w:r>
      <w:r w:rsidRPr="000E1386">
        <w:rPr>
          <w:rFonts w:ascii="Garamond" w:hAnsi="Garamond"/>
          <w:sz w:val="24"/>
          <w:szCs w:val="24"/>
        </w:rPr>
        <w:t xml:space="preserve"> has written, racism works through us expressing itself in ways that are beyond cognition. But so does compassion and racialized guilt. When I was t</w:t>
      </w:r>
      <w:r>
        <w:rPr>
          <w:rFonts w:ascii="Garamond" w:hAnsi="Garamond"/>
          <w:sz w:val="24"/>
          <w:szCs w:val="24"/>
        </w:rPr>
        <w:t>en, Grace, the Singhalese house</w:t>
      </w:r>
      <w:r w:rsidRPr="000E1386">
        <w:rPr>
          <w:rFonts w:ascii="Garamond" w:hAnsi="Garamond"/>
          <w:sz w:val="24"/>
          <w:szCs w:val="24"/>
        </w:rPr>
        <w:t>maid whom my parents employed, died aged in her forties shortly after we visited her in a village near Kandy. During our short stay she had taken me into her single-roomed corrugated metal</w:t>
      </w:r>
      <w:r>
        <w:rPr>
          <w:rFonts w:ascii="Garamond" w:hAnsi="Garamond"/>
          <w:sz w:val="24"/>
          <w:szCs w:val="24"/>
        </w:rPr>
        <w:t xml:space="preserve"> home</w:t>
      </w:r>
      <w:r w:rsidRPr="000E1386">
        <w:rPr>
          <w:rFonts w:ascii="Garamond" w:hAnsi="Garamond"/>
          <w:sz w:val="24"/>
          <w:szCs w:val="24"/>
        </w:rPr>
        <w:t xml:space="preserve"> and opened up a little box she kept under her bed. Inside was a photograph of myself as </w:t>
      </w:r>
      <w:r w:rsidRPr="000E1386">
        <w:rPr>
          <w:rFonts w:ascii="Garamond" w:hAnsi="Garamond"/>
          <w:sz w:val="24"/>
          <w:szCs w:val="24"/>
        </w:rPr>
        <w:lastRenderedPageBreak/>
        <w:t xml:space="preserve">a baby. A few months later news of her death from stomach cancer arrived in a letter from my parents. I was struck by paralyzing guilt, and at the time I had no idea why.   </w:t>
      </w:r>
    </w:p>
    <w:p w:rsidR="008A2663" w:rsidRPr="000E1386" w:rsidRDefault="008A2663" w:rsidP="008A2663">
      <w:pPr>
        <w:spacing w:line="360" w:lineRule="auto"/>
        <w:jc w:val="both"/>
        <w:rPr>
          <w:rFonts w:ascii="Garamond" w:hAnsi="Garamond"/>
          <w:sz w:val="24"/>
          <w:szCs w:val="24"/>
        </w:rPr>
      </w:pPr>
      <w:r w:rsidRPr="000E1386">
        <w:rPr>
          <w:rFonts w:ascii="Garamond" w:hAnsi="Garamond"/>
          <w:sz w:val="24"/>
          <w:szCs w:val="24"/>
        </w:rPr>
        <w:t>The conviction that informs my commitment to antiracism has developed from somewhere in my expatriate childhood, somewhere in that tin house, in that photograph, in that memory of Grace and not being able to help her. On a fundamentally interpersonal level it is a tragic story of love and loss</w:t>
      </w:r>
      <w:r>
        <w:rPr>
          <w:rFonts w:ascii="Garamond" w:hAnsi="Garamond"/>
          <w:sz w:val="24"/>
          <w:szCs w:val="24"/>
        </w:rPr>
        <w:t xml:space="preserve"> (and a story of racial blurring between a powerful maternal figure and a young child which Stoler, 2002, remarks has power to undermine racialization processes)</w:t>
      </w:r>
      <w:r w:rsidRPr="000E1386">
        <w:rPr>
          <w:rFonts w:ascii="Garamond" w:hAnsi="Garamond"/>
          <w:sz w:val="24"/>
          <w:szCs w:val="24"/>
        </w:rPr>
        <w:t>. But it is also a narcissistic story, deeply personal and romanticized, and full of white imagination, guilt and privilege. But there is value in sharing</w:t>
      </w:r>
      <w:r>
        <w:rPr>
          <w:rFonts w:ascii="Garamond" w:hAnsi="Garamond"/>
          <w:sz w:val="24"/>
          <w:szCs w:val="24"/>
        </w:rPr>
        <w:t xml:space="preserve"> it here.</w:t>
      </w:r>
      <w:r w:rsidRPr="000E1386">
        <w:rPr>
          <w:rFonts w:ascii="Garamond" w:hAnsi="Garamond"/>
          <w:sz w:val="24"/>
          <w:szCs w:val="24"/>
        </w:rPr>
        <w:t xml:space="preserve"> I can identify with similar white imaginations of places and people because they have shaped my world. I can recognize how emotions of care, pity and compassion can be consumed through combinations of racialized and gendered differences because I have experienced them. White antiracism takes many f</w:t>
      </w:r>
      <w:r>
        <w:rPr>
          <w:rFonts w:ascii="Garamond" w:hAnsi="Garamond"/>
          <w:sz w:val="24"/>
          <w:szCs w:val="24"/>
        </w:rPr>
        <w:t>orms, but it usually starts from a</w:t>
      </w:r>
      <w:r w:rsidRPr="000E1386">
        <w:rPr>
          <w:rFonts w:ascii="Garamond" w:hAnsi="Garamond"/>
          <w:sz w:val="24"/>
          <w:szCs w:val="24"/>
        </w:rPr>
        <w:t xml:space="preserve"> position of awareness. And here is the awkward complication; as I have shown, awareness requires knowledge and power. Therefore, how is this awareness democratized? Or are there other white antiracisms that operate without awareness? Can white antiracism</w:t>
      </w:r>
      <w:r>
        <w:rPr>
          <w:rFonts w:ascii="Garamond" w:hAnsi="Garamond"/>
          <w:sz w:val="24"/>
          <w:szCs w:val="24"/>
        </w:rPr>
        <w:t xml:space="preserve"> be</w:t>
      </w:r>
      <w:r w:rsidRPr="000E1386">
        <w:rPr>
          <w:rFonts w:ascii="Garamond" w:hAnsi="Garamond"/>
          <w:sz w:val="24"/>
          <w:szCs w:val="24"/>
        </w:rPr>
        <w:t xml:space="preserve"> made into a proletarian project that does not reinforce class-based stereotypes and power relations?      </w:t>
      </w:r>
    </w:p>
    <w:p w:rsidR="008A2663" w:rsidRDefault="008A2663" w:rsidP="008A2663">
      <w:pPr>
        <w:autoSpaceDE w:val="0"/>
        <w:autoSpaceDN w:val="0"/>
        <w:adjustRightInd w:val="0"/>
        <w:spacing w:after="0" w:line="360" w:lineRule="auto"/>
        <w:jc w:val="both"/>
        <w:rPr>
          <w:rFonts w:ascii="Garamond" w:hAnsi="Garamond"/>
          <w:sz w:val="24"/>
          <w:szCs w:val="24"/>
        </w:rPr>
      </w:pPr>
      <w:r w:rsidRPr="000E1386">
        <w:rPr>
          <w:rFonts w:ascii="Garamond" w:hAnsi="Garamond"/>
          <w:sz w:val="24"/>
          <w:szCs w:val="24"/>
        </w:rPr>
        <w:t xml:space="preserve">These were key problems that vexed </w:t>
      </w:r>
      <w:r>
        <w:rPr>
          <w:rFonts w:ascii="Garamond" w:hAnsi="Garamond"/>
          <w:sz w:val="24"/>
          <w:szCs w:val="24"/>
        </w:rPr>
        <w:t xml:space="preserve">the BOA’s </w:t>
      </w:r>
      <w:r w:rsidRPr="000E1386">
        <w:rPr>
          <w:rFonts w:ascii="Garamond" w:hAnsi="Garamond"/>
          <w:sz w:val="24"/>
          <w:szCs w:val="24"/>
        </w:rPr>
        <w:t>du Plessis, Roskam and van Kaam during the late 1960s. The</w:t>
      </w:r>
      <w:r>
        <w:rPr>
          <w:rFonts w:ascii="Garamond" w:hAnsi="Garamond"/>
          <w:sz w:val="24"/>
          <w:szCs w:val="24"/>
        </w:rPr>
        <w:t>ir</w:t>
      </w:r>
      <w:r w:rsidRPr="000E1386">
        <w:rPr>
          <w:rFonts w:ascii="Garamond" w:hAnsi="Garamond"/>
          <w:sz w:val="24"/>
          <w:szCs w:val="24"/>
        </w:rPr>
        <w:t xml:space="preserve"> </w:t>
      </w:r>
      <w:r>
        <w:rPr>
          <w:rFonts w:ascii="Garamond" w:hAnsi="Garamond"/>
          <w:sz w:val="24"/>
          <w:szCs w:val="24"/>
        </w:rPr>
        <w:t xml:space="preserve">answer was to engage the </w:t>
      </w:r>
      <w:r w:rsidRPr="000E1386">
        <w:rPr>
          <w:rFonts w:ascii="Garamond" w:hAnsi="Garamond"/>
          <w:sz w:val="24"/>
          <w:szCs w:val="24"/>
        </w:rPr>
        <w:t>'lowest threshold'</w:t>
      </w:r>
      <w:r>
        <w:rPr>
          <w:rFonts w:ascii="Garamond" w:hAnsi="Garamond"/>
          <w:sz w:val="24"/>
          <w:szCs w:val="24"/>
        </w:rPr>
        <w:t xml:space="preserve"> through boycotting apartheid and to suture racial reflexivity with activism through labour and transnational solidarities over time. </w:t>
      </w:r>
    </w:p>
    <w:p w:rsidR="008A2663" w:rsidRDefault="008A2663" w:rsidP="008A2663">
      <w:pPr>
        <w:autoSpaceDE w:val="0"/>
        <w:autoSpaceDN w:val="0"/>
        <w:adjustRightInd w:val="0"/>
        <w:spacing w:after="0" w:line="360" w:lineRule="auto"/>
        <w:jc w:val="both"/>
        <w:rPr>
          <w:rFonts w:ascii="Garamond" w:hAnsi="Garamond"/>
          <w:sz w:val="24"/>
          <w:szCs w:val="24"/>
        </w:rPr>
      </w:pPr>
    </w:p>
    <w:p w:rsidR="008A2663" w:rsidRDefault="008A2663" w:rsidP="008A2663">
      <w:pPr>
        <w:spacing w:after="0" w:line="360" w:lineRule="auto"/>
        <w:jc w:val="both"/>
        <w:rPr>
          <w:rFonts w:ascii="Garamond" w:hAnsi="Garamond"/>
          <w:b/>
          <w:szCs w:val="24"/>
        </w:rPr>
      </w:pPr>
      <w:r w:rsidRPr="00395033">
        <w:rPr>
          <w:rFonts w:ascii="Garamond" w:hAnsi="Garamond" w:cs="Times New Roman"/>
          <w:b/>
          <w:i/>
          <w:szCs w:val="24"/>
        </w:rPr>
        <w:t>Thinking, feeling and acting through activist bodywork</w:t>
      </w:r>
      <w:r w:rsidRPr="00395033">
        <w:rPr>
          <w:rFonts w:ascii="Garamond" w:hAnsi="Garamond"/>
          <w:b/>
          <w:szCs w:val="24"/>
        </w:rPr>
        <w:t xml:space="preserve"> </w:t>
      </w:r>
    </w:p>
    <w:p w:rsidR="008A2663" w:rsidRPr="00395033" w:rsidRDefault="008A2663" w:rsidP="008A2663">
      <w:pPr>
        <w:spacing w:after="0" w:line="360" w:lineRule="auto"/>
        <w:jc w:val="both"/>
        <w:rPr>
          <w:rFonts w:ascii="Garamond" w:hAnsi="Garamond"/>
          <w:b/>
          <w:szCs w:val="24"/>
        </w:rPr>
      </w:pPr>
    </w:p>
    <w:p w:rsidR="008A2663" w:rsidRDefault="008A2663" w:rsidP="008A2663">
      <w:pPr>
        <w:spacing w:after="0" w:line="360" w:lineRule="auto"/>
        <w:jc w:val="both"/>
        <w:rPr>
          <w:rFonts w:ascii="Garamond" w:hAnsi="Garamond"/>
          <w:sz w:val="24"/>
          <w:szCs w:val="24"/>
        </w:rPr>
      </w:pPr>
      <w:r w:rsidRPr="00A36C42">
        <w:rPr>
          <w:rFonts w:ascii="Garamond" w:hAnsi="Garamond"/>
          <w:sz w:val="24"/>
          <w:szCs w:val="24"/>
        </w:rPr>
        <w:t xml:space="preserve">At a keynote lecture of 2013's </w:t>
      </w:r>
      <w:r w:rsidRPr="00395033">
        <w:rPr>
          <w:rFonts w:ascii="Garamond" w:hAnsi="Garamond"/>
          <w:i/>
          <w:sz w:val="24"/>
          <w:szCs w:val="24"/>
        </w:rPr>
        <w:t>Emotional Geographies</w:t>
      </w:r>
      <w:r w:rsidRPr="00A36C42">
        <w:rPr>
          <w:rFonts w:ascii="Garamond" w:hAnsi="Garamond"/>
          <w:i/>
          <w:sz w:val="24"/>
          <w:szCs w:val="24"/>
        </w:rPr>
        <w:t xml:space="preserve"> </w:t>
      </w:r>
      <w:r w:rsidRPr="00A36C42">
        <w:rPr>
          <w:rFonts w:ascii="Garamond" w:hAnsi="Garamond"/>
          <w:sz w:val="24"/>
          <w:szCs w:val="24"/>
        </w:rPr>
        <w:t>conference in Groningen</w:t>
      </w:r>
      <w:r>
        <w:rPr>
          <w:rFonts w:ascii="Garamond" w:hAnsi="Garamond"/>
          <w:sz w:val="24"/>
          <w:szCs w:val="24"/>
        </w:rPr>
        <w:t>, Annmarie Mol presented a paper</w:t>
      </w:r>
      <w:r w:rsidRPr="00A36C42">
        <w:rPr>
          <w:rFonts w:ascii="Garamond" w:hAnsi="Garamond"/>
          <w:sz w:val="24"/>
          <w:szCs w:val="24"/>
        </w:rPr>
        <w:t xml:space="preserve"> entitled </w:t>
      </w:r>
      <w:r>
        <w:rPr>
          <w:rFonts w:ascii="Garamond" w:hAnsi="Garamond"/>
          <w:sz w:val="24"/>
          <w:szCs w:val="24"/>
        </w:rPr>
        <w:t>‘</w:t>
      </w:r>
      <w:r w:rsidRPr="00395033">
        <w:rPr>
          <w:rFonts w:ascii="Garamond" w:hAnsi="Garamond"/>
          <w:sz w:val="24"/>
          <w:szCs w:val="24"/>
        </w:rPr>
        <w:t>Feeling, wording, eating. On cultivating bodies</w:t>
      </w:r>
      <w:r>
        <w:rPr>
          <w:rFonts w:ascii="Garamond" w:hAnsi="Garamond"/>
          <w:sz w:val="24"/>
          <w:szCs w:val="24"/>
        </w:rPr>
        <w:t>’</w:t>
      </w:r>
      <w:r w:rsidRPr="00A36C42">
        <w:rPr>
          <w:rFonts w:ascii="Garamond" w:hAnsi="Garamond"/>
          <w:i/>
          <w:sz w:val="24"/>
          <w:szCs w:val="24"/>
        </w:rPr>
        <w:t>.</w:t>
      </w:r>
      <w:r w:rsidRPr="00A36C42">
        <w:rPr>
          <w:rFonts w:ascii="Garamond" w:hAnsi="Garamond"/>
          <w:sz w:val="24"/>
          <w:szCs w:val="24"/>
        </w:rPr>
        <w:t xml:space="preserve"> She made several points on the embodied politics of food that dovetail with both my case studies and the approach to bodies and bodywork taken in this thesis. </w:t>
      </w:r>
      <w:r>
        <w:rPr>
          <w:rFonts w:ascii="Garamond" w:hAnsi="Garamond"/>
          <w:sz w:val="24"/>
          <w:szCs w:val="24"/>
        </w:rPr>
        <w:t>O</w:t>
      </w:r>
      <w:r w:rsidRPr="00A36C42">
        <w:rPr>
          <w:rFonts w:ascii="Garamond" w:hAnsi="Garamond"/>
          <w:sz w:val="24"/>
          <w:szCs w:val="24"/>
        </w:rPr>
        <w:t>n a slide she presented an image of the BOA's</w:t>
      </w:r>
      <w:r>
        <w:rPr>
          <w:rFonts w:ascii="Garamond" w:hAnsi="Garamond"/>
          <w:sz w:val="24"/>
          <w:szCs w:val="24"/>
        </w:rPr>
        <w:t xml:space="preserve"> blood orange</w:t>
      </w:r>
      <w:r w:rsidRPr="00A36C42">
        <w:rPr>
          <w:rFonts w:ascii="Garamond" w:hAnsi="Garamond"/>
          <w:sz w:val="24"/>
          <w:szCs w:val="24"/>
        </w:rPr>
        <w:t xml:space="preserve"> poster and distinguished its embodied work from that of </w:t>
      </w:r>
      <w:r>
        <w:rPr>
          <w:rFonts w:ascii="Garamond" w:hAnsi="Garamond"/>
          <w:sz w:val="24"/>
          <w:szCs w:val="24"/>
        </w:rPr>
        <w:t xml:space="preserve">contemporary </w:t>
      </w:r>
      <w:r w:rsidRPr="00A36C42">
        <w:rPr>
          <w:rFonts w:ascii="Garamond" w:hAnsi="Garamond"/>
          <w:sz w:val="24"/>
          <w:szCs w:val="24"/>
        </w:rPr>
        <w:t xml:space="preserve">fair trade cocoa and coffee </w:t>
      </w:r>
      <w:r>
        <w:rPr>
          <w:rFonts w:ascii="Garamond" w:hAnsi="Garamond"/>
          <w:sz w:val="24"/>
          <w:szCs w:val="24"/>
        </w:rPr>
        <w:t xml:space="preserve">to make an argument </w:t>
      </w:r>
      <w:r w:rsidRPr="00A36C42">
        <w:rPr>
          <w:rFonts w:ascii="Garamond" w:hAnsi="Garamond"/>
          <w:sz w:val="24"/>
          <w:szCs w:val="24"/>
        </w:rPr>
        <w:t xml:space="preserve">about the way that food politics has changed over the last 40 years: </w:t>
      </w:r>
    </w:p>
    <w:p w:rsidR="008A2663" w:rsidRPr="00A36C42" w:rsidRDefault="008A2663" w:rsidP="008A2663">
      <w:pPr>
        <w:spacing w:after="0" w:line="360" w:lineRule="auto"/>
        <w:jc w:val="both"/>
        <w:rPr>
          <w:rFonts w:ascii="Garamond" w:hAnsi="Garamond"/>
          <w:sz w:val="24"/>
          <w:szCs w:val="24"/>
        </w:rPr>
      </w:pPr>
    </w:p>
    <w:p w:rsidR="008A2663" w:rsidRDefault="008A2663" w:rsidP="008A2663">
      <w:pPr>
        <w:spacing w:after="0" w:line="360" w:lineRule="auto"/>
        <w:ind w:left="284" w:right="284"/>
        <w:jc w:val="both"/>
        <w:rPr>
          <w:rFonts w:ascii="Garamond" w:hAnsi="Garamond"/>
        </w:rPr>
      </w:pPr>
      <w:r w:rsidRPr="00A36C42">
        <w:rPr>
          <w:rFonts w:ascii="Garamond" w:hAnsi="Garamond"/>
        </w:rPr>
        <w:lastRenderedPageBreak/>
        <w:t>Political theory works out that on the one hand that we are the greedy consumer and on the other we are the rational citizen. Now that type of political theory has inspired all kind of politics. For example I give you here an icon that was used in the 1970s and 1980s in the Netherlands to advocate the boycott of Outspan oranges. This was a very forceful image used by a South African exile base</w:t>
      </w:r>
      <w:r>
        <w:rPr>
          <w:rFonts w:ascii="Garamond" w:hAnsi="Garamond"/>
        </w:rPr>
        <w:t>d in Holland in the 1970s. T</w:t>
      </w:r>
      <w:r w:rsidRPr="00A36C42">
        <w:rPr>
          <w:rFonts w:ascii="Garamond" w:hAnsi="Garamond"/>
        </w:rPr>
        <w:t xml:space="preserve">hey are called blood oranges, and it says </w:t>
      </w:r>
      <w:r>
        <w:rPr>
          <w:rFonts w:ascii="Garamond" w:hAnsi="Garamond"/>
        </w:rPr>
        <w:t>'</w:t>
      </w:r>
      <w:r w:rsidRPr="00A36C42">
        <w:rPr>
          <w:rFonts w:ascii="Garamond" w:hAnsi="Garamond"/>
        </w:rPr>
        <w:t>don't squeeze out a South African</w:t>
      </w:r>
      <w:r>
        <w:rPr>
          <w:rFonts w:ascii="Garamond" w:hAnsi="Garamond"/>
        </w:rPr>
        <w:t>'</w:t>
      </w:r>
      <w:r w:rsidRPr="00A36C42">
        <w:rPr>
          <w:rFonts w:ascii="Garamond" w:hAnsi="Garamond"/>
        </w:rPr>
        <w:t>. What it does is appeal to the rational citizen to no longer fill himself with the orange but to restrict himself. And if you look at food politics now it is no longer to abstain from stuff. We are now approached to eat stuff, and the message there is to have pleasure and enjoy food but at the same time care for others. It is appealing to good taste and to be sensitive to others</w:t>
      </w:r>
      <w:r>
        <w:rPr>
          <w:rFonts w:ascii="Garamond" w:hAnsi="Garamond"/>
        </w:rPr>
        <w:t>.</w:t>
      </w:r>
      <w:r w:rsidRPr="00A36C42">
        <w:rPr>
          <w:rFonts w:ascii="Garamond" w:hAnsi="Garamond"/>
        </w:rPr>
        <w:t xml:space="preserve"> (Mol, 2013: </w:t>
      </w:r>
      <w:r>
        <w:rPr>
          <w:rFonts w:ascii="Garamond" w:hAnsi="Garamond"/>
        </w:rPr>
        <w:t>31.45-32.40)</w:t>
      </w:r>
    </w:p>
    <w:p w:rsidR="008A2663" w:rsidRPr="00A36C42" w:rsidRDefault="008A2663" w:rsidP="008A2663">
      <w:pPr>
        <w:spacing w:after="0" w:line="360" w:lineRule="auto"/>
        <w:ind w:left="284" w:right="284"/>
        <w:jc w:val="both"/>
        <w:rPr>
          <w:rFonts w:ascii="Garamond" w:hAnsi="Garamond"/>
        </w:rPr>
      </w:pPr>
    </w:p>
    <w:p w:rsidR="008A2663" w:rsidRPr="00A36C42" w:rsidRDefault="008A2663" w:rsidP="008A2663">
      <w:pPr>
        <w:spacing w:line="360" w:lineRule="auto"/>
        <w:jc w:val="both"/>
        <w:rPr>
          <w:rFonts w:ascii="Garamond" w:hAnsi="Garamond"/>
          <w:sz w:val="24"/>
          <w:szCs w:val="24"/>
        </w:rPr>
      </w:pPr>
      <w:r w:rsidRPr="00A36C42">
        <w:rPr>
          <w:rFonts w:ascii="Garamond" w:hAnsi="Garamond"/>
          <w:sz w:val="24"/>
          <w:szCs w:val="24"/>
        </w:rPr>
        <w:t>For Mol</w:t>
      </w:r>
      <w:r>
        <w:rPr>
          <w:rFonts w:ascii="Garamond" w:hAnsi="Garamond"/>
          <w:sz w:val="24"/>
          <w:szCs w:val="24"/>
        </w:rPr>
        <w:t>,</w:t>
      </w:r>
      <w:r w:rsidRPr="00A36C42">
        <w:rPr>
          <w:rFonts w:ascii="Garamond" w:hAnsi="Garamond"/>
          <w:sz w:val="24"/>
          <w:szCs w:val="24"/>
        </w:rPr>
        <w:t xml:space="preserve"> the BOA boycott</w:t>
      </w:r>
      <w:r>
        <w:rPr>
          <w:rFonts w:ascii="Garamond" w:hAnsi="Garamond"/>
          <w:sz w:val="24"/>
          <w:szCs w:val="24"/>
        </w:rPr>
        <w:t xml:space="preserve"> deployed an outdated</w:t>
      </w:r>
      <w:r w:rsidRPr="00A36C42">
        <w:rPr>
          <w:rFonts w:ascii="Garamond" w:hAnsi="Garamond"/>
          <w:sz w:val="24"/>
          <w:szCs w:val="24"/>
        </w:rPr>
        <w:t xml:space="preserve"> type of food politics that appealed to the rational consumer </w:t>
      </w:r>
      <w:r>
        <w:rPr>
          <w:rFonts w:ascii="Garamond" w:hAnsi="Garamond"/>
          <w:sz w:val="24"/>
          <w:szCs w:val="24"/>
        </w:rPr>
        <w:t xml:space="preserve">to abstain from greedy impulse </w:t>
      </w:r>
      <w:r w:rsidRPr="00A36C42">
        <w:rPr>
          <w:rFonts w:ascii="Garamond" w:hAnsi="Garamond"/>
          <w:sz w:val="24"/>
          <w:szCs w:val="24"/>
        </w:rPr>
        <w:t>and deny sensory engagements with citrus</w:t>
      </w:r>
      <w:r>
        <w:rPr>
          <w:rFonts w:ascii="Garamond" w:hAnsi="Garamond"/>
          <w:sz w:val="24"/>
          <w:szCs w:val="24"/>
        </w:rPr>
        <w:t>;</w:t>
      </w:r>
      <w:r w:rsidRPr="00A36C42">
        <w:rPr>
          <w:rFonts w:ascii="Garamond" w:hAnsi="Garamond"/>
          <w:sz w:val="24"/>
          <w:szCs w:val="24"/>
        </w:rPr>
        <w:t xml:space="preserve"> </w:t>
      </w:r>
      <w:r>
        <w:rPr>
          <w:rFonts w:ascii="Garamond" w:hAnsi="Garamond"/>
          <w:sz w:val="24"/>
          <w:szCs w:val="24"/>
        </w:rPr>
        <w:t xml:space="preserve">in contrast </w:t>
      </w:r>
      <w:r w:rsidRPr="00A36C42">
        <w:rPr>
          <w:rFonts w:ascii="Garamond" w:hAnsi="Garamond"/>
          <w:sz w:val="24"/>
          <w:szCs w:val="24"/>
        </w:rPr>
        <w:t xml:space="preserve">she describes fair trade chocolate as engaging the senses to create good and 'ethical' tastes. </w:t>
      </w:r>
      <w:r>
        <w:rPr>
          <w:rFonts w:ascii="Garamond" w:hAnsi="Garamond"/>
          <w:sz w:val="24"/>
          <w:szCs w:val="24"/>
        </w:rPr>
        <w:t xml:space="preserve">My research </w:t>
      </w:r>
      <w:r w:rsidRPr="00A36C42">
        <w:rPr>
          <w:rFonts w:ascii="Garamond" w:hAnsi="Garamond"/>
          <w:sz w:val="24"/>
          <w:szCs w:val="24"/>
        </w:rPr>
        <w:t xml:space="preserve">evidences that the </w:t>
      </w:r>
      <w:r>
        <w:rPr>
          <w:rFonts w:ascii="Garamond" w:hAnsi="Garamond"/>
          <w:sz w:val="24"/>
          <w:szCs w:val="24"/>
        </w:rPr>
        <w:t>temporal shift</w:t>
      </w:r>
      <w:r w:rsidRPr="00A36C42">
        <w:rPr>
          <w:rFonts w:ascii="Garamond" w:hAnsi="Garamond"/>
          <w:sz w:val="24"/>
          <w:szCs w:val="24"/>
        </w:rPr>
        <w:t xml:space="preserve"> Mol presents </w:t>
      </w:r>
      <w:r>
        <w:rPr>
          <w:rFonts w:ascii="Garamond" w:hAnsi="Garamond"/>
          <w:sz w:val="24"/>
          <w:szCs w:val="24"/>
        </w:rPr>
        <w:t>(</w:t>
      </w:r>
      <w:r w:rsidRPr="00A36C42">
        <w:rPr>
          <w:rFonts w:ascii="Garamond" w:hAnsi="Garamond"/>
          <w:sz w:val="24"/>
          <w:szCs w:val="24"/>
        </w:rPr>
        <w:t>from</w:t>
      </w:r>
      <w:r>
        <w:rPr>
          <w:rFonts w:ascii="Garamond" w:hAnsi="Garamond"/>
          <w:sz w:val="24"/>
          <w:szCs w:val="24"/>
        </w:rPr>
        <w:t xml:space="preserve"> food activism as commodity and sensual abstinence to food activism as commodity and sensual engagement) </w:t>
      </w:r>
      <w:r w:rsidRPr="00A36C42">
        <w:rPr>
          <w:rFonts w:ascii="Garamond" w:hAnsi="Garamond"/>
          <w:sz w:val="24"/>
          <w:szCs w:val="24"/>
        </w:rPr>
        <w:t>is not so neat. Commodity buycotts, as traced out in Chapter Two, have long modern histories of cultivating the senses and creating 'good taste' that complicate assertions that quality and ethics have only recently come together over taste.</w:t>
      </w:r>
      <w:r w:rsidRPr="00A36C42">
        <w:rPr>
          <w:rStyle w:val="FootnoteReference"/>
          <w:rFonts w:ascii="Garamond" w:hAnsi="Garamond"/>
          <w:sz w:val="24"/>
          <w:szCs w:val="24"/>
        </w:rPr>
        <w:footnoteReference w:id="307"/>
      </w:r>
      <w:r w:rsidRPr="00A36C42">
        <w:rPr>
          <w:rFonts w:ascii="Garamond" w:hAnsi="Garamond"/>
          <w:sz w:val="24"/>
          <w:szCs w:val="24"/>
        </w:rPr>
        <w:t xml:space="preserve"> Chapter Four on STT's interchangeable deployment o</w:t>
      </w:r>
      <w:r>
        <w:rPr>
          <w:rFonts w:ascii="Garamond" w:hAnsi="Garamond"/>
          <w:sz w:val="24"/>
          <w:szCs w:val="24"/>
        </w:rPr>
        <w:t xml:space="preserve">f the two child-chocolate topoi showed how STT </w:t>
      </w:r>
      <w:r w:rsidRPr="00A36C42">
        <w:rPr>
          <w:rFonts w:ascii="Garamond" w:hAnsi="Garamond"/>
          <w:sz w:val="24"/>
          <w:szCs w:val="24"/>
        </w:rPr>
        <w:t>persuade consumers not to buy particular chocolate brands through adbusting campaigns on Kinder and Roya</w:t>
      </w:r>
      <w:r>
        <w:rPr>
          <w:rFonts w:ascii="Garamond" w:hAnsi="Garamond"/>
          <w:sz w:val="24"/>
          <w:szCs w:val="24"/>
        </w:rPr>
        <w:t>l Verkade. The chapter concluded</w:t>
      </w:r>
      <w:r w:rsidRPr="00A36C42">
        <w:rPr>
          <w:rFonts w:ascii="Garamond" w:hAnsi="Garamond"/>
          <w:sz w:val="24"/>
          <w:szCs w:val="24"/>
        </w:rPr>
        <w:t xml:space="preserve"> with the assertion that the 'hard' threat of a boycott and its associated practice of withdrawal, shunning and shaming actually enables the more positive sensory engagements of the child-consumer topos and buying into fair trade. </w:t>
      </w:r>
      <w:r>
        <w:rPr>
          <w:rFonts w:ascii="Garamond" w:hAnsi="Garamond"/>
          <w:sz w:val="24"/>
          <w:szCs w:val="24"/>
        </w:rPr>
        <w:t>Food boycotts as consumer abstention are still very much alive; this assertion is reinforced by</w:t>
      </w:r>
      <w:r w:rsidRPr="00A36C42">
        <w:rPr>
          <w:rFonts w:ascii="Garamond" w:hAnsi="Garamond"/>
          <w:sz w:val="24"/>
          <w:szCs w:val="24"/>
        </w:rPr>
        <w:t xml:space="preserve"> research conducted on the Tower Hamlets BDS</w:t>
      </w:r>
      <w:r w:rsidRPr="00A36C42">
        <w:rPr>
          <w:rStyle w:val="FootnoteReference"/>
          <w:rFonts w:ascii="Garamond" w:hAnsi="Garamond"/>
          <w:sz w:val="24"/>
          <w:szCs w:val="24"/>
        </w:rPr>
        <w:footnoteReference w:id="308"/>
      </w:r>
      <w:r w:rsidRPr="00A36C42">
        <w:rPr>
          <w:rFonts w:ascii="Garamond" w:hAnsi="Garamond"/>
          <w:sz w:val="24"/>
          <w:szCs w:val="24"/>
        </w:rPr>
        <w:t xml:space="preserve"> campaigns by Jana Jevtic. Her ethnography explains how BDS campaigners persuade young Bangladeshis in Tower Hamlets to abstain from purchasing and eating 'blood dates' from Israel as a means to produce tr</w:t>
      </w:r>
      <w:r>
        <w:rPr>
          <w:rFonts w:ascii="Garamond" w:hAnsi="Garamond"/>
          <w:sz w:val="24"/>
          <w:szCs w:val="24"/>
        </w:rPr>
        <w:t>ansnational Muslim solidarities:</w:t>
      </w:r>
    </w:p>
    <w:p w:rsidR="008A2663" w:rsidRPr="00A36C42" w:rsidRDefault="008A2663" w:rsidP="008A2663">
      <w:pPr>
        <w:spacing w:line="360" w:lineRule="auto"/>
        <w:ind w:left="284" w:right="284"/>
        <w:jc w:val="both"/>
        <w:rPr>
          <w:rFonts w:ascii="Garamond" w:hAnsi="Garamond"/>
        </w:rPr>
      </w:pPr>
      <w:r w:rsidRPr="00A36C42">
        <w:rPr>
          <w:rFonts w:ascii="Garamond" w:hAnsi="Garamond" w:cs="Georgia"/>
          <w:color w:val="000000"/>
        </w:rPr>
        <w:lastRenderedPageBreak/>
        <w:t>As we were distributing them out, we told them: ‘Don’t br</w:t>
      </w:r>
      <w:r>
        <w:rPr>
          <w:rFonts w:ascii="Garamond" w:hAnsi="Garamond" w:cs="Georgia"/>
          <w:color w:val="000000"/>
        </w:rPr>
        <w:t>eak your fast with a blood date</w:t>
      </w:r>
      <w:r w:rsidRPr="00A36C42">
        <w:rPr>
          <w:rFonts w:ascii="Garamond" w:hAnsi="Garamond" w:cs="Georgia"/>
          <w:color w:val="000000"/>
        </w:rPr>
        <w:t>. Make sure you check the label. Don’t buy from Israel, West Bank, Jordan Valley'. There was a support there from the community. ‘We don’t wanna buy dates from Israel. We don’t wanna buy dates that support apartheid. We don’t wanna buy dates that are a part of oppression'. (Jevtic, 2013: 25 forthcoming)</w:t>
      </w:r>
    </w:p>
    <w:p w:rsidR="008A2663" w:rsidRPr="00A36C42" w:rsidRDefault="008A2663" w:rsidP="008A2663">
      <w:pPr>
        <w:spacing w:line="360" w:lineRule="auto"/>
        <w:jc w:val="both"/>
        <w:rPr>
          <w:rFonts w:ascii="Garamond" w:hAnsi="Garamond"/>
          <w:sz w:val="24"/>
          <w:szCs w:val="24"/>
        </w:rPr>
      </w:pPr>
      <w:r w:rsidRPr="00A36C42">
        <w:rPr>
          <w:rFonts w:ascii="Garamond" w:hAnsi="Garamond"/>
          <w:sz w:val="24"/>
          <w:szCs w:val="24"/>
        </w:rPr>
        <w:t xml:space="preserve">My work on STT and the BOA locates key distinctions between buycotting fair trade chocolate and boycotting apartheid citrus not in the different mobilizations of the consumer as either a rational or sensitized agent (both organizations used aspects of these approaches interchangeably), but instead in the different material properties and commodity relations of chocolate and citrus, the varied demands faced by both organizations in contesting apartheid and trafficking, and the divergent activist imaginations and connective ethics produced by both sets of activists. </w:t>
      </w:r>
      <w:r>
        <w:rPr>
          <w:rFonts w:ascii="Garamond" w:hAnsi="Garamond"/>
          <w:sz w:val="24"/>
          <w:szCs w:val="24"/>
        </w:rPr>
        <w:t xml:space="preserve">Both the BOA and STT were and are at the coalface of mainstreaming their respective egregious concerns, but differences in their food politics owes much to the different sorts of 'evils' imagined. </w:t>
      </w:r>
      <w:r w:rsidRPr="00A36C42">
        <w:rPr>
          <w:rFonts w:ascii="Garamond" w:hAnsi="Garamond"/>
          <w:sz w:val="24"/>
          <w:szCs w:val="24"/>
        </w:rPr>
        <w:t>The BOA's anti-apartheid boycotts aimed to symbolically and economically damage</w:t>
      </w:r>
      <w:r>
        <w:rPr>
          <w:rFonts w:ascii="Garamond" w:hAnsi="Garamond"/>
          <w:sz w:val="24"/>
          <w:szCs w:val="24"/>
        </w:rPr>
        <w:t xml:space="preserve"> a </w:t>
      </w:r>
      <w:r w:rsidRPr="00A36C42">
        <w:rPr>
          <w:rFonts w:ascii="Garamond" w:hAnsi="Garamond"/>
          <w:sz w:val="24"/>
          <w:szCs w:val="24"/>
        </w:rPr>
        <w:t>white South Africa</w:t>
      </w:r>
      <w:r>
        <w:rPr>
          <w:rFonts w:ascii="Garamond" w:hAnsi="Garamond"/>
          <w:sz w:val="24"/>
          <w:szCs w:val="24"/>
        </w:rPr>
        <w:t xml:space="preserve"> that was relatively unambiguously conceived, </w:t>
      </w:r>
      <w:r w:rsidRPr="00A36C42">
        <w:rPr>
          <w:rFonts w:ascii="Garamond" w:hAnsi="Garamond"/>
          <w:sz w:val="24"/>
          <w:szCs w:val="24"/>
        </w:rPr>
        <w:t>while creating solidarities with liberation movements and undermining</w:t>
      </w:r>
      <w:r>
        <w:rPr>
          <w:rFonts w:ascii="Garamond" w:hAnsi="Garamond"/>
          <w:sz w:val="24"/>
          <w:szCs w:val="24"/>
        </w:rPr>
        <w:t xml:space="preserve"> distant</w:t>
      </w:r>
      <w:r w:rsidRPr="00A36C42">
        <w:rPr>
          <w:rFonts w:ascii="Garamond" w:hAnsi="Garamond"/>
          <w:sz w:val="24"/>
          <w:szCs w:val="24"/>
        </w:rPr>
        <w:t xml:space="preserve"> </w:t>
      </w:r>
      <w:r>
        <w:rPr>
          <w:rFonts w:ascii="Garamond" w:hAnsi="Garamond"/>
          <w:sz w:val="24"/>
          <w:szCs w:val="24"/>
        </w:rPr>
        <w:t xml:space="preserve">and proximate </w:t>
      </w:r>
      <w:r w:rsidRPr="00A36C42">
        <w:rPr>
          <w:rFonts w:ascii="Garamond" w:hAnsi="Garamond"/>
          <w:sz w:val="24"/>
          <w:szCs w:val="24"/>
        </w:rPr>
        <w:t>white supremacy.</w:t>
      </w:r>
      <w:r>
        <w:rPr>
          <w:rFonts w:ascii="Garamond" w:hAnsi="Garamond"/>
          <w:sz w:val="24"/>
          <w:szCs w:val="24"/>
        </w:rPr>
        <w:t xml:space="preserve"> In short, the BOA were able to locate and target a specific regime and develop solidarities and more universal and proximate antiracisms outwards from an evil relatively fixed in time and space (in the year the BOA were formed anti-apartheid had been a recognized, if not widely accepted, form of protest politics for well over a decade).</w:t>
      </w:r>
      <w:r w:rsidRPr="00A36C42">
        <w:rPr>
          <w:rFonts w:ascii="Garamond" w:hAnsi="Garamond"/>
          <w:sz w:val="24"/>
          <w:szCs w:val="24"/>
        </w:rPr>
        <w:t xml:space="preserve"> </w:t>
      </w:r>
      <w:r>
        <w:rPr>
          <w:rFonts w:ascii="Garamond" w:hAnsi="Garamond"/>
          <w:sz w:val="24"/>
          <w:szCs w:val="24"/>
        </w:rPr>
        <w:t xml:space="preserve">In contrast, </w:t>
      </w:r>
      <w:r w:rsidRPr="00A36C42">
        <w:rPr>
          <w:rFonts w:ascii="Garamond" w:hAnsi="Garamond"/>
          <w:sz w:val="24"/>
          <w:szCs w:val="24"/>
        </w:rPr>
        <w:t>STT's anti-trafficking chocolate campaigns have no fixed egregious regime to damage</w:t>
      </w:r>
      <w:r>
        <w:rPr>
          <w:rFonts w:ascii="Garamond" w:hAnsi="Garamond"/>
          <w:sz w:val="24"/>
          <w:szCs w:val="24"/>
        </w:rPr>
        <w:t xml:space="preserve"> economically or</w:t>
      </w:r>
      <w:r w:rsidRPr="00A36C42">
        <w:rPr>
          <w:rFonts w:ascii="Garamond" w:hAnsi="Garamond"/>
          <w:sz w:val="24"/>
          <w:szCs w:val="24"/>
        </w:rPr>
        <w:t xml:space="preserve"> symbolically through a boycott, but </w:t>
      </w:r>
      <w:r>
        <w:rPr>
          <w:rFonts w:ascii="Garamond" w:hAnsi="Garamond"/>
          <w:sz w:val="24"/>
          <w:szCs w:val="24"/>
        </w:rPr>
        <w:t xml:space="preserve">instead their chocolate activism </w:t>
      </w:r>
      <w:r w:rsidRPr="00A36C42">
        <w:rPr>
          <w:rFonts w:ascii="Garamond" w:hAnsi="Garamond"/>
          <w:sz w:val="24"/>
          <w:szCs w:val="24"/>
        </w:rPr>
        <w:t>shift</w:t>
      </w:r>
      <w:r>
        <w:rPr>
          <w:rFonts w:ascii="Garamond" w:hAnsi="Garamond"/>
          <w:sz w:val="24"/>
          <w:szCs w:val="24"/>
        </w:rPr>
        <w:t>s</w:t>
      </w:r>
      <w:r w:rsidRPr="00A36C42">
        <w:rPr>
          <w:rFonts w:ascii="Garamond" w:hAnsi="Garamond"/>
          <w:sz w:val="24"/>
          <w:szCs w:val="24"/>
        </w:rPr>
        <w:t xml:space="preserve"> </w:t>
      </w:r>
      <w:r>
        <w:rPr>
          <w:rFonts w:ascii="Garamond" w:hAnsi="Garamond"/>
          <w:sz w:val="24"/>
          <w:szCs w:val="24"/>
        </w:rPr>
        <w:t xml:space="preserve">blame for trafficking across several places and actors; cocoa farmers, traders and politicians in the </w:t>
      </w:r>
      <w:r w:rsidRPr="00291E06">
        <w:rPr>
          <w:rFonts w:ascii="Garamond" w:hAnsi="Garamond"/>
          <w:sz w:val="24"/>
          <w:szCs w:val="24"/>
        </w:rPr>
        <w:t>Côte D'Ivoire</w:t>
      </w:r>
      <w:r>
        <w:rPr>
          <w:rFonts w:ascii="Garamond" w:hAnsi="Garamond"/>
          <w:sz w:val="24"/>
          <w:szCs w:val="24"/>
        </w:rPr>
        <w:t xml:space="preserve">, multinational </w:t>
      </w:r>
      <w:r w:rsidRPr="00A36C42">
        <w:rPr>
          <w:rFonts w:ascii="Garamond" w:hAnsi="Garamond"/>
          <w:sz w:val="24"/>
          <w:szCs w:val="24"/>
        </w:rPr>
        <w:t>chocol</w:t>
      </w:r>
      <w:r>
        <w:rPr>
          <w:rFonts w:ascii="Garamond" w:hAnsi="Garamond"/>
          <w:sz w:val="24"/>
          <w:szCs w:val="24"/>
        </w:rPr>
        <w:t xml:space="preserve">ate grinders, traders and manufacturers, certification schemes and </w:t>
      </w:r>
      <w:r w:rsidRPr="00A36C42">
        <w:rPr>
          <w:rFonts w:ascii="Garamond" w:hAnsi="Garamond"/>
          <w:sz w:val="24"/>
          <w:szCs w:val="24"/>
        </w:rPr>
        <w:t>consumer-citizens</w:t>
      </w:r>
      <w:r>
        <w:rPr>
          <w:rFonts w:ascii="Garamond" w:hAnsi="Garamond"/>
          <w:sz w:val="24"/>
          <w:szCs w:val="24"/>
        </w:rPr>
        <w:t xml:space="preserve"> must all take responsibility</w:t>
      </w:r>
      <w:r w:rsidRPr="00A36C42">
        <w:rPr>
          <w:rFonts w:ascii="Garamond" w:hAnsi="Garamond"/>
          <w:sz w:val="24"/>
          <w:szCs w:val="24"/>
        </w:rPr>
        <w:t>.</w:t>
      </w:r>
      <w:r>
        <w:rPr>
          <w:rFonts w:ascii="Garamond" w:hAnsi="Garamond"/>
          <w:sz w:val="24"/>
          <w:szCs w:val="24"/>
        </w:rPr>
        <w:t xml:space="preserve"> </w:t>
      </w:r>
    </w:p>
    <w:p w:rsidR="008A2663" w:rsidRPr="00A36C42" w:rsidRDefault="008A2663" w:rsidP="008A2663">
      <w:pPr>
        <w:spacing w:line="360" w:lineRule="auto"/>
        <w:jc w:val="both"/>
        <w:rPr>
          <w:rFonts w:ascii="Garamond" w:hAnsi="Garamond"/>
          <w:sz w:val="24"/>
          <w:szCs w:val="24"/>
        </w:rPr>
      </w:pPr>
      <w:r w:rsidRPr="00A36C42">
        <w:rPr>
          <w:rFonts w:ascii="Garamond" w:hAnsi="Garamond"/>
          <w:sz w:val="24"/>
          <w:szCs w:val="24"/>
        </w:rPr>
        <w:t>Let me return to Mol's keynote on bodies. Bodily senses and emotions, according to Mol are cultivated; sensations, tastes, textures, smells, colours, pleasures, feelings are learnt</w:t>
      </w:r>
      <w:r>
        <w:rPr>
          <w:rFonts w:ascii="Garamond" w:hAnsi="Garamond"/>
          <w:sz w:val="24"/>
          <w:szCs w:val="24"/>
        </w:rPr>
        <w:t xml:space="preserve"> and fold into the body from around the world</w:t>
      </w:r>
      <w:r w:rsidRPr="00A36C42">
        <w:rPr>
          <w:rFonts w:ascii="Garamond" w:hAnsi="Garamond"/>
          <w:sz w:val="24"/>
          <w:szCs w:val="24"/>
        </w:rPr>
        <w:t>:</w:t>
      </w:r>
    </w:p>
    <w:p w:rsidR="008A2663" w:rsidRPr="00A36C42" w:rsidRDefault="008A2663" w:rsidP="008A2663">
      <w:pPr>
        <w:spacing w:line="360" w:lineRule="auto"/>
        <w:ind w:left="284" w:right="284"/>
        <w:jc w:val="both"/>
        <w:rPr>
          <w:rFonts w:ascii="Garamond" w:hAnsi="Garamond"/>
        </w:rPr>
      </w:pPr>
      <w:r w:rsidRPr="00A36C42">
        <w:rPr>
          <w:rFonts w:ascii="Garamond" w:hAnsi="Garamond"/>
        </w:rPr>
        <w:t xml:space="preserve">There is no such thing as a natural body. Bodies are cultivated all the way through. This goes for sensitivities and the emotions...That means if you ask where is my body it not just here, there is all kinds of the rest of the world folding into it. When I eat a pineapple there is a bit of Costa Rica folded into my body. Costa Rica soil and Costa Rica labour. Stuff </w:t>
      </w:r>
      <w:r w:rsidRPr="00A36C42">
        <w:rPr>
          <w:rFonts w:ascii="Garamond" w:hAnsi="Garamond"/>
        </w:rPr>
        <w:lastRenderedPageBreak/>
        <w:t>from elsewhere is in my body. It's also that my senses are spread out, it's not that touch is</w:t>
      </w:r>
      <w:r>
        <w:rPr>
          <w:rFonts w:ascii="Garamond" w:hAnsi="Garamond"/>
        </w:rPr>
        <w:t xml:space="preserve"> just</w:t>
      </w:r>
      <w:r w:rsidRPr="00A36C42">
        <w:rPr>
          <w:rFonts w:ascii="Garamond" w:hAnsi="Garamond"/>
        </w:rPr>
        <w:t xml:space="preserve"> in my hand and taste is only in my mouth. Those are people working in a banana plantation cleaning bananas. So w</w:t>
      </w:r>
      <w:r>
        <w:rPr>
          <w:rFonts w:ascii="Garamond" w:hAnsi="Garamond"/>
        </w:rPr>
        <w:t>hat are they doing? If you can</w:t>
      </w:r>
      <w:r w:rsidRPr="00A36C42">
        <w:rPr>
          <w:rFonts w:ascii="Garamond" w:hAnsi="Garamond"/>
        </w:rPr>
        <w:t xml:space="preserve"> imagine individual bodies sensing if something is poisonous or edible or not, I don't have to do that. That has been done for me. My senses have worked in Costa Rica. (Mol, 2013: 0:30-1.40)</w:t>
      </w:r>
      <w:r w:rsidRPr="00A36C42">
        <w:rPr>
          <w:rStyle w:val="FootnoteReference"/>
          <w:rFonts w:ascii="Garamond" w:hAnsi="Garamond"/>
        </w:rPr>
        <w:footnoteReference w:id="309"/>
      </w:r>
    </w:p>
    <w:p w:rsidR="008A2663" w:rsidRDefault="008A2663" w:rsidP="008A2663">
      <w:pPr>
        <w:spacing w:after="0" w:line="360" w:lineRule="auto"/>
        <w:jc w:val="both"/>
        <w:rPr>
          <w:rFonts w:ascii="Garamond" w:hAnsi="Garamond"/>
          <w:sz w:val="24"/>
          <w:szCs w:val="24"/>
        </w:rPr>
      </w:pPr>
      <w:r>
        <w:rPr>
          <w:rFonts w:ascii="Garamond" w:hAnsi="Garamond"/>
          <w:sz w:val="24"/>
          <w:szCs w:val="24"/>
        </w:rPr>
        <w:t xml:space="preserve">Across the BOA's blood-citrus and black body-migrant fear topoi, and STT's two child-chocolate topoi, bodily </w:t>
      </w:r>
      <w:r w:rsidRPr="00A36C42">
        <w:rPr>
          <w:rFonts w:ascii="Garamond" w:hAnsi="Garamond"/>
          <w:sz w:val="24"/>
          <w:szCs w:val="24"/>
        </w:rPr>
        <w:t>feelings suc</w:t>
      </w:r>
      <w:r>
        <w:rPr>
          <w:rFonts w:ascii="Garamond" w:hAnsi="Garamond"/>
          <w:sz w:val="24"/>
          <w:szCs w:val="24"/>
        </w:rPr>
        <w:t>h as touch and taste are worked</w:t>
      </w:r>
      <w:r w:rsidRPr="00A36C42">
        <w:rPr>
          <w:rFonts w:ascii="Garamond" w:hAnsi="Garamond"/>
          <w:sz w:val="24"/>
          <w:szCs w:val="24"/>
        </w:rPr>
        <w:t xml:space="preserve"> into</w:t>
      </w:r>
      <w:r>
        <w:rPr>
          <w:rFonts w:ascii="Garamond" w:hAnsi="Garamond"/>
          <w:sz w:val="24"/>
          <w:szCs w:val="24"/>
        </w:rPr>
        <w:t xml:space="preserve"> emotional feelings including</w:t>
      </w:r>
      <w:r w:rsidRPr="00A36C42">
        <w:rPr>
          <w:rFonts w:ascii="Garamond" w:hAnsi="Garamond"/>
          <w:sz w:val="24"/>
          <w:szCs w:val="24"/>
        </w:rPr>
        <w:t xml:space="preserve"> care, pride</w:t>
      </w:r>
      <w:r>
        <w:rPr>
          <w:rFonts w:ascii="Garamond" w:hAnsi="Garamond"/>
          <w:sz w:val="24"/>
          <w:szCs w:val="24"/>
        </w:rPr>
        <w:t>, fear</w:t>
      </w:r>
      <w:r w:rsidRPr="00A36C42">
        <w:rPr>
          <w:rFonts w:ascii="Garamond" w:hAnsi="Garamond"/>
          <w:sz w:val="24"/>
          <w:szCs w:val="24"/>
        </w:rPr>
        <w:t xml:space="preserve"> and disgust. </w:t>
      </w:r>
      <w:r>
        <w:rPr>
          <w:rFonts w:ascii="Garamond" w:hAnsi="Garamond"/>
          <w:sz w:val="24"/>
          <w:szCs w:val="24"/>
        </w:rPr>
        <w:t>In Chapters Three and Four I showed how s</w:t>
      </w:r>
      <w:r w:rsidRPr="00A36C42">
        <w:rPr>
          <w:rFonts w:ascii="Garamond" w:hAnsi="Garamond"/>
          <w:sz w:val="24"/>
          <w:szCs w:val="24"/>
        </w:rPr>
        <w:t xml:space="preserve">pecific words like </w:t>
      </w:r>
      <w:r>
        <w:rPr>
          <w:rFonts w:ascii="Garamond" w:hAnsi="Garamond"/>
          <w:sz w:val="24"/>
          <w:szCs w:val="24"/>
        </w:rPr>
        <w:t>'hongersnood' (famine), '</w:t>
      </w:r>
      <w:r w:rsidRPr="00907189">
        <w:rPr>
          <w:rFonts w:ascii="Garamond" w:hAnsi="Garamond"/>
          <w:sz w:val="24"/>
          <w:szCs w:val="24"/>
        </w:rPr>
        <w:t>droogknijpen</w:t>
      </w:r>
      <w:r>
        <w:rPr>
          <w:rFonts w:ascii="Garamond" w:hAnsi="Garamond"/>
          <w:sz w:val="24"/>
          <w:szCs w:val="24"/>
        </w:rPr>
        <w:t>'</w:t>
      </w:r>
      <w:r w:rsidRPr="00907189">
        <w:rPr>
          <w:rFonts w:ascii="Garamond" w:hAnsi="Garamond"/>
          <w:sz w:val="24"/>
          <w:szCs w:val="24"/>
        </w:rPr>
        <w:t xml:space="preserve"> (squeeze dry</w:t>
      </w:r>
      <w:r>
        <w:rPr>
          <w:rFonts w:ascii="Garamond" w:hAnsi="Garamond"/>
          <w:sz w:val="24"/>
          <w:szCs w:val="24"/>
        </w:rPr>
        <w:t>), 'morsgat' (wasting hole), blood-drenched, bittersweet and taste itself as a prefix to exploitation, entered BOA and STT lexicon from contemporaneous events (e.g. starvation in South African 'reserves') and historical revisionism, and</w:t>
      </w:r>
      <w:r w:rsidRPr="00A36C42">
        <w:rPr>
          <w:rFonts w:ascii="Garamond" w:hAnsi="Garamond"/>
          <w:sz w:val="24"/>
          <w:szCs w:val="24"/>
        </w:rPr>
        <w:t xml:space="preserve"> </w:t>
      </w:r>
      <w:r>
        <w:rPr>
          <w:rFonts w:ascii="Garamond" w:hAnsi="Garamond"/>
          <w:sz w:val="24"/>
          <w:szCs w:val="24"/>
        </w:rPr>
        <w:t xml:space="preserve">were </w:t>
      </w:r>
      <w:r w:rsidRPr="00A36C42">
        <w:rPr>
          <w:rFonts w:ascii="Garamond" w:hAnsi="Garamond"/>
          <w:sz w:val="24"/>
          <w:szCs w:val="24"/>
        </w:rPr>
        <w:t>used t</w:t>
      </w:r>
      <w:r>
        <w:rPr>
          <w:rFonts w:ascii="Garamond" w:hAnsi="Garamond"/>
          <w:sz w:val="24"/>
          <w:szCs w:val="24"/>
        </w:rPr>
        <w:t xml:space="preserve">o actively cultivate the senses. </w:t>
      </w:r>
      <w:r w:rsidRPr="00A36C42">
        <w:rPr>
          <w:rFonts w:ascii="Garamond" w:hAnsi="Garamond"/>
          <w:sz w:val="24"/>
          <w:szCs w:val="24"/>
        </w:rPr>
        <w:t>Reproducing tacit associations, tastes and smells are integral to the mechanisms of production, display and consumption (Thrift, 2003; Senne</w:t>
      </w:r>
      <w:r>
        <w:rPr>
          <w:rFonts w:ascii="Garamond" w:hAnsi="Garamond"/>
          <w:sz w:val="24"/>
          <w:szCs w:val="24"/>
        </w:rPr>
        <w:t>t</w:t>
      </w:r>
      <w:r w:rsidRPr="00A36C42">
        <w:rPr>
          <w:rFonts w:ascii="Garamond" w:hAnsi="Garamond"/>
          <w:sz w:val="24"/>
          <w:szCs w:val="24"/>
        </w:rPr>
        <w:t>t, 2007; Carolan, 2011), and they are important to boycott</w:t>
      </w:r>
      <w:r>
        <w:rPr>
          <w:rFonts w:ascii="Garamond" w:hAnsi="Garamond"/>
          <w:sz w:val="24"/>
          <w:szCs w:val="24"/>
        </w:rPr>
        <w:t>ing food</w:t>
      </w:r>
      <w:r w:rsidRPr="00A36C42">
        <w:rPr>
          <w:rFonts w:ascii="Garamond" w:hAnsi="Garamond"/>
          <w:sz w:val="24"/>
          <w:szCs w:val="24"/>
        </w:rPr>
        <w:t xml:space="preserve"> commodities. Retailers and corporations alike have long engaged the mediaries</w:t>
      </w:r>
      <w:r w:rsidRPr="00A36C42">
        <w:rPr>
          <w:rStyle w:val="FootnoteReference"/>
          <w:rFonts w:ascii="Garamond" w:hAnsi="Garamond"/>
          <w:sz w:val="24"/>
          <w:szCs w:val="24"/>
        </w:rPr>
        <w:footnoteReference w:id="310"/>
      </w:r>
      <w:r w:rsidRPr="00A36C42">
        <w:rPr>
          <w:rFonts w:ascii="Garamond" w:hAnsi="Garamond"/>
          <w:sz w:val="24"/>
          <w:szCs w:val="24"/>
        </w:rPr>
        <w:t xml:space="preserve"> (Latour, 1993) of aroma, taste and tactility to enchant consumers (Goss, 1993). More than the visual, taste and aroma inhabit bodies; to paraphrase Thrift (2003), they of</w:t>
      </w:r>
      <w:r>
        <w:rPr>
          <w:rFonts w:ascii="Garamond" w:hAnsi="Garamond"/>
          <w:sz w:val="24"/>
          <w:szCs w:val="24"/>
        </w:rPr>
        <w:t>ten have a quiet intensity that</w:t>
      </w:r>
      <w:r w:rsidRPr="00A36C42">
        <w:rPr>
          <w:rFonts w:ascii="Garamond" w:hAnsi="Garamond"/>
          <w:sz w:val="24"/>
          <w:szCs w:val="24"/>
        </w:rPr>
        <w:t xml:space="preserve"> dislocates our ability to describe them. Boycotters engaging in a politics of radical food</w:t>
      </w:r>
      <w:r w:rsidRPr="00A36C42">
        <w:rPr>
          <w:rStyle w:val="FootnoteReference"/>
          <w:rFonts w:ascii="Garamond" w:hAnsi="Garamond"/>
          <w:sz w:val="24"/>
          <w:szCs w:val="24"/>
        </w:rPr>
        <w:footnoteReference w:id="311"/>
      </w:r>
      <w:r>
        <w:rPr>
          <w:rFonts w:ascii="Garamond" w:hAnsi="Garamond"/>
          <w:sz w:val="24"/>
          <w:szCs w:val="24"/>
        </w:rPr>
        <w:t xml:space="preserve"> </w:t>
      </w:r>
      <w:r w:rsidRPr="00A36C42">
        <w:rPr>
          <w:rFonts w:ascii="Garamond" w:hAnsi="Garamond"/>
          <w:sz w:val="24"/>
          <w:szCs w:val="24"/>
        </w:rPr>
        <w:t>instinctively flag culturally ubiquitous norms of taste perception and their metaphorical and metonymic qualities (sweet, bitter, sour, salty) in order to displace egregious political concerns onto the visceral reception of edible commodities and human consumers.  But it is not only commodities that have taste or smell. The other part of a boycott topos, that which is alive, or t</w:t>
      </w:r>
      <w:r>
        <w:rPr>
          <w:rFonts w:ascii="Garamond" w:hAnsi="Garamond"/>
          <w:sz w:val="24"/>
          <w:szCs w:val="24"/>
        </w:rPr>
        <w:t xml:space="preserve">hat which is a constituent of – or has passed through a body – </w:t>
      </w:r>
      <w:r w:rsidRPr="00A36C42">
        <w:rPr>
          <w:rFonts w:ascii="Garamond" w:hAnsi="Garamond"/>
          <w:sz w:val="24"/>
          <w:szCs w:val="24"/>
        </w:rPr>
        <w:t xml:space="preserve">also smells. The sticky secretions of bodies, as Annick Le Guerer reminds us in </w:t>
      </w:r>
      <w:r w:rsidRPr="00A36C42">
        <w:rPr>
          <w:rFonts w:ascii="Garamond" w:hAnsi="Garamond"/>
          <w:i/>
          <w:sz w:val="24"/>
          <w:szCs w:val="24"/>
        </w:rPr>
        <w:t>Scent</w:t>
      </w:r>
      <w:r>
        <w:rPr>
          <w:rFonts w:ascii="Garamond" w:hAnsi="Garamond"/>
          <w:i/>
          <w:sz w:val="24"/>
          <w:szCs w:val="24"/>
        </w:rPr>
        <w:t xml:space="preserve"> </w:t>
      </w:r>
      <w:r w:rsidRPr="00A36C42">
        <w:rPr>
          <w:rFonts w:ascii="Garamond" w:hAnsi="Garamond"/>
          <w:sz w:val="24"/>
          <w:szCs w:val="24"/>
        </w:rPr>
        <w:t>(1994)</w:t>
      </w:r>
      <w:r w:rsidRPr="00A36C42">
        <w:rPr>
          <w:rFonts w:ascii="Garamond" w:hAnsi="Garamond"/>
          <w:i/>
          <w:sz w:val="24"/>
          <w:szCs w:val="24"/>
        </w:rPr>
        <w:t>,</w:t>
      </w:r>
      <w:r w:rsidRPr="00A36C42">
        <w:rPr>
          <w:rFonts w:ascii="Garamond" w:hAnsi="Garamond"/>
          <w:sz w:val="24"/>
          <w:szCs w:val="24"/>
        </w:rPr>
        <w:t xml:space="preserve"> are steeped in smells with memorial, cultural and religious significance. Aromatic or repugnant, f</w:t>
      </w:r>
      <w:r>
        <w:rPr>
          <w:rFonts w:ascii="Garamond" w:hAnsi="Garamond"/>
          <w:sz w:val="24"/>
          <w:szCs w:val="24"/>
        </w:rPr>
        <w:t>ragrant or stale, from the late-</w:t>
      </w:r>
      <w:r w:rsidRPr="00A36C42">
        <w:rPr>
          <w:rFonts w:ascii="Garamond" w:hAnsi="Garamond"/>
          <w:sz w:val="24"/>
          <w:szCs w:val="24"/>
        </w:rPr>
        <w:t>eighteenth century onwards boycotters have uti</w:t>
      </w:r>
      <w:r>
        <w:rPr>
          <w:rFonts w:ascii="Garamond" w:hAnsi="Garamond"/>
          <w:sz w:val="24"/>
          <w:szCs w:val="24"/>
        </w:rPr>
        <w:t>liz</w:t>
      </w:r>
      <w:r w:rsidRPr="00A36C42">
        <w:rPr>
          <w:rFonts w:ascii="Garamond" w:hAnsi="Garamond"/>
          <w:sz w:val="24"/>
          <w:szCs w:val="24"/>
        </w:rPr>
        <w:t>ed romantic imaginaries of scent and taste</w:t>
      </w:r>
      <w:r w:rsidRPr="00A36C42">
        <w:rPr>
          <w:rStyle w:val="FootnoteReference"/>
          <w:rFonts w:ascii="Garamond" w:hAnsi="Garamond"/>
          <w:sz w:val="24"/>
          <w:szCs w:val="24"/>
        </w:rPr>
        <w:footnoteReference w:id="312"/>
      </w:r>
      <w:r w:rsidRPr="00A36C42">
        <w:rPr>
          <w:rFonts w:ascii="Garamond" w:hAnsi="Garamond"/>
          <w:sz w:val="24"/>
          <w:szCs w:val="24"/>
        </w:rPr>
        <w:t xml:space="preserve"> in order to make distant suffering argumentative and personal</w:t>
      </w:r>
      <w:r>
        <w:rPr>
          <w:rFonts w:ascii="Garamond" w:hAnsi="Garamond"/>
          <w:sz w:val="24"/>
          <w:szCs w:val="24"/>
        </w:rPr>
        <w:t>.</w:t>
      </w:r>
    </w:p>
    <w:p w:rsidR="008A2663" w:rsidRDefault="008A2663" w:rsidP="008A2663">
      <w:pPr>
        <w:spacing w:after="0" w:line="360" w:lineRule="auto"/>
        <w:jc w:val="both"/>
        <w:rPr>
          <w:rFonts w:ascii="Garamond" w:hAnsi="Garamond"/>
          <w:sz w:val="24"/>
          <w:szCs w:val="24"/>
        </w:rPr>
      </w:pPr>
    </w:p>
    <w:p w:rsidR="008A2663" w:rsidRDefault="008A2663" w:rsidP="008A2663">
      <w:pPr>
        <w:spacing w:after="0" w:line="360" w:lineRule="auto"/>
        <w:jc w:val="both"/>
        <w:rPr>
          <w:rFonts w:ascii="Garamond" w:hAnsi="Garamond"/>
          <w:sz w:val="24"/>
          <w:szCs w:val="24"/>
        </w:rPr>
      </w:pPr>
      <w:r w:rsidRPr="00A36C42">
        <w:rPr>
          <w:rFonts w:ascii="Garamond" w:hAnsi="Garamond" w:cs="Times New Roman"/>
          <w:sz w:val="24"/>
          <w:szCs w:val="24"/>
        </w:rPr>
        <w:lastRenderedPageBreak/>
        <w:t>The channelling of emotions and corporeal affects is dependent on representing bodily agency and subjectivities in certain ways. I developed the notion of activist bodywork to describe the deployment of affect and emotion on c</w:t>
      </w:r>
      <w:r>
        <w:rPr>
          <w:rFonts w:ascii="Garamond" w:hAnsi="Garamond" w:cs="Times New Roman"/>
          <w:sz w:val="24"/>
          <w:szCs w:val="24"/>
        </w:rPr>
        <w:t xml:space="preserve">onsumer bodies, to think about </w:t>
      </w:r>
      <w:r w:rsidRPr="00A36C42">
        <w:rPr>
          <w:rFonts w:ascii="Garamond" w:hAnsi="Garamond" w:cs="Times New Roman"/>
          <w:sz w:val="24"/>
          <w:szCs w:val="24"/>
        </w:rPr>
        <w:t>the merging of consumer and producer bodies with commodity knowledges and imaginaries, and the positioning of specific types of relationships, 'extimacies', and differences between producer, activist and consumer bodies. I show</w:t>
      </w:r>
      <w:r>
        <w:rPr>
          <w:rFonts w:ascii="Garamond" w:hAnsi="Garamond" w:cs="Times New Roman"/>
          <w:sz w:val="24"/>
          <w:szCs w:val="24"/>
        </w:rPr>
        <w:t>ed in Chapter Five and Chapter Six</w:t>
      </w:r>
      <w:r w:rsidRPr="00A36C42">
        <w:rPr>
          <w:rFonts w:ascii="Garamond" w:hAnsi="Garamond" w:cs="Times New Roman"/>
          <w:sz w:val="24"/>
          <w:szCs w:val="24"/>
        </w:rPr>
        <w:t xml:space="preserve"> how readily </w:t>
      </w:r>
      <w:r>
        <w:rPr>
          <w:rFonts w:ascii="Garamond" w:hAnsi="Garamond" w:cs="Times New Roman"/>
          <w:sz w:val="24"/>
          <w:szCs w:val="24"/>
        </w:rPr>
        <w:t xml:space="preserve">boycott </w:t>
      </w:r>
      <w:r w:rsidRPr="00A36C42">
        <w:rPr>
          <w:rFonts w:ascii="Garamond" w:hAnsi="Garamond" w:cs="Times New Roman"/>
          <w:sz w:val="24"/>
          <w:szCs w:val="24"/>
        </w:rPr>
        <w:t>activism stretches across commodity/body boundaries into campaigns boycotting</w:t>
      </w:r>
      <w:r>
        <w:rPr>
          <w:rFonts w:ascii="Garamond" w:hAnsi="Garamond" w:cs="Times New Roman"/>
          <w:sz w:val="24"/>
          <w:szCs w:val="24"/>
        </w:rPr>
        <w:t xml:space="preserve"> and surveying</w:t>
      </w:r>
      <w:r w:rsidRPr="00A36C42">
        <w:rPr>
          <w:rFonts w:ascii="Garamond" w:hAnsi="Garamond" w:cs="Times New Roman"/>
          <w:sz w:val="24"/>
          <w:szCs w:val="24"/>
        </w:rPr>
        <w:t xml:space="preserve"> the movement of particular types of people a</w:t>
      </w:r>
      <w:r>
        <w:rPr>
          <w:rFonts w:ascii="Garamond" w:hAnsi="Garamond" w:cs="Times New Roman"/>
          <w:sz w:val="24"/>
          <w:szCs w:val="24"/>
        </w:rPr>
        <w:t>cross borders.</w:t>
      </w:r>
    </w:p>
    <w:p w:rsidR="008A2663" w:rsidRDefault="008A2663" w:rsidP="008A2663">
      <w:pPr>
        <w:spacing w:after="0" w:line="360" w:lineRule="auto"/>
        <w:jc w:val="both"/>
        <w:rPr>
          <w:rFonts w:ascii="Garamond" w:hAnsi="Garamond"/>
          <w:sz w:val="24"/>
          <w:szCs w:val="24"/>
        </w:rPr>
      </w:pPr>
    </w:p>
    <w:p w:rsidR="008A2663" w:rsidRPr="009A0AD3" w:rsidRDefault="008A2663" w:rsidP="008A2663">
      <w:pPr>
        <w:spacing w:after="0" w:line="360" w:lineRule="auto"/>
        <w:jc w:val="both"/>
        <w:rPr>
          <w:rFonts w:ascii="Garamond" w:hAnsi="Garamond"/>
          <w:sz w:val="24"/>
          <w:szCs w:val="24"/>
        </w:rPr>
      </w:pPr>
      <w:r w:rsidRPr="00A36C42">
        <w:rPr>
          <w:rFonts w:ascii="Garamond" w:hAnsi="Garamond" w:cs="Times New Roman"/>
          <w:sz w:val="24"/>
          <w:szCs w:val="24"/>
        </w:rPr>
        <w:t>While boycotters breathe life into objects, make them move and speak to consumers, I explain</w:t>
      </w:r>
      <w:r>
        <w:rPr>
          <w:rFonts w:ascii="Garamond" w:hAnsi="Garamond" w:cs="Times New Roman"/>
          <w:sz w:val="24"/>
          <w:szCs w:val="24"/>
        </w:rPr>
        <w:t>ed</w:t>
      </w:r>
      <w:r w:rsidRPr="00A36C42">
        <w:rPr>
          <w:rFonts w:ascii="Garamond" w:hAnsi="Garamond" w:cs="Times New Roman"/>
          <w:sz w:val="24"/>
          <w:szCs w:val="24"/>
        </w:rPr>
        <w:t xml:space="preserve"> where, how and why they pull life from bodies. Violent and sublime aesthetic possibilities are extracted from playing with subjectivities. Specific embodiments are used to fix cultural meanings and geographical imaginations.</w:t>
      </w:r>
      <w:r w:rsidRPr="00A36C42">
        <w:rPr>
          <w:rStyle w:val="FootnoteReference"/>
          <w:rFonts w:ascii="Garamond" w:hAnsi="Garamond"/>
          <w:sz w:val="24"/>
          <w:szCs w:val="24"/>
        </w:rPr>
        <w:footnoteReference w:id="313"/>
      </w:r>
      <w:r w:rsidRPr="00A36C42">
        <w:rPr>
          <w:rFonts w:ascii="Garamond" w:hAnsi="Garamond" w:cs="Times New Roman"/>
          <w:sz w:val="24"/>
          <w:szCs w:val="24"/>
        </w:rPr>
        <w:t xml:space="preserve"> In harnessing well-trodden Cartesian (and branding) techniques, bodies are made to appear as if they were transparent vessels for interiority; celebrity embodiments are used to create illusions of legitimacy and intimacy. Body parts, organs and fluids become surfaces and containers of inscription and engagement (Grosz, 1994). </w:t>
      </w:r>
      <w:r>
        <w:rPr>
          <w:rFonts w:ascii="Garamond" w:hAnsi="Garamond" w:cs="Times New Roman"/>
          <w:sz w:val="24"/>
          <w:szCs w:val="24"/>
        </w:rPr>
        <w:t>BOA and STT</w:t>
      </w:r>
      <w:r w:rsidRPr="00A36C42">
        <w:rPr>
          <w:rFonts w:ascii="Garamond" w:hAnsi="Garamond" w:cs="Times New Roman"/>
          <w:sz w:val="24"/>
          <w:szCs w:val="24"/>
        </w:rPr>
        <w:t xml:space="preserve"> activists are, among many things, expert empiricists and aesthetic artists;</w:t>
      </w:r>
      <w:r w:rsidRPr="00A36C42">
        <w:rPr>
          <w:rStyle w:val="FootnoteReference"/>
          <w:rFonts w:ascii="Garamond" w:hAnsi="Garamond"/>
          <w:sz w:val="24"/>
          <w:szCs w:val="24"/>
        </w:rPr>
        <w:footnoteReference w:id="314"/>
      </w:r>
      <w:r w:rsidRPr="00A36C42">
        <w:rPr>
          <w:rFonts w:ascii="Garamond" w:hAnsi="Garamond" w:cs="Times New Roman"/>
          <w:sz w:val="24"/>
          <w:szCs w:val="24"/>
        </w:rPr>
        <w:t xml:space="preserve"> understanding and harnessing specific emotions and embodied sensory reactions, and attaching them to citrus, chocolate, different sorts of bodies, media, practices, imaginations, histories and geographies</w:t>
      </w:r>
      <w:r>
        <w:rPr>
          <w:rFonts w:ascii="Garamond" w:hAnsi="Garamond" w:cs="Times New Roman"/>
          <w:sz w:val="24"/>
          <w:szCs w:val="24"/>
        </w:rPr>
        <w:t>.</w:t>
      </w:r>
    </w:p>
    <w:p w:rsidR="008A2663" w:rsidRPr="00276878" w:rsidRDefault="008A2663" w:rsidP="008A2663">
      <w:pPr>
        <w:spacing w:line="360" w:lineRule="auto"/>
        <w:jc w:val="both"/>
        <w:rPr>
          <w:rFonts w:ascii="Garamond" w:hAnsi="Garamond"/>
          <w:sz w:val="24"/>
          <w:szCs w:val="24"/>
        </w:rPr>
      </w:pPr>
    </w:p>
    <w:p w:rsidR="008A2663" w:rsidRPr="00A36C42" w:rsidRDefault="008A2663" w:rsidP="008A2663">
      <w:pPr>
        <w:autoSpaceDE w:val="0"/>
        <w:autoSpaceDN w:val="0"/>
        <w:adjustRightInd w:val="0"/>
        <w:spacing w:after="0" w:line="360" w:lineRule="auto"/>
        <w:ind w:left="284" w:right="284"/>
        <w:jc w:val="both"/>
        <w:rPr>
          <w:rFonts w:ascii="Garamond" w:hAnsi="Garamond" w:cs="Times New Roman"/>
        </w:rPr>
      </w:pPr>
      <w:r w:rsidRPr="00A36C42">
        <w:rPr>
          <w:rFonts w:ascii="Garamond" w:hAnsi="Garamond" w:cs="Times New Roman"/>
        </w:rPr>
        <w:t>Empiricism is a tailor, working locally, basting, thinking in extensions, from near vicinities to vicinal proximities, from singularity to singularity, from seed to layer, from well to bridge. It draws detailed maps as it traces out paths, maps the body, the world and dressmaker's patterns: cuts-outs, pins, sews. Subtle and refined it loves detail, its creations fragile. It is a topologist, having a sense for borders and threads, surfaces and reversals, never assuming that things and states of affairs are the same. (Serres, 2008: 227)</w:t>
      </w:r>
    </w:p>
    <w:p w:rsidR="008A2663" w:rsidRPr="00A36C42" w:rsidRDefault="008A2663" w:rsidP="008A2663">
      <w:pPr>
        <w:autoSpaceDE w:val="0"/>
        <w:autoSpaceDN w:val="0"/>
        <w:adjustRightInd w:val="0"/>
        <w:spacing w:after="0" w:line="360" w:lineRule="auto"/>
        <w:ind w:left="284" w:right="284"/>
        <w:jc w:val="both"/>
        <w:rPr>
          <w:rFonts w:ascii="Garamond" w:hAnsi="Garamond" w:cs="Times New Roman"/>
        </w:rPr>
      </w:pPr>
    </w:p>
    <w:p w:rsidR="008A2663" w:rsidRPr="00A36C42" w:rsidRDefault="008A2663" w:rsidP="008A2663">
      <w:pPr>
        <w:autoSpaceDE w:val="0"/>
        <w:autoSpaceDN w:val="0"/>
        <w:adjustRightInd w:val="0"/>
        <w:spacing w:after="0" w:line="360" w:lineRule="auto"/>
        <w:ind w:left="284" w:right="284"/>
        <w:rPr>
          <w:rFonts w:ascii="Garamond" w:hAnsi="Garamond" w:cs="Times-Roman"/>
        </w:rPr>
      </w:pPr>
      <w:r w:rsidRPr="00A36C42">
        <w:rPr>
          <w:rFonts w:ascii="Garamond" w:hAnsi="Garamond" w:cs="Times-Roman"/>
        </w:rPr>
        <w:t xml:space="preserve">Aesthetics </w:t>
      </w:r>
      <w:r w:rsidRPr="00A36C42">
        <w:rPr>
          <w:rFonts w:ascii="Garamond" w:hAnsi="Garamond" w:cs="Times-Italic"/>
          <w:i/>
          <w:iCs/>
        </w:rPr>
        <w:t xml:space="preserve">is </w:t>
      </w:r>
      <w:r w:rsidRPr="00A36C42">
        <w:rPr>
          <w:rFonts w:ascii="Garamond" w:hAnsi="Garamond" w:cs="Times-Roman"/>
        </w:rPr>
        <w:t xml:space="preserve">the way we communicate through the senses. It </w:t>
      </w:r>
      <w:r w:rsidRPr="00A36C42">
        <w:rPr>
          <w:rFonts w:ascii="Garamond" w:hAnsi="Garamond" w:cs="Times-Italic"/>
          <w:i/>
          <w:iCs/>
        </w:rPr>
        <w:t xml:space="preserve">is </w:t>
      </w:r>
      <w:r w:rsidRPr="00A36C42">
        <w:rPr>
          <w:rFonts w:ascii="Garamond" w:hAnsi="Garamond" w:cs="Times-Roman"/>
        </w:rPr>
        <w:t xml:space="preserve">the </w:t>
      </w:r>
      <w:r w:rsidRPr="00A36C42">
        <w:rPr>
          <w:rFonts w:ascii="Garamond" w:hAnsi="Garamond" w:cs="Helvetica"/>
        </w:rPr>
        <w:t xml:space="preserve">art </w:t>
      </w:r>
      <w:r w:rsidRPr="00A36C42">
        <w:rPr>
          <w:rFonts w:ascii="Garamond" w:hAnsi="Garamond" w:cs="Times-Roman"/>
        </w:rPr>
        <w:t>of creating reactions without words, through the look and feel of people, places, and things. (Postrel 2003: 3)</w:t>
      </w:r>
    </w:p>
    <w:p w:rsidR="008A2663" w:rsidRPr="00A36C42" w:rsidRDefault="008A2663" w:rsidP="008A2663">
      <w:pPr>
        <w:autoSpaceDE w:val="0"/>
        <w:autoSpaceDN w:val="0"/>
        <w:adjustRightInd w:val="0"/>
        <w:spacing w:after="0" w:line="360" w:lineRule="auto"/>
        <w:ind w:left="284" w:right="284"/>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For both organizations emotions are</w:t>
      </w:r>
      <w:r w:rsidRPr="00A36C42">
        <w:rPr>
          <w:rFonts w:ascii="Garamond" w:hAnsi="Garamond" w:cs="Times New Roman"/>
          <w:sz w:val="24"/>
          <w:szCs w:val="24"/>
        </w:rPr>
        <w:t xml:space="preserve"> hewn into sticky patchwork balls of materiality, aesthetics and politics that are rolled out into representations and performances. The a</w:t>
      </w:r>
      <w:r>
        <w:rPr>
          <w:rFonts w:ascii="Garamond" w:hAnsi="Garamond" w:cs="Times New Roman"/>
          <w:sz w:val="24"/>
          <w:szCs w:val="24"/>
        </w:rPr>
        <w:t>im of these emotional bundles is</w:t>
      </w:r>
      <w:r w:rsidRPr="00A36C42">
        <w:rPr>
          <w:rFonts w:ascii="Garamond" w:hAnsi="Garamond" w:cs="Times New Roman"/>
          <w:sz w:val="24"/>
          <w:szCs w:val="24"/>
        </w:rPr>
        <w:t xml:space="preserve"> to move people to take action, and to transform structures of feeling about histories, places, events, people and things; emotions "can be means, they can be ends, and sometimes they can fuse </w:t>
      </w:r>
      <w:r>
        <w:rPr>
          <w:rFonts w:ascii="Garamond" w:hAnsi="Garamond" w:cs="Times New Roman"/>
          <w:sz w:val="24"/>
          <w:szCs w:val="24"/>
        </w:rPr>
        <w:t>the t</w:t>
      </w:r>
      <w:r w:rsidR="00286723">
        <w:rPr>
          <w:rFonts w:ascii="Garamond" w:hAnsi="Garamond" w:cs="Times New Roman"/>
          <w:sz w:val="24"/>
          <w:szCs w:val="24"/>
        </w:rPr>
        <w:t>wo" (Jasper, 2011: 14). Across Chapters Three, Four and S</w:t>
      </w:r>
      <w:r>
        <w:rPr>
          <w:rFonts w:ascii="Garamond" w:hAnsi="Garamond" w:cs="Times New Roman"/>
          <w:sz w:val="24"/>
          <w:szCs w:val="24"/>
        </w:rPr>
        <w:t>ix</w:t>
      </w:r>
      <w:r w:rsidR="00286723">
        <w:rPr>
          <w:rFonts w:ascii="Garamond" w:hAnsi="Garamond" w:cs="Times New Roman"/>
          <w:sz w:val="24"/>
          <w:szCs w:val="24"/>
        </w:rPr>
        <w:t>,</w:t>
      </w:r>
      <w:r>
        <w:rPr>
          <w:rFonts w:ascii="Garamond" w:hAnsi="Garamond" w:cs="Times New Roman"/>
          <w:sz w:val="24"/>
          <w:szCs w:val="24"/>
        </w:rPr>
        <w:t xml:space="preserve"> I showed how</w:t>
      </w:r>
      <w:r w:rsidRPr="00A36C42">
        <w:rPr>
          <w:rFonts w:ascii="Garamond" w:hAnsi="Garamond" w:cs="Times New Roman"/>
          <w:sz w:val="24"/>
          <w:szCs w:val="24"/>
        </w:rPr>
        <w:t xml:space="preserve"> boycott activists of this study shape</w:t>
      </w:r>
      <w:r>
        <w:rPr>
          <w:rFonts w:ascii="Garamond" w:hAnsi="Garamond" w:cs="Times New Roman"/>
          <w:sz w:val="24"/>
          <w:szCs w:val="24"/>
        </w:rPr>
        <w:t>d</w:t>
      </w:r>
      <w:r w:rsidRPr="00A36C42">
        <w:rPr>
          <w:rFonts w:ascii="Garamond" w:hAnsi="Garamond" w:cs="Times New Roman"/>
          <w:sz w:val="24"/>
          <w:szCs w:val="24"/>
        </w:rPr>
        <w:t xml:space="preserve"> reflex emotions</w:t>
      </w:r>
      <w:r>
        <w:rPr>
          <w:rFonts w:ascii="Garamond" w:hAnsi="Garamond" w:cs="Times New Roman"/>
          <w:sz w:val="24"/>
          <w:szCs w:val="24"/>
        </w:rPr>
        <w:t>: abjection, shock and disgust in relation to the Outspan boycott; fear and defiance through the BOA's white migration campaigns; abjection, disgust and pity through the STT's child producer chocolate topos. They also cultivated less ephemeral moods and senses including anger and injustice and conviviality</w:t>
      </w:r>
      <w:r w:rsidRPr="00A36C42">
        <w:rPr>
          <w:rFonts w:ascii="Garamond" w:hAnsi="Garamond" w:cs="Times New Roman"/>
          <w:sz w:val="24"/>
          <w:szCs w:val="24"/>
        </w:rPr>
        <w:t>, and create</w:t>
      </w:r>
      <w:r>
        <w:rPr>
          <w:rFonts w:ascii="Garamond" w:hAnsi="Garamond" w:cs="Times New Roman"/>
          <w:sz w:val="24"/>
          <w:szCs w:val="24"/>
        </w:rPr>
        <w:t>d</w:t>
      </w:r>
      <w:r w:rsidRPr="00A36C42">
        <w:rPr>
          <w:rFonts w:ascii="Garamond" w:hAnsi="Garamond" w:cs="Times New Roman"/>
          <w:sz w:val="24"/>
          <w:szCs w:val="24"/>
        </w:rPr>
        <w:t xml:space="preserve"> frameworks for engaging (and equally disengaging) 'moral emotions' such as guilt, shame, pride, caring, responsibility and solidarity.</w:t>
      </w:r>
      <w:r w:rsidRPr="00A36C42">
        <w:rPr>
          <w:rStyle w:val="FootnoteReference"/>
          <w:rFonts w:ascii="Garamond" w:hAnsi="Garamond"/>
          <w:sz w:val="24"/>
          <w:szCs w:val="24"/>
        </w:rPr>
        <w:footnoteReference w:id="315"/>
      </w:r>
      <w:r w:rsidRPr="00A36C42">
        <w:rPr>
          <w:rFonts w:ascii="Garamond" w:hAnsi="Garamond" w:cs="Times New Roman"/>
          <w:sz w:val="24"/>
          <w:szCs w:val="24"/>
        </w:rPr>
        <w:t xml:space="preserve"> The emotions produced and felt by activists here are not always b</w:t>
      </w:r>
      <w:r>
        <w:rPr>
          <w:rFonts w:ascii="Garamond" w:hAnsi="Garamond" w:cs="Times New Roman"/>
          <w:sz w:val="24"/>
          <w:szCs w:val="24"/>
        </w:rPr>
        <w:t>eneficial to their activisms</w:t>
      </w:r>
      <w:r w:rsidRPr="00A36C42">
        <w:rPr>
          <w:rFonts w:ascii="Garamond" w:hAnsi="Garamond" w:cs="Times New Roman"/>
          <w:sz w:val="24"/>
          <w:szCs w:val="24"/>
        </w:rPr>
        <w:t>; in social movements, "some emotions may get in the way of others; some may specifically call forth others" (Calhoun, 2001: 53).</w:t>
      </w:r>
      <w:r>
        <w:rPr>
          <w:rFonts w:ascii="Garamond" w:hAnsi="Garamond" w:cs="Times New Roman"/>
          <w:sz w:val="24"/>
          <w:szCs w:val="24"/>
        </w:rPr>
        <w:t xml:space="preserve"> For example, evoking pity and disgust from anthropophagia is publicly denied by STT activists despite being explicitly cu</w:t>
      </w:r>
      <w:r w:rsidR="00286723">
        <w:rPr>
          <w:rFonts w:ascii="Garamond" w:hAnsi="Garamond" w:cs="Times New Roman"/>
          <w:sz w:val="24"/>
          <w:szCs w:val="24"/>
        </w:rPr>
        <w:t>ltivated in STT's handbook. In Chapter T</w:t>
      </w:r>
      <w:r>
        <w:rPr>
          <w:rFonts w:ascii="Garamond" w:hAnsi="Garamond" w:cs="Times New Roman"/>
          <w:sz w:val="24"/>
          <w:szCs w:val="24"/>
        </w:rPr>
        <w:t>hree</w:t>
      </w:r>
      <w:r w:rsidR="00286723">
        <w:rPr>
          <w:rFonts w:ascii="Garamond" w:hAnsi="Garamond" w:cs="Times New Roman"/>
          <w:sz w:val="24"/>
          <w:szCs w:val="24"/>
        </w:rPr>
        <w:t>,</w:t>
      </w:r>
      <w:r>
        <w:rPr>
          <w:rFonts w:ascii="Garamond" w:hAnsi="Garamond" w:cs="Times New Roman"/>
          <w:sz w:val="24"/>
          <w:szCs w:val="24"/>
        </w:rPr>
        <w:t xml:space="preserve"> I suggested that the risk with the Outspan boycott image was that the abjection of citrus and the threat of anthropophagia could transfer to reinforcing the abjection of black bodies i</w:t>
      </w:r>
      <w:r w:rsidR="00286723">
        <w:rPr>
          <w:rFonts w:ascii="Garamond" w:hAnsi="Garamond" w:cs="Times New Roman"/>
          <w:sz w:val="24"/>
          <w:szCs w:val="24"/>
        </w:rPr>
        <w:t>n already racist mindsets.  In Chapters Six and S</w:t>
      </w:r>
      <w:r>
        <w:rPr>
          <w:rFonts w:ascii="Garamond" w:hAnsi="Garamond" w:cs="Times New Roman"/>
          <w:sz w:val="24"/>
          <w:szCs w:val="24"/>
        </w:rPr>
        <w:t>even</w:t>
      </w:r>
      <w:r w:rsidR="00286723">
        <w:rPr>
          <w:rFonts w:ascii="Garamond" w:hAnsi="Garamond" w:cs="Times New Roman"/>
          <w:sz w:val="24"/>
          <w:szCs w:val="24"/>
        </w:rPr>
        <w:t>,</w:t>
      </w:r>
      <w:r>
        <w:rPr>
          <w:rFonts w:ascii="Garamond" w:hAnsi="Garamond" w:cs="Times New Roman"/>
          <w:sz w:val="24"/>
          <w:szCs w:val="24"/>
        </w:rPr>
        <w:t xml:space="preserve"> I showed that the BOA's explicit defiance and anger over racism in South Africa and Holland created both solidarities and antagonisms. </w:t>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center"/>
        <w:rPr>
          <w:rFonts w:ascii="Garamond" w:hAnsi="Garamond" w:cs="Times New Roman"/>
          <w:sz w:val="24"/>
          <w:szCs w:val="24"/>
        </w:rPr>
      </w:pPr>
      <w:r w:rsidRPr="00A36C42">
        <w:rPr>
          <w:rFonts w:ascii="Garamond" w:hAnsi="Garamond" w:cs="Times New Roman"/>
          <w:noProof/>
          <w:sz w:val="24"/>
          <w:szCs w:val="24"/>
          <w:lang w:eastAsia="en-GB"/>
        </w:rPr>
        <w:lastRenderedPageBreak/>
        <w:drawing>
          <wp:inline distT="0" distB="0" distL="0" distR="0">
            <wp:extent cx="4597400" cy="2399030"/>
            <wp:effectExtent l="19050" t="0" r="0" b="0"/>
            <wp:docPr id="112" name="Picture 1" descr="C:\Users\hugh crosfield\Desktop\Table of 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crosfield\Desktop\Table of emotions.jpg"/>
                    <pic:cNvPicPr>
                      <a:picLocks noChangeAspect="1" noChangeArrowheads="1"/>
                    </pic:cNvPicPr>
                  </pic:nvPicPr>
                  <pic:blipFill>
                    <a:blip r:embed="rId151" cstate="print"/>
                    <a:srcRect/>
                    <a:stretch>
                      <a:fillRect/>
                    </a:stretch>
                  </pic:blipFill>
                  <pic:spPr bwMode="auto">
                    <a:xfrm>
                      <a:off x="0" y="0"/>
                      <a:ext cx="4597400" cy="2399030"/>
                    </a:xfrm>
                    <a:prstGeom prst="rect">
                      <a:avLst/>
                    </a:prstGeom>
                    <a:noFill/>
                    <a:ln w="9525">
                      <a:noFill/>
                      <a:miter lim="800000"/>
                      <a:headEnd/>
                      <a:tailEnd/>
                    </a:ln>
                  </pic:spPr>
                </pic:pic>
              </a:graphicData>
            </a:graphic>
          </wp:inline>
        </w:drawing>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9E10F2" w:rsidRDefault="008A2663" w:rsidP="009E10F2">
      <w:pPr>
        <w:pStyle w:val="Caption"/>
        <w:ind w:left="426"/>
        <w:rPr>
          <w:rFonts w:ascii="Perpetua" w:hAnsi="Perpetua" w:cs="Times New Roman"/>
          <w:b w:val="0"/>
          <w:color w:val="auto"/>
          <w:sz w:val="20"/>
        </w:rPr>
      </w:pPr>
      <w:bookmarkStart w:id="930" w:name="_Toc263509099"/>
      <w:bookmarkStart w:id="931" w:name="_Toc263510886"/>
      <w:bookmarkStart w:id="932" w:name="_Toc244577364"/>
      <w:bookmarkStart w:id="933" w:name="_Toc263495833"/>
      <w:r w:rsidRPr="009E10F2">
        <w:rPr>
          <w:rFonts w:ascii="Perpetua" w:hAnsi="Perpetua"/>
          <w:b w:val="0"/>
          <w:color w:val="auto"/>
          <w:sz w:val="20"/>
        </w:rPr>
        <w:t xml:space="preserve">Figure </w:t>
      </w:r>
      <w:r w:rsidR="00DF2DF8" w:rsidRPr="009E10F2">
        <w:rPr>
          <w:rFonts w:ascii="Perpetua" w:hAnsi="Perpetua"/>
          <w:b w:val="0"/>
          <w:color w:val="auto"/>
          <w:sz w:val="20"/>
        </w:rPr>
        <w:fldChar w:fldCharType="begin"/>
      </w:r>
      <w:r w:rsidRPr="009E10F2">
        <w:rPr>
          <w:rFonts w:ascii="Perpetua" w:hAnsi="Perpetua"/>
          <w:b w:val="0"/>
          <w:color w:val="auto"/>
          <w:sz w:val="20"/>
        </w:rPr>
        <w:instrText xml:space="preserve"> SEQ Figure \* ARABIC </w:instrText>
      </w:r>
      <w:r w:rsidR="00DF2DF8" w:rsidRPr="009E10F2">
        <w:rPr>
          <w:rFonts w:ascii="Perpetua" w:hAnsi="Perpetua"/>
          <w:b w:val="0"/>
          <w:color w:val="auto"/>
          <w:sz w:val="20"/>
        </w:rPr>
        <w:fldChar w:fldCharType="separate"/>
      </w:r>
      <w:r w:rsidR="002B3E92">
        <w:rPr>
          <w:rFonts w:ascii="Perpetua" w:hAnsi="Perpetua"/>
          <w:b w:val="0"/>
          <w:noProof/>
          <w:color w:val="auto"/>
          <w:sz w:val="20"/>
        </w:rPr>
        <w:t>102</w:t>
      </w:r>
      <w:r w:rsidR="00DF2DF8" w:rsidRPr="009E10F2">
        <w:rPr>
          <w:rFonts w:ascii="Perpetua" w:hAnsi="Perpetua"/>
          <w:b w:val="0"/>
          <w:color w:val="auto"/>
          <w:sz w:val="20"/>
        </w:rPr>
        <w:fldChar w:fldCharType="end"/>
      </w:r>
      <w:r w:rsidRPr="009E10F2">
        <w:rPr>
          <w:rFonts w:ascii="Perpetua" w:hAnsi="Perpetua" w:cs="Times New Roman"/>
          <w:b w:val="0"/>
          <w:color w:val="auto"/>
          <w:sz w:val="20"/>
        </w:rPr>
        <w:t>:</w:t>
      </w:r>
      <w:r w:rsidRPr="008A2663">
        <w:rPr>
          <w:rFonts w:ascii="Perpetua" w:hAnsi="Perpetua" w:cs="Times New Roman"/>
          <w:b w:val="0"/>
          <w:color w:val="auto"/>
          <w:sz w:val="20"/>
        </w:rPr>
        <w:t xml:space="preserve"> </w:t>
      </w:r>
      <w:r w:rsidR="009E10F2">
        <w:rPr>
          <w:rFonts w:ascii="Perpetua" w:hAnsi="Perpetua" w:cs="Times New Roman"/>
          <w:b w:val="0"/>
          <w:color w:val="auto"/>
          <w:sz w:val="20"/>
        </w:rPr>
        <w:t>Photograph of table showing c</w:t>
      </w:r>
      <w:r w:rsidRPr="008A2663">
        <w:rPr>
          <w:rFonts w:ascii="Perpetua" w:hAnsi="Perpetua" w:cs="Times New Roman"/>
          <w:b w:val="0"/>
          <w:color w:val="auto"/>
          <w:sz w:val="20"/>
        </w:rPr>
        <w:t>ategories and examples of emotions in social movements.</w:t>
      </w:r>
      <w:bookmarkEnd w:id="930"/>
      <w:bookmarkEnd w:id="931"/>
      <w:r w:rsidRPr="008A2663">
        <w:rPr>
          <w:rFonts w:ascii="Perpetua" w:hAnsi="Perpetua" w:cs="Times New Roman"/>
          <w:b w:val="0"/>
          <w:color w:val="auto"/>
          <w:sz w:val="20"/>
        </w:rPr>
        <w:t xml:space="preserve"> </w:t>
      </w:r>
    </w:p>
    <w:p w:rsidR="008A2663" w:rsidRPr="009E10F2" w:rsidRDefault="009E10F2" w:rsidP="009E10F2">
      <w:pPr>
        <w:ind w:left="426"/>
        <w:rPr>
          <w:rFonts w:ascii="Perpetua" w:hAnsi="Perpetua"/>
          <w:sz w:val="20"/>
        </w:rPr>
      </w:pPr>
      <w:r w:rsidRPr="009E10F2">
        <w:rPr>
          <w:rFonts w:ascii="Perpetua" w:hAnsi="Perpetua"/>
          <w:sz w:val="20"/>
        </w:rPr>
        <w:t>Sourced from Goodwin et al. (</w:t>
      </w:r>
      <w:r w:rsidR="008A2663" w:rsidRPr="009E10F2">
        <w:rPr>
          <w:rFonts w:ascii="Perpetua" w:hAnsi="Perpetua"/>
          <w:sz w:val="20"/>
        </w:rPr>
        <w:t>2001: 11</w:t>
      </w:r>
      <w:r w:rsidRPr="009E10F2">
        <w:rPr>
          <w:rFonts w:ascii="Perpetua" w:hAnsi="Perpetua"/>
          <w:sz w:val="20"/>
        </w:rPr>
        <w:t>)</w:t>
      </w:r>
      <w:r w:rsidR="008A2663" w:rsidRPr="009E10F2">
        <w:rPr>
          <w:rFonts w:ascii="Perpetua" w:hAnsi="Perpetua"/>
          <w:sz w:val="20"/>
        </w:rPr>
        <w:t>.</w:t>
      </w:r>
      <w:bookmarkEnd w:id="932"/>
      <w:bookmarkEnd w:id="933"/>
      <w:r w:rsidR="008A2663" w:rsidRPr="009E10F2">
        <w:rPr>
          <w:rFonts w:ascii="Perpetua" w:hAnsi="Perpetua"/>
          <w:sz w:val="20"/>
        </w:rPr>
        <w:t xml:space="preserve"> </w:t>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r w:rsidRPr="00A36C42">
        <w:rPr>
          <w:rFonts w:ascii="Garamond" w:hAnsi="Garamond" w:cs="Times New Roman"/>
          <w:sz w:val="24"/>
          <w:szCs w:val="24"/>
        </w:rPr>
        <w:t xml:space="preserve">Emotions generate energy for action and some of the glue for activists to stick together (Brown </w:t>
      </w:r>
      <w:r w:rsidR="00F152DB">
        <w:rPr>
          <w:rFonts w:ascii="Garamond" w:hAnsi="Garamond" w:cs="Times New Roman"/>
          <w:sz w:val="24"/>
          <w:szCs w:val="24"/>
        </w:rPr>
        <w:t>and</w:t>
      </w:r>
      <w:r w:rsidRPr="00A36C42">
        <w:rPr>
          <w:rFonts w:ascii="Garamond" w:hAnsi="Garamond" w:cs="Times New Roman"/>
          <w:sz w:val="24"/>
          <w:szCs w:val="24"/>
        </w:rPr>
        <w:t xml:space="preserve"> Yaffe, 2009). As boycott activists attempt to siphon emotions into sets of pre-meditated political outcomes, the</w:t>
      </w:r>
      <w:r>
        <w:rPr>
          <w:rFonts w:ascii="Garamond" w:hAnsi="Garamond" w:cs="Times New Roman"/>
          <w:sz w:val="24"/>
          <w:szCs w:val="24"/>
        </w:rPr>
        <w:t xml:space="preserve">y utilize marketing techniques, </w:t>
      </w:r>
      <w:r w:rsidRPr="00A36C42">
        <w:rPr>
          <w:rFonts w:ascii="Garamond" w:hAnsi="Garamond" w:cs="Times New Roman"/>
          <w:sz w:val="24"/>
          <w:szCs w:val="24"/>
        </w:rPr>
        <w:t>they demonstrate somatic and emotional reflexivity, and they engage with what Nigel Thrift describes as the 'aesthetics of glamour'.</w:t>
      </w:r>
      <w:r w:rsidRPr="00A36C42">
        <w:rPr>
          <w:rStyle w:val="FootnoteReference"/>
          <w:rFonts w:ascii="Garamond" w:hAnsi="Garamond"/>
          <w:sz w:val="24"/>
          <w:szCs w:val="24"/>
        </w:rPr>
        <w:footnoteReference w:id="316"/>
      </w:r>
      <w:r w:rsidRPr="00A36C42">
        <w:rPr>
          <w:rFonts w:ascii="Garamond" w:hAnsi="Garamond" w:cs="Times New Roman"/>
          <w:sz w:val="24"/>
          <w:szCs w:val="24"/>
        </w:rPr>
        <w:t xml:space="preserve"> In extremity, boycotters seek to engage a type of perspectival creative destruc</w:t>
      </w:r>
      <w:r>
        <w:rPr>
          <w:rFonts w:ascii="Garamond" w:hAnsi="Garamond" w:cs="Times New Roman"/>
          <w:sz w:val="24"/>
          <w:szCs w:val="24"/>
        </w:rPr>
        <w:t>tion, seeking to use bodywork</w:t>
      </w:r>
      <w:r w:rsidRPr="00A36C42">
        <w:rPr>
          <w:rFonts w:ascii="Garamond" w:hAnsi="Garamond" w:cs="Times New Roman"/>
          <w:sz w:val="24"/>
          <w:szCs w:val="24"/>
        </w:rPr>
        <w:t xml:space="preserve"> to deconstruct, detourn and piece back together capitalist practices, brand values and commodity knowledges.</w:t>
      </w:r>
      <w:r w:rsidRPr="00A36C42">
        <w:rPr>
          <w:rStyle w:val="FootnoteReference"/>
          <w:rFonts w:ascii="Garamond" w:hAnsi="Garamond"/>
          <w:sz w:val="24"/>
          <w:szCs w:val="24"/>
        </w:rPr>
        <w:footnoteReference w:id="317"/>
      </w:r>
      <w:r w:rsidRPr="00A36C42">
        <w:rPr>
          <w:rFonts w:ascii="Garamond" w:hAnsi="Garamond" w:cs="Times New Roman"/>
          <w:sz w:val="24"/>
          <w:szCs w:val="24"/>
        </w:rPr>
        <w:t xml:space="preserve"> This </w:t>
      </w:r>
      <w:r w:rsidRPr="00A36C42">
        <w:rPr>
          <w:rFonts w:ascii="Garamond" w:hAnsi="Garamond" w:cs="Times New Roman"/>
          <w:sz w:val="24"/>
          <w:szCs w:val="24"/>
        </w:rPr>
        <w:lastRenderedPageBreak/>
        <w:t>project exp</w:t>
      </w:r>
      <w:r>
        <w:rPr>
          <w:rFonts w:ascii="Garamond" w:hAnsi="Garamond" w:cs="Times New Roman"/>
          <w:sz w:val="24"/>
          <w:szCs w:val="24"/>
        </w:rPr>
        <w:t>lained</w:t>
      </w:r>
      <w:r w:rsidRPr="00A36C42">
        <w:rPr>
          <w:rFonts w:ascii="Garamond" w:hAnsi="Garamond" w:cs="Times New Roman"/>
          <w:sz w:val="24"/>
          <w:szCs w:val="24"/>
        </w:rPr>
        <w:t xml:space="preserve"> how among the ruins of abjection, pity and guilt, boycott campaigns can unfurl into assemblages of social engineering. Boycott activists seek to build compassion, sympathy and responsibility for the victims of their narrative, while constructing new relationships and solidarities in and across the places they operate and represent. </w:t>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T</w:t>
      </w:r>
      <w:r w:rsidRPr="00A36C42">
        <w:rPr>
          <w:rFonts w:ascii="Garamond" w:hAnsi="Garamond" w:cs="Times New Roman"/>
          <w:sz w:val="24"/>
          <w:szCs w:val="24"/>
        </w:rPr>
        <w:t xml:space="preserve">he study </w:t>
      </w:r>
      <w:r>
        <w:rPr>
          <w:rFonts w:ascii="Garamond" w:hAnsi="Garamond" w:cs="Times New Roman"/>
          <w:sz w:val="24"/>
          <w:szCs w:val="24"/>
        </w:rPr>
        <w:t xml:space="preserve">has found </w:t>
      </w:r>
      <w:r w:rsidRPr="00A36C42">
        <w:rPr>
          <w:rFonts w:ascii="Garamond" w:hAnsi="Garamond" w:cs="Times New Roman"/>
          <w:sz w:val="24"/>
          <w:szCs w:val="24"/>
        </w:rPr>
        <w:t>multiple uses for the initial 'sticky' emotional encounter of the boycott. I show</w:t>
      </w:r>
      <w:r>
        <w:rPr>
          <w:rFonts w:ascii="Garamond" w:hAnsi="Garamond" w:cs="Times New Roman"/>
          <w:sz w:val="24"/>
          <w:szCs w:val="24"/>
        </w:rPr>
        <w:t>ed</w:t>
      </w:r>
      <w:r w:rsidRPr="00A36C42">
        <w:rPr>
          <w:rFonts w:ascii="Garamond" w:hAnsi="Garamond" w:cs="Times New Roman"/>
          <w:sz w:val="24"/>
          <w:szCs w:val="24"/>
        </w:rPr>
        <w:t xml:space="preserve"> how boycott activists interchangeably prioritize aesthetics and pedagogy depending on context and demand (e.g. to create immediate publicity for campaigns, to create 'moral' identities and radical politics, or to forge solidarities). I explain</w:t>
      </w:r>
      <w:r>
        <w:rPr>
          <w:rFonts w:ascii="Garamond" w:hAnsi="Garamond" w:cs="Times New Roman"/>
          <w:sz w:val="24"/>
          <w:szCs w:val="24"/>
        </w:rPr>
        <w:t>ed</w:t>
      </w:r>
      <w:r w:rsidRPr="00A36C42">
        <w:rPr>
          <w:rFonts w:ascii="Garamond" w:hAnsi="Garamond" w:cs="Times New Roman"/>
          <w:sz w:val="24"/>
          <w:szCs w:val="24"/>
        </w:rPr>
        <w:t xml:space="preserve"> how boycotting becomes a public statement of grassroots power</w:t>
      </w:r>
      <w:r>
        <w:rPr>
          <w:rFonts w:ascii="Garamond" w:hAnsi="Garamond" w:cs="Times New Roman"/>
          <w:sz w:val="24"/>
          <w:szCs w:val="24"/>
        </w:rPr>
        <w:t>, how it crafts</w:t>
      </w:r>
      <w:r w:rsidRPr="00A36C42">
        <w:rPr>
          <w:rFonts w:ascii="Garamond" w:hAnsi="Garamond" w:cs="Times New Roman"/>
          <w:sz w:val="24"/>
          <w:szCs w:val="24"/>
        </w:rPr>
        <w:t xml:space="preserve"> and determines activist reputations, how it can differently include/exclude the prerogatives of labourers or labour movements (who can be in attendance or represented), and </w:t>
      </w:r>
      <w:r>
        <w:rPr>
          <w:rFonts w:ascii="Garamond" w:hAnsi="Garamond" w:cs="Times New Roman"/>
          <w:sz w:val="24"/>
          <w:szCs w:val="24"/>
        </w:rPr>
        <w:t xml:space="preserve">in relation to this </w:t>
      </w:r>
      <w:r w:rsidRPr="00A36C42">
        <w:rPr>
          <w:rFonts w:ascii="Garamond" w:hAnsi="Garamond" w:cs="Times New Roman"/>
          <w:sz w:val="24"/>
          <w:szCs w:val="24"/>
        </w:rPr>
        <w:t>how it generates different types of solidarity and responsibility. I</w:t>
      </w:r>
      <w:r>
        <w:rPr>
          <w:rFonts w:ascii="Garamond" w:hAnsi="Garamond" w:cs="Times New Roman"/>
          <w:sz w:val="24"/>
          <w:szCs w:val="24"/>
        </w:rPr>
        <w:t xml:space="preserve"> outlined </w:t>
      </w:r>
      <w:r w:rsidRPr="00A36C42">
        <w:rPr>
          <w:rFonts w:ascii="Garamond" w:hAnsi="Garamond" w:cs="Times New Roman"/>
          <w:sz w:val="24"/>
          <w:szCs w:val="24"/>
        </w:rPr>
        <w:t>where the boycott is rolled out as a strategic red-herring enabling tan</w:t>
      </w:r>
      <w:r>
        <w:rPr>
          <w:rFonts w:ascii="Garamond" w:hAnsi="Garamond" w:cs="Times New Roman"/>
          <w:sz w:val="24"/>
          <w:szCs w:val="24"/>
        </w:rPr>
        <w:t>gential political agendas, and considered</w:t>
      </w:r>
      <w:r w:rsidRPr="00A36C42">
        <w:rPr>
          <w:rFonts w:ascii="Garamond" w:hAnsi="Garamond" w:cs="Times New Roman"/>
          <w:sz w:val="24"/>
          <w:szCs w:val="24"/>
        </w:rPr>
        <w:t xml:space="preserve"> how it can pose malevolent threats to capitalist organizations, state organizations and consumers, and how it is tamed in relation to fair trade to become part of STT's complex strategy of 'carrot and stick' adv</w:t>
      </w:r>
      <w:r>
        <w:rPr>
          <w:rFonts w:ascii="Garamond" w:hAnsi="Garamond" w:cs="Times New Roman"/>
          <w:sz w:val="24"/>
          <w:szCs w:val="24"/>
        </w:rPr>
        <w:t>ocacy. Commodity boycotts of this study variously apply</w:t>
      </w:r>
      <w:r w:rsidRPr="00A36C42">
        <w:rPr>
          <w:rFonts w:ascii="Garamond" w:hAnsi="Garamond" w:cs="Times New Roman"/>
          <w:sz w:val="24"/>
          <w:szCs w:val="24"/>
        </w:rPr>
        <w:t xml:space="preserve"> political </w:t>
      </w:r>
      <w:r w:rsidRPr="00A36C42">
        <w:rPr>
          <w:rFonts w:ascii="Garamond" w:hAnsi="Garamond" w:cs="Times New Roman"/>
          <w:i/>
          <w:sz w:val="24"/>
          <w:szCs w:val="24"/>
        </w:rPr>
        <w:t>or</w:t>
      </w:r>
      <w:r w:rsidRPr="00A36C42">
        <w:rPr>
          <w:rFonts w:ascii="Garamond" w:hAnsi="Garamond" w:cs="Times New Roman"/>
          <w:sz w:val="24"/>
          <w:szCs w:val="24"/>
        </w:rPr>
        <w:t xml:space="preserve"> consumer sovereignty (sometimes two very</w:t>
      </w:r>
      <w:r>
        <w:rPr>
          <w:rFonts w:ascii="Garamond" w:hAnsi="Garamond" w:cs="Times New Roman"/>
          <w:sz w:val="24"/>
          <w:szCs w:val="24"/>
        </w:rPr>
        <w:t xml:space="preserve"> different entities). Both organizations have</w:t>
      </w:r>
      <w:r w:rsidRPr="00A36C42">
        <w:rPr>
          <w:rFonts w:ascii="Garamond" w:hAnsi="Garamond" w:cs="Times New Roman"/>
          <w:sz w:val="24"/>
          <w:szCs w:val="24"/>
        </w:rPr>
        <w:t xml:space="preserve"> propose</w:t>
      </w:r>
      <w:r>
        <w:rPr>
          <w:rFonts w:ascii="Garamond" w:hAnsi="Garamond" w:cs="Times New Roman"/>
          <w:sz w:val="24"/>
          <w:szCs w:val="24"/>
        </w:rPr>
        <w:t>d</w:t>
      </w:r>
      <w:r w:rsidRPr="00A36C42">
        <w:rPr>
          <w:rFonts w:ascii="Garamond" w:hAnsi="Garamond" w:cs="Times New Roman"/>
          <w:sz w:val="24"/>
          <w:szCs w:val="24"/>
        </w:rPr>
        <w:t xml:space="preserve"> new 'ethical' c</w:t>
      </w:r>
      <w:r>
        <w:rPr>
          <w:rFonts w:ascii="Garamond" w:hAnsi="Garamond" w:cs="Times New Roman"/>
          <w:sz w:val="24"/>
          <w:szCs w:val="24"/>
        </w:rPr>
        <w:t>hoices for the consumer (South American oranges, certified chocolate), and in the removal of Outspan from supermarkets and retailers, and the activism of Fairtrade Town campaigns, both organizations sought</w:t>
      </w:r>
      <w:r w:rsidRPr="00A36C42">
        <w:rPr>
          <w:rFonts w:ascii="Garamond" w:hAnsi="Garamond" w:cs="Times New Roman"/>
          <w:sz w:val="24"/>
          <w:szCs w:val="24"/>
        </w:rPr>
        <w:t xml:space="preserve"> to remove choice in the strategic embedding of 'ethical' imperatives across institutions and systems of provisioning. </w:t>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8A2663" w:rsidRDefault="008A2663" w:rsidP="008A2663">
      <w:pPr>
        <w:autoSpaceDE w:val="0"/>
        <w:autoSpaceDN w:val="0"/>
        <w:adjustRightInd w:val="0"/>
        <w:spacing w:after="0" w:line="360" w:lineRule="auto"/>
        <w:jc w:val="both"/>
        <w:rPr>
          <w:rFonts w:ascii="Garamond" w:hAnsi="Garamond" w:cs="Times New Roman"/>
          <w:sz w:val="24"/>
          <w:szCs w:val="24"/>
        </w:rPr>
      </w:pPr>
      <w:r>
        <w:rPr>
          <w:rFonts w:ascii="Garamond" w:hAnsi="Garamond" w:cs="Times New Roman"/>
          <w:sz w:val="24"/>
          <w:szCs w:val="24"/>
        </w:rPr>
        <w:t xml:space="preserve">Across </w:t>
      </w:r>
      <w:r w:rsidRPr="00A36C42">
        <w:rPr>
          <w:rFonts w:ascii="Garamond" w:hAnsi="Garamond" w:cs="Times New Roman"/>
          <w:sz w:val="24"/>
          <w:szCs w:val="24"/>
        </w:rPr>
        <w:t xml:space="preserve">these contexts, boycotters must present the disjuncture between </w:t>
      </w:r>
      <w:r w:rsidRPr="00A36C42">
        <w:rPr>
          <w:rFonts w:ascii="Garamond" w:hAnsi="Garamond" w:cs="Times New Roman"/>
          <w:i/>
          <w:sz w:val="24"/>
          <w:szCs w:val="24"/>
        </w:rPr>
        <w:t>political reality</w:t>
      </w:r>
      <w:r w:rsidRPr="00A36C42">
        <w:rPr>
          <w:rFonts w:ascii="Garamond" w:hAnsi="Garamond" w:cs="Times New Roman"/>
          <w:sz w:val="24"/>
          <w:szCs w:val="24"/>
        </w:rPr>
        <w:t xml:space="preserve"> and their </w:t>
      </w:r>
      <w:r w:rsidRPr="00A36C42">
        <w:rPr>
          <w:rFonts w:ascii="Garamond" w:hAnsi="Garamond" w:cs="Times New Roman"/>
          <w:i/>
          <w:sz w:val="24"/>
          <w:szCs w:val="24"/>
        </w:rPr>
        <w:t>political vision</w:t>
      </w:r>
      <w:r w:rsidRPr="00A36C42">
        <w:rPr>
          <w:rFonts w:ascii="Garamond" w:hAnsi="Garamond" w:cs="Times New Roman"/>
          <w:sz w:val="24"/>
          <w:szCs w:val="24"/>
        </w:rPr>
        <w:t xml:space="preserve"> as a challenge to be recognized, bridged, and incorporated by specific targets. </w:t>
      </w:r>
      <w:r>
        <w:rPr>
          <w:rFonts w:ascii="Garamond" w:hAnsi="Garamond" w:cs="Times New Roman"/>
          <w:sz w:val="24"/>
          <w:szCs w:val="24"/>
        </w:rPr>
        <w:t>As with the BOA's Outspan campaign,</w:t>
      </w:r>
      <w:r w:rsidRPr="00A36C42">
        <w:rPr>
          <w:rFonts w:ascii="Garamond" w:hAnsi="Garamond" w:cs="Times New Roman"/>
          <w:sz w:val="24"/>
          <w:szCs w:val="24"/>
        </w:rPr>
        <w:t xml:space="preserve"> </w:t>
      </w:r>
      <w:r>
        <w:rPr>
          <w:rFonts w:ascii="Garamond" w:hAnsi="Garamond" w:cs="Times New Roman"/>
          <w:sz w:val="24"/>
          <w:szCs w:val="24"/>
        </w:rPr>
        <w:t>boycott activists</w:t>
      </w:r>
      <w:r w:rsidRPr="00A36C42">
        <w:rPr>
          <w:rFonts w:ascii="Garamond" w:hAnsi="Garamond" w:cs="Times New Roman"/>
          <w:sz w:val="24"/>
          <w:szCs w:val="24"/>
        </w:rPr>
        <w:t xml:space="preserve"> will proceed in full knowledge that their challenge will be rejected out of hand (Smith 19</w:t>
      </w:r>
      <w:r>
        <w:rPr>
          <w:rFonts w:ascii="Garamond" w:hAnsi="Garamond" w:cs="Times New Roman"/>
          <w:sz w:val="24"/>
          <w:szCs w:val="24"/>
        </w:rPr>
        <w:t>90; Friedman, 1999); targets</w:t>
      </w:r>
      <w:r w:rsidRPr="00A36C42">
        <w:rPr>
          <w:rFonts w:ascii="Garamond" w:hAnsi="Garamond" w:cs="Times New Roman"/>
          <w:sz w:val="24"/>
          <w:szCs w:val="24"/>
        </w:rPr>
        <w:t xml:space="preserve"> act as sources of publicity, as a proxies, or dummies for more pressing political concerns</w:t>
      </w:r>
      <w:r>
        <w:rPr>
          <w:rFonts w:ascii="Garamond" w:hAnsi="Garamond" w:cs="Times New Roman"/>
          <w:sz w:val="24"/>
          <w:szCs w:val="24"/>
        </w:rPr>
        <w:t xml:space="preserve">. So for the BOA, I showed that the Outspan boycott was less about damaging citrus capitalism (although that was certainly an aim), and more about creating racial reflexivity and shifting commonly held perceptions that apartheid was still </w:t>
      </w:r>
      <w:r>
        <w:rPr>
          <w:rFonts w:ascii="Garamond" w:hAnsi="Garamond" w:cs="Times New Roman"/>
          <w:sz w:val="24"/>
          <w:szCs w:val="24"/>
        </w:rPr>
        <w:lastRenderedPageBreak/>
        <w:t xml:space="preserve">acceptable among the Dutch public in the early 1970s. </w:t>
      </w:r>
      <w:r w:rsidRPr="00A36C42">
        <w:rPr>
          <w:rFonts w:ascii="Garamond" w:hAnsi="Garamond" w:cs="Times New Roman"/>
          <w:sz w:val="24"/>
          <w:szCs w:val="24"/>
        </w:rPr>
        <w:t>I</w:t>
      </w:r>
      <w:r>
        <w:rPr>
          <w:rFonts w:ascii="Garamond" w:hAnsi="Garamond" w:cs="Times New Roman"/>
          <w:sz w:val="24"/>
          <w:szCs w:val="24"/>
        </w:rPr>
        <w:t xml:space="preserve"> </w:t>
      </w:r>
      <w:r w:rsidRPr="00A36C42">
        <w:rPr>
          <w:rFonts w:ascii="Garamond" w:hAnsi="Garamond" w:cs="Times New Roman"/>
          <w:sz w:val="24"/>
          <w:szCs w:val="24"/>
        </w:rPr>
        <w:t>discuss</w:t>
      </w:r>
      <w:r>
        <w:rPr>
          <w:rFonts w:ascii="Garamond" w:hAnsi="Garamond" w:cs="Times New Roman"/>
          <w:sz w:val="24"/>
          <w:szCs w:val="24"/>
        </w:rPr>
        <w:t>ed</w:t>
      </w:r>
      <w:r w:rsidRPr="00A36C42">
        <w:rPr>
          <w:rFonts w:ascii="Garamond" w:hAnsi="Garamond" w:cs="Times New Roman"/>
          <w:sz w:val="24"/>
          <w:szCs w:val="24"/>
        </w:rPr>
        <w:t xml:space="preserve"> how anti-apartheid boycotts enabled antiracist and anti-colonial politics across Holland and Europe</w:t>
      </w:r>
      <w:r>
        <w:rPr>
          <w:rFonts w:ascii="Garamond" w:hAnsi="Garamond" w:cs="Times New Roman"/>
          <w:sz w:val="24"/>
          <w:szCs w:val="24"/>
        </w:rPr>
        <w:t>. With respect to STT's work with child consumers</w:t>
      </w:r>
      <w:r w:rsidRPr="00A36C42">
        <w:rPr>
          <w:rFonts w:ascii="Garamond" w:hAnsi="Garamond" w:cs="Times New Roman"/>
          <w:sz w:val="24"/>
          <w:szCs w:val="24"/>
        </w:rPr>
        <w:t xml:space="preserve">, </w:t>
      </w:r>
      <w:r>
        <w:rPr>
          <w:rFonts w:ascii="Garamond" w:hAnsi="Garamond" w:cs="Times New Roman"/>
          <w:sz w:val="24"/>
          <w:szCs w:val="24"/>
        </w:rPr>
        <w:t>I traced out how activists use</w:t>
      </w:r>
      <w:r w:rsidRPr="00A36C42">
        <w:rPr>
          <w:rFonts w:ascii="Garamond" w:hAnsi="Garamond" w:cs="Times New Roman"/>
          <w:sz w:val="24"/>
          <w:szCs w:val="24"/>
        </w:rPr>
        <w:t xml:space="preserve"> anti-trafficking chocolate campaig</w:t>
      </w:r>
      <w:r>
        <w:rPr>
          <w:rFonts w:ascii="Garamond" w:hAnsi="Garamond" w:cs="Times New Roman"/>
          <w:sz w:val="24"/>
          <w:szCs w:val="24"/>
        </w:rPr>
        <w:t xml:space="preserve">ns to interpolate </w:t>
      </w:r>
      <w:r w:rsidRPr="00A36C42">
        <w:rPr>
          <w:rFonts w:ascii="Garamond" w:hAnsi="Garamond" w:cs="Times New Roman"/>
          <w:sz w:val="24"/>
          <w:szCs w:val="24"/>
        </w:rPr>
        <w:t>consumers into practices and truth regimes of ant</w:t>
      </w:r>
      <w:r>
        <w:rPr>
          <w:rFonts w:ascii="Garamond" w:hAnsi="Garamond" w:cs="Times New Roman"/>
          <w:sz w:val="24"/>
          <w:szCs w:val="24"/>
        </w:rPr>
        <w:t xml:space="preserve">i-trafficking more broadly, </w:t>
      </w:r>
      <w:r w:rsidRPr="00A36C42">
        <w:rPr>
          <w:rFonts w:ascii="Garamond" w:hAnsi="Garamond" w:cs="Times New Roman"/>
          <w:sz w:val="24"/>
          <w:szCs w:val="24"/>
        </w:rPr>
        <w:t xml:space="preserve">as publicity for </w:t>
      </w:r>
      <w:r>
        <w:rPr>
          <w:rFonts w:ascii="Garamond" w:hAnsi="Garamond" w:cs="Times New Roman"/>
          <w:sz w:val="24"/>
          <w:szCs w:val="24"/>
        </w:rPr>
        <w:t>fair trade, and as the stuff of relationality, affect and emotion required to propel Fairtrade Town projects into life. Across both organizational contexts the thesis</w:t>
      </w:r>
      <w:r w:rsidRPr="00A36C42">
        <w:rPr>
          <w:rFonts w:ascii="Garamond" w:hAnsi="Garamond" w:cs="Times New Roman"/>
          <w:sz w:val="24"/>
          <w:szCs w:val="24"/>
        </w:rPr>
        <w:t xml:space="preserve"> </w:t>
      </w:r>
      <w:r>
        <w:rPr>
          <w:rFonts w:ascii="Garamond" w:hAnsi="Garamond" w:cs="Times New Roman"/>
          <w:sz w:val="24"/>
          <w:szCs w:val="24"/>
        </w:rPr>
        <w:t>evidences</w:t>
      </w:r>
      <w:r w:rsidRPr="00A36C42">
        <w:rPr>
          <w:rFonts w:ascii="Garamond" w:hAnsi="Garamond" w:cs="Times New Roman"/>
          <w:sz w:val="24"/>
          <w:szCs w:val="24"/>
        </w:rPr>
        <w:t xml:space="preserve"> that reputation, integrity, knowledge and above all, proficiency in handling emotion, matter greatly to both boycotting organizations and their targets in the political economies in which they are active. </w:t>
      </w:r>
      <w:r>
        <w:rPr>
          <w:rFonts w:ascii="Garamond" w:hAnsi="Garamond" w:cs="Times New Roman"/>
          <w:sz w:val="24"/>
          <w:szCs w:val="24"/>
        </w:rPr>
        <w:t>Throughout the thesis I addressed two aims on geographical imaginations and race respectively that consider how the citrus and chocolate activisms of the BOA and STT feed</w:t>
      </w:r>
      <w:r w:rsidRPr="00A36C42">
        <w:rPr>
          <w:rFonts w:ascii="Garamond" w:hAnsi="Garamond" w:cs="Times New Roman"/>
          <w:sz w:val="24"/>
          <w:szCs w:val="24"/>
        </w:rPr>
        <w:t xml:space="preserve"> back into broader social movement politics, and the political economies in which the activists operate. What subjectivities are produced by the boycott? What geographies, histories and imaginations are engaged, and how do they relate to the wider movements of anti-apartheid and anti-trafficking? </w:t>
      </w:r>
    </w:p>
    <w:p w:rsidR="008A2663" w:rsidRDefault="008A2663" w:rsidP="008A2663">
      <w:pPr>
        <w:autoSpaceDE w:val="0"/>
        <w:autoSpaceDN w:val="0"/>
        <w:adjustRightInd w:val="0"/>
        <w:spacing w:after="0" w:line="360" w:lineRule="auto"/>
        <w:jc w:val="both"/>
        <w:rPr>
          <w:rFonts w:ascii="Garamond" w:hAnsi="Garamond" w:cs="Times New Roman"/>
          <w:sz w:val="24"/>
          <w:szCs w:val="24"/>
        </w:rPr>
      </w:pPr>
    </w:p>
    <w:p w:rsidR="008A2663" w:rsidRPr="00604BB8" w:rsidRDefault="008A2663" w:rsidP="008A2663">
      <w:pPr>
        <w:autoSpaceDE w:val="0"/>
        <w:autoSpaceDN w:val="0"/>
        <w:adjustRightInd w:val="0"/>
        <w:spacing w:after="0" w:line="360" w:lineRule="auto"/>
        <w:jc w:val="both"/>
        <w:rPr>
          <w:rFonts w:ascii="Garamond" w:hAnsi="Garamond"/>
          <w:sz w:val="24"/>
          <w:szCs w:val="24"/>
        </w:rPr>
      </w:pPr>
      <w:r>
        <w:rPr>
          <w:rFonts w:ascii="Garamond" w:hAnsi="Garamond" w:cs="Times New Roman"/>
          <w:sz w:val="24"/>
          <w:szCs w:val="24"/>
        </w:rPr>
        <w:t>Across these pages</w:t>
      </w:r>
      <w:r w:rsidRPr="00A36C42">
        <w:rPr>
          <w:rFonts w:ascii="Garamond" w:hAnsi="Garamond" w:cs="Times New Roman"/>
          <w:sz w:val="24"/>
          <w:szCs w:val="24"/>
        </w:rPr>
        <w:t xml:space="preserve"> national and transnational agendas to and fro. Global and local conceptions of place, and geographies of responsibility and solid</w:t>
      </w:r>
      <w:r>
        <w:rPr>
          <w:rFonts w:ascii="Garamond" w:hAnsi="Garamond" w:cs="Times New Roman"/>
          <w:sz w:val="24"/>
          <w:szCs w:val="24"/>
        </w:rPr>
        <w:t>arity are constructed and worked</w:t>
      </w:r>
      <w:r w:rsidRPr="00A36C42">
        <w:rPr>
          <w:rFonts w:ascii="Garamond" w:hAnsi="Garamond" w:cs="Times New Roman"/>
          <w:sz w:val="24"/>
          <w:szCs w:val="24"/>
        </w:rPr>
        <w:t xml:space="preserve"> into boycott activisms.</w:t>
      </w:r>
      <w:r>
        <w:rPr>
          <w:rFonts w:ascii="Garamond" w:hAnsi="Garamond" w:cs="Times New Roman"/>
          <w:sz w:val="24"/>
          <w:szCs w:val="24"/>
        </w:rPr>
        <w:t xml:space="preserve"> </w:t>
      </w:r>
      <w:r>
        <w:rPr>
          <w:rFonts w:ascii="Garamond" w:hAnsi="Garamond"/>
          <w:sz w:val="24"/>
          <w:szCs w:val="24"/>
        </w:rPr>
        <w:t>The representations and geographical imaginations of black and white people and places fill this thesis.</w:t>
      </w:r>
      <w:r w:rsidRPr="00A36C42">
        <w:rPr>
          <w:rFonts w:ascii="Garamond" w:hAnsi="Garamond" w:cs="Times New Roman"/>
          <w:sz w:val="24"/>
          <w:szCs w:val="24"/>
        </w:rPr>
        <w:t xml:space="preserve"> Race, I show, is the dominant subjectivity-making exercise through which both anti-apartheid and anti-trafficking operate. Race acts as an organizational principle for boycotter bodywork, a way in which anti-apartheid and anti-trafficking activists 'know' or familiarize the unknown, and as I demonstrate</w:t>
      </w:r>
      <w:r>
        <w:rPr>
          <w:rFonts w:ascii="Garamond" w:hAnsi="Garamond" w:cs="Times New Roman"/>
          <w:sz w:val="24"/>
          <w:szCs w:val="24"/>
        </w:rPr>
        <w:t>d</w:t>
      </w:r>
      <w:r w:rsidRPr="00A36C42">
        <w:rPr>
          <w:rFonts w:ascii="Garamond" w:hAnsi="Garamond" w:cs="Times New Roman"/>
          <w:sz w:val="24"/>
          <w:szCs w:val="24"/>
        </w:rPr>
        <w:t>, constitutes the primary structuring relation for both apartheid and chocolate capitalisms. I argue</w:t>
      </w:r>
      <w:r>
        <w:rPr>
          <w:rFonts w:ascii="Garamond" w:hAnsi="Garamond" w:cs="Times New Roman"/>
          <w:sz w:val="24"/>
          <w:szCs w:val="24"/>
        </w:rPr>
        <w:t>d</w:t>
      </w:r>
      <w:r w:rsidRPr="00A36C42">
        <w:rPr>
          <w:rFonts w:ascii="Garamond" w:hAnsi="Garamond" w:cs="Times New Roman"/>
          <w:sz w:val="24"/>
          <w:szCs w:val="24"/>
        </w:rPr>
        <w:t xml:space="preserve"> that the two organizations studied here produce contrasting imaginations and embodiments of race; where the </w:t>
      </w:r>
      <w:r>
        <w:rPr>
          <w:rFonts w:ascii="Garamond" w:hAnsi="Garamond" w:cs="Times New Roman"/>
          <w:sz w:val="24"/>
          <w:szCs w:val="24"/>
        </w:rPr>
        <w:t>BOA were</w:t>
      </w:r>
      <w:r w:rsidRPr="00A36C42">
        <w:rPr>
          <w:rFonts w:ascii="Garamond" w:hAnsi="Garamond" w:cs="Times New Roman"/>
          <w:sz w:val="24"/>
          <w:szCs w:val="24"/>
        </w:rPr>
        <w:t xml:space="preserve"> explicitly antiracist, </w:t>
      </w:r>
      <w:r>
        <w:rPr>
          <w:rFonts w:ascii="Garamond" w:hAnsi="Garamond" w:cs="Times New Roman"/>
          <w:sz w:val="24"/>
          <w:szCs w:val="24"/>
        </w:rPr>
        <w:t>STT</w:t>
      </w:r>
      <w:r w:rsidRPr="00A36C42">
        <w:rPr>
          <w:rFonts w:ascii="Garamond" w:hAnsi="Garamond" w:cs="Times New Roman"/>
          <w:sz w:val="24"/>
          <w:szCs w:val="24"/>
        </w:rPr>
        <w:t xml:space="preserve"> enact</w:t>
      </w:r>
      <w:r>
        <w:rPr>
          <w:rFonts w:ascii="Garamond" w:hAnsi="Garamond" w:cs="Times New Roman"/>
          <w:sz w:val="24"/>
          <w:szCs w:val="24"/>
        </w:rPr>
        <w:t>ed</w:t>
      </w:r>
      <w:r w:rsidRPr="00A36C42">
        <w:rPr>
          <w:rFonts w:ascii="Garamond" w:hAnsi="Garamond" w:cs="Times New Roman"/>
          <w:sz w:val="24"/>
          <w:szCs w:val="24"/>
        </w:rPr>
        <w:t xml:space="preserve"> a denial of the salience of race typical of wha</w:t>
      </w:r>
      <w:r>
        <w:rPr>
          <w:rFonts w:ascii="Garamond" w:hAnsi="Garamond" w:cs="Times New Roman"/>
          <w:sz w:val="24"/>
          <w:szCs w:val="24"/>
        </w:rPr>
        <w:t xml:space="preserve">t Goldberg (2009) and Lentin </w:t>
      </w:r>
      <w:r w:rsidR="00F152DB">
        <w:rPr>
          <w:rFonts w:ascii="Garamond" w:hAnsi="Garamond" w:cs="Times New Roman"/>
          <w:sz w:val="24"/>
          <w:szCs w:val="24"/>
        </w:rPr>
        <w:t>and</w:t>
      </w:r>
      <w:r w:rsidRPr="00A36C42">
        <w:rPr>
          <w:rFonts w:ascii="Garamond" w:hAnsi="Garamond" w:cs="Times New Roman"/>
          <w:sz w:val="24"/>
          <w:szCs w:val="24"/>
        </w:rPr>
        <w:t xml:space="preserve"> Titley</w:t>
      </w:r>
      <w:r>
        <w:rPr>
          <w:rFonts w:ascii="Garamond" w:hAnsi="Garamond" w:cs="Times New Roman"/>
          <w:sz w:val="24"/>
          <w:szCs w:val="24"/>
        </w:rPr>
        <w:t xml:space="preserve"> (2011)</w:t>
      </w:r>
      <w:r w:rsidRPr="00A36C42">
        <w:rPr>
          <w:rFonts w:ascii="Garamond" w:hAnsi="Garamond" w:cs="Times New Roman"/>
          <w:sz w:val="24"/>
          <w:szCs w:val="24"/>
        </w:rPr>
        <w:t xml:space="preserve"> describe as anti-racialism. However, a</w:t>
      </w:r>
      <w:r>
        <w:rPr>
          <w:rFonts w:ascii="Garamond" w:hAnsi="Garamond" w:cs="Times New Roman"/>
          <w:sz w:val="24"/>
          <w:szCs w:val="24"/>
        </w:rPr>
        <w:t>t times, both organizations took</w:t>
      </w:r>
      <w:r w:rsidRPr="00A36C42">
        <w:rPr>
          <w:rFonts w:ascii="Garamond" w:hAnsi="Garamond" w:cs="Times New Roman"/>
          <w:sz w:val="24"/>
          <w:szCs w:val="24"/>
        </w:rPr>
        <w:t xml:space="preserve"> a pragmatic approach to race in order to respond to the changing demands of anti-apartheid and anti-trafficking. </w:t>
      </w:r>
    </w:p>
    <w:p w:rsidR="008A2663" w:rsidRPr="00A36C42" w:rsidRDefault="008A2663" w:rsidP="008A2663">
      <w:pPr>
        <w:autoSpaceDE w:val="0"/>
        <w:autoSpaceDN w:val="0"/>
        <w:adjustRightInd w:val="0"/>
        <w:spacing w:after="0" w:line="360" w:lineRule="auto"/>
        <w:jc w:val="both"/>
        <w:rPr>
          <w:rFonts w:ascii="Garamond" w:hAnsi="Garamond" w:cs="Times New Roman"/>
          <w:sz w:val="24"/>
          <w:szCs w:val="24"/>
        </w:rPr>
      </w:pPr>
    </w:p>
    <w:p w:rsidR="007437F5" w:rsidRDefault="008A2663" w:rsidP="008A2663">
      <w:pPr>
        <w:spacing w:line="360" w:lineRule="auto"/>
        <w:jc w:val="both"/>
        <w:rPr>
          <w:rFonts w:ascii="Garamond" w:hAnsi="Garamond" w:cs="Times New Roman"/>
          <w:sz w:val="24"/>
          <w:szCs w:val="24"/>
        </w:rPr>
      </w:pPr>
      <w:r w:rsidRPr="00A36C42">
        <w:rPr>
          <w:rFonts w:ascii="Garamond" w:hAnsi="Garamond" w:cs="Times New Roman"/>
          <w:sz w:val="24"/>
          <w:szCs w:val="24"/>
        </w:rPr>
        <w:t>Drama and performance, live and represented, are the boycotting activist's non-violent vehicles of communication. Following recen</w:t>
      </w:r>
      <w:r>
        <w:rPr>
          <w:rFonts w:ascii="Garamond" w:hAnsi="Garamond" w:cs="Times New Roman"/>
          <w:sz w:val="24"/>
          <w:szCs w:val="24"/>
        </w:rPr>
        <w:t>t scholarship on the need to investigate</w:t>
      </w:r>
      <w:r w:rsidRPr="00A36C42">
        <w:rPr>
          <w:rFonts w:ascii="Garamond" w:hAnsi="Garamond" w:cs="Times New Roman"/>
          <w:sz w:val="24"/>
          <w:szCs w:val="24"/>
        </w:rPr>
        <w:t xml:space="preserve"> the different practices of emotional self-reflexivity among social movement activists on one hand (see, Goodwin et. al., 2002; Brown </w:t>
      </w:r>
      <w:r w:rsidR="00F152DB">
        <w:rPr>
          <w:rFonts w:ascii="Garamond" w:hAnsi="Garamond" w:cs="Times New Roman"/>
          <w:sz w:val="24"/>
          <w:szCs w:val="24"/>
        </w:rPr>
        <w:t>and</w:t>
      </w:r>
      <w:r w:rsidRPr="00A36C42">
        <w:rPr>
          <w:rFonts w:ascii="Garamond" w:hAnsi="Garamond" w:cs="Times New Roman"/>
          <w:sz w:val="24"/>
          <w:szCs w:val="24"/>
        </w:rPr>
        <w:t xml:space="preserve"> Yaffe, 2012); and feminist and antiracist </w:t>
      </w:r>
      <w:r w:rsidRPr="00A36C42">
        <w:rPr>
          <w:rFonts w:ascii="Garamond" w:hAnsi="Garamond" w:cs="Times New Roman"/>
          <w:sz w:val="24"/>
          <w:szCs w:val="24"/>
        </w:rPr>
        <w:lastRenderedPageBreak/>
        <w:t xml:space="preserve">scholarship on various types and levels of self-reflexivity deployed in academia, institutions and social movements over race and racializations (Pulido, 2000; Alcoff, 2005; Gilmore, 2006; Emibrayer </w:t>
      </w:r>
      <w:r w:rsidR="00F152DB">
        <w:rPr>
          <w:rFonts w:ascii="Garamond" w:hAnsi="Garamond" w:cs="Times New Roman"/>
          <w:sz w:val="24"/>
          <w:szCs w:val="24"/>
        </w:rPr>
        <w:t>and</w:t>
      </w:r>
      <w:r w:rsidRPr="00A36C42">
        <w:rPr>
          <w:rFonts w:ascii="Garamond" w:hAnsi="Garamond" w:cs="Times New Roman"/>
          <w:sz w:val="24"/>
          <w:szCs w:val="24"/>
        </w:rPr>
        <w:t xml:space="preserve"> Desmond, 2011),</w:t>
      </w:r>
      <w:r w:rsidRPr="00A36C42">
        <w:rPr>
          <w:rStyle w:val="FootnoteReference"/>
          <w:rFonts w:ascii="Garamond" w:hAnsi="Garamond"/>
          <w:sz w:val="24"/>
          <w:szCs w:val="24"/>
        </w:rPr>
        <w:footnoteReference w:id="318"/>
      </w:r>
      <w:r w:rsidRPr="00A36C42">
        <w:rPr>
          <w:rFonts w:ascii="Garamond" w:hAnsi="Garamond" w:cs="Times New Roman"/>
          <w:sz w:val="24"/>
          <w:szCs w:val="24"/>
        </w:rPr>
        <w:t xml:space="preserve"> on the other, this project is attuned to understanding how boycott activists are reflexive about the deployment of race and racialized emotions. Sometimes boycott performances deploy self-reflexivity far beyond the reach of my understanding, displaying an awareness of knock-on effects and affects, an embodied and emotional fluency that requires specialism and practice, enacted not simply through performance but what Judith Butler might describe as performativity (an awareness of constructing specific activist identities through performance synchronicities, absences and re</w:t>
      </w:r>
      <w:r>
        <w:rPr>
          <w:rFonts w:ascii="Garamond" w:hAnsi="Garamond" w:cs="Times New Roman"/>
          <w:sz w:val="24"/>
          <w:szCs w:val="24"/>
        </w:rPr>
        <w:t xml:space="preserve">petitions). Some of the </w:t>
      </w:r>
      <w:r w:rsidRPr="00A36C42">
        <w:rPr>
          <w:rFonts w:ascii="Garamond" w:hAnsi="Garamond" w:cs="Times New Roman"/>
          <w:sz w:val="24"/>
          <w:szCs w:val="24"/>
        </w:rPr>
        <w:t>boycotter performances in this thesis are less self-reflexive in their r</w:t>
      </w:r>
      <w:r>
        <w:rPr>
          <w:rFonts w:ascii="Garamond" w:hAnsi="Garamond" w:cs="Times New Roman"/>
          <w:sz w:val="24"/>
          <w:szCs w:val="24"/>
        </w:rPr>
        <w:t>elationship to race. Here I sought</w:t>
      </w:r>
      <w:r w:rsidRPr="00A36C42">
        <w:rPr>
          <w:rFonts w:ascii="Garamond" w:hAnsi="Garamond" w:cs="Times New Roman"/>
          <w:sz w:val="24"/>
          <w:szCs w:val="24"/>
        </w:rPr>
        <w:t xml:space="preserve"> to understand why, and to what and whose benefit, boycott activists deliberately disengage</w:t>
      </w:r>
      <w:r>
        <w:rPr>
          <w:rFonts w:ascii="Garamond" w:hAnsi="Garamond" w:cs="Times New Roman"/>
          <w:sz w:val="24"/>
          <w:szCs w:val="24"/>
        </w:rPr>
        <w:t>d with, or were</w:t>
      </w:r>
      <w:r w:rsidRPr="00A36C42">
        <w:rPr>
          <w:rFonts w:ascii="Garamond" w:hAnsi="Garamond" w:cs="Times New Roman"/>
          <w:sz w:val="24"/>
          <w:szCs w:val="24"/>
        </w:rPr>
        <w:t xml:space="preserve"> less aware of, forms of racial reflexivity. Degrees and types of racial reflexivity do not form a side issue to this project, but are instead understood as constitutive parts of activist mattering maps (Feathersone, 2003), of place-making activities, and imaginative geographies</w:t>
      </w:r>
      <w:r w:rsidRPr="00A56AB2">
        <w:rPr>
          <w:rFonts w:ascii="Garamond" w:hAnsi="Garamond" w:cs="Times New Roman"/>
          <w:sz w:val="24"/>
          <w:szCs w:val="24"/>
        </w:rPr>
        <w:t>.</w:t>
      </w:r>
    </w:p>
    <w:p w:rsidR="007437F5" w:rsidRDefault="007437F5" w:rsidP="008A2663">
      <w:pPr>
        <w:spacing w:line="360" w:lineRule="auto"/>
        <w:jc w:val="both"/>
        <w:rPr>
          <w:rFonts w:ascii="Garamond" w:hAnsi="Garamond" w:cs="Times New Roman"/>
          <w:sz w:val="24"/>
          <w:szCs w:val="24"/>
        </w:rPr>
      </w:pPr>
    </w:p>
    <w:p w:rsidR="007437F5" w:rsidRDefault="007437F5" w:rsidP="008A2663">
      <w:pPr>
        <w:spacing w:line="360" w:lineRule="auto"/>
        <w:jc w:val="both"/>
        <w:rPr>
          <w:rFonts w:ascii="Garamond" w:hAnsi="Garamond"/>
          <w:b/>
        </w:rPr>
        <w:sectPr w:rsidR="007437F5">
          <w:pgSz w:w="11900" w:h="16840"/>
          <w:pgMar w:top="1440" w:right="1797" w:bottom="1134" w:left="1797" w:header="709" w:footer="709" w:gutter="0"/>
          <w:cols w:space="708"/>
        </w:sectPr>
      </w:pPr>
    </w:p>
    <w:p w:rsidR="007437F5" w:rsidRPr="007437F5" w:rsidRDefault="007437F5" w:rsidP="007437F5">
      <w:pPr>
        <w:pStyle w:val="Heading1"/>
        <w:jc w:val="center"/>
        <w:rPr>
          <w:rFonts w:ascii="Garamond" w:hAnsi="Garamond"/>
          <w:color w:val="auto"/>
          <w:sz w:val="28"/>
        </w:rPr>
      </w:pPr>
      <w:bookmarkStart w:id="934" w:name="_Toc244578421"/>
      <w:bookmarkStart w:id="935" w:name="_Toc244578805"/>
      <w:bookmarkStart w:id="936" w:name="_Toc263452056"/>
      <w:bookmarkStart w:id="937" w:name="_Toc263510974"/>
      <w:r w:rsidRPr="007437F5">
        <w:rPr>
          <w:rFonts w:ascii="Garamond" w:hAnsi="Garamond"/>
          <w:color w:val="auto"/>
          <w:sz w:val="28"/>
        </w:rPr>
        <w:lastRenderedPageBreak/>
        <w:t>Bibliography</w:t>
      </w:r>
      <w:bookmarkEnd w:id="934"/>
      <w:bookmarkEnd w:id="935"/>
      <w:bookmarkEnd w:id="936"/>
      <w:bookmarkEnd w:id="937"/>
    </w:p>
    <w:p w:rsidR="007437F5" w:rsidRDefault="007437F5" w:rsidP="007437F5">
      <w:pPr>
        <w:autoSpaceDE w:val="0"/>
        <w:autoSpaceDN w:val="0"/>
        <w:adjustRightInd w:val="0"/>
        <w:spacing w:after="0" w:line="240" w:lineRule="auto"/>
        <w:ind w:hanging="720"/>
        <w:rPr>
          <w:rFonts w:ascii="Garamond" w:hAnsi="Garamond" w:cs="Garamond"/>
          <w:sz w:val="24"/>
          <w:szCs w:val="24"/>
        </w:rPr>
      </w:pP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Times New Roman"/>
          <w:sz w:val="24"/>
          <w:szCs w:val="24"/>
          <w:lang w:val="en-US"/>
        </w:rPr>
        <w:tab/>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Abbott, E. (2009) </w:t>
      </w:r>
      <w:r w:rsidRPr="009B6D32">
        <w:rPr>
          <w:rFonts w:ascii="Garamond" w:hAnsi="Garamond" w:cs="Garamond"/>
          <w:i/>
          <w:iCs/>
          <w:sz w:val="24"/>
          <w:szCs w:val="24"/>
        </w:rPr>
        <w:t xml:space="preserve">Sugar – A Bittersweet History. </w:t>
      </w:r>
      <w:r w:rsidRPr="009B6D32">
        <w:rPr>
          <w:rFonts w:ascii="Garamond" w:hAnsi="Garamond" w:cs="Garamond"/>
          <w:sz w:val="24"/>
          <w:szCs w:val="24"/>
        </w:rPr>
        <w:t>London: Duckworth Overlook</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Style w:val="Emphasis"/>
          <w:rFonts w:ascii="Garamond" w:hAnsi="Garamond"/>
          <w:color w:val="000000"/>
          <w:sz w:val="24"/>
          <w:szCs w:val="24"/>
          <w:shd w:val="clear" w:color="auto" w:fill="FFFFFF"/>
        </w:rPr>
        <w:t xml:space="preserve">Aboa, A.(2012) ‘Increased extortion threatens Ivorian cocoa flows’, Reuters edition US. 25 October 2012, Available at: </w:t>
      </w:r>
      <w:r w:rsidRPr="009B6D32">
        <w:rPr>
          <w:rFonts w:ascii="Garamond" w:hAnsi="Garamond"/>
          <w:sz w:val="24"/>
          <w:szCs w:val="24"/>
        </w:rPr>
        <w:t>http://www.reuters.com/article/2012/10/25/us-cocoa-ivorycoast-reform-idUSBRE89O1A720121025.</w:t>
      </w:r>
      <w:r w:rsidRPr="009B6D32">
        <w:rPr>
          <w:rFonts w:ascii="Garamond" w:hAnsi="Garamond"/>
          <w:i/>
          <w:sz w:val="24"/>
          <w:szCs w:val="24"/>
        </w:rPr>
        <w:t xml:space="preserve"> </w:t>
      </w:r>
      <w:r w:rsidRPr="009B6D32">
        <w:rPr>
          <w:rFonts w:ascii="Garamond" w:hAnsi="Garamond"/>
          <w:sz w:val="24"/>
          <w:szCs w:val="24"/>
        </w:rPr>
        <w:t>Accessed 11 November 2012</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Garamond"/>
          <w:sz w:val="24"/>
          <w:szCs w:val="24"/>
        </w:rPr>
        <w:t xml:space="preserve">Achterhuis, H., Grundy, K., Hultman, T., Kramer, R., Morton, D. and du Plessis, E (1975) </w:t>
      </w:r>
      <w:r w:rsidRPr="009B6D32">
        <w:rPr>
          <w:rFonts w:ascii="Garamond" w:hAnsi="Garamond" w:cs="Garamond"/>
          <w:i/>
          <w:iCs/>
          <w:sz w:val="24"/>
          <w:szCs w:val="24"/>
        </w:rPr>
        <w:t xml:space="preserve">Apartheid in Exportverpakking. </w:t>
      </w:r>
      <w:r w:rsidRPr="009B6D32">
        <w:rPr>
          <w:rFonts w:ascii="Garamond" w:hAnsi="Garamond" w:cs="Garamond"/>
          <w:sz w:val="24"/>
          <w:szCs w:val="24"/>
        </w:rPr>
        <w:t>Rotterdam: BOA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Adam, H. (1971) </w:t>
      </w:r>
      <w:r w:rsidRPr="009B6D32">
        <w:rPr>
          <w:rFonts w:ascii="Garamond" w:hAnsi="Garamond" w:cs="Garamond"/>
          <w:i/>
          <w:iCs/>
          <w:sz w:val="24"/>
          <w:szCs w:val="24"/>
        </w:rPr>
        <w:t xml:space="preserve">Modernizing Racial Domination: The Dynamics of South African Politics. </w:t>
      </w:r>
      <w:r w:rsidRPr="009B6D32">
        <w:rPr>
          <w:rFonts w:ascii="Garamond" w:hAnsi="Garamond" w:cs="Garamond"/>
          <w:sz w:val="24"/>
          <w:szCs w:val="24"/>
        </w:rPr>
        <w:t>Berkeley: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i/>
          <w:sz w:val="24"/>
          <w:szCs w:val="24"/>
        </w:rPr>
      </w:pPr>
      <w:r w:rsidRPr="009B6D32">
        <w:rPr>
          <w:rFonts w:ascii="Garamond" w:hAnsi="Garamond" w:cs="Garamond"/>
          <w:sz w:val="24"/>
          <w:szCs w:val="24"/>
        </w:rPr>
        <w:t xml:space="preserve">Adams, R. and Raisborough, J. (2008)'What can Sociology Say About FairTrade? Class, Reflexivity and Ethical Consumption, </w:t>
      </w:r>
      <w:r w:rsidRPr="009B6D32">
        <w:rPr>
          <w:rFonts w:ascii="Garamond" w:hAnsi="Garamond" w:cs="Garamond"/>
          <w:i/>
          <w:sz w:val="24"/>
          <w:szCs w:val="24"/>
        </w:rPr>
        <w:t xml:space="preserve">Sociology, </w:t>
      </w:r>
      <w:r w:rsidRPr="009B6D32">
        <w:rPr>
          <w:rFonts w:ascii="Garamond" w:hAnsi="Garamond" w:cs="GillSans"/>
          <w:sz w:val="24"/>
          <w:szCs w:val="24"/>
        </w:rPr>
        <w:t xml:space="preserve"> 42(6), pp. 1165–1182</w:t>
      </w:r>
    </w:p>
    <w:p w:rsidR="0001718F" w:rsidRPr="009B6D32" w:rsidRDefault="0001718F" w:rsidP="007437F5">
      <w:pPr>
        <w:autoSpaceDE w:val="0"/>
        <w:autoSpaceDN w:val="0"/>
        <w:adjustRightInd w:val="0"/>
        <w:spacing w:after="0" w:line="240" w:lineRule="auto"/>
        <w:ind w:hanging="720"/>
        <w:rPr>
          <w:rStyle w:val="addmd"/>
        </w:rPr>
      </w:pPr>
      <w:r w:rsidRPr="009B6D32">
        <w:rPr>
          <w:rFonts w:ascii="Garamond" w:hAnsi="Garamond" w:cs="Garamond"/>
          <w:sz w:val="24"/>
          <w:szCs w:val="24"/>
        </w:rPr>
        <w:t xml:space="preserve">Afoakwa, E. (2010) </w:t>
      </w:r>
      <w:r w:rsidRPr="009B6D32">
        <w:rPr>
          <w:rFonts w:ascii="Garamond" w:hAnsi="Garamond" w:cs="Garamond"/>
          <w:i/>
          <w:iCs/>
          <w:sz w:val="24"/>
          <w:szCs w:val="24"/>
        </w:rPr>
        <w:t>Chocolate Science and Technology</w:t>
      </w:r>
      <w:r w:rsidRPr="009B6D32">
        <w:rPr>
          <w:rFonts w:ascii="Garamond" w:hAnsi="Garamond" w:cs="Garamond"/>
          <w:sz w:val="24"/>
          <w:szCs w:val="24"/>
        </w:rPr>
        <w:t xml:space="preserve">. </w:t>
      </w:r>
      <w:r w:rsidRPr="009B6D32">
        <w:rPr>
          <w:rStyle w:val="addmd"/>
          <w:rFonts w:ascii="Garamond" w:hAnsi="Garamond" w:cs="Garamond"/>
          <w:sz w:val="24"/>
          <w:szCs w:val="24"/>
        </w:rPr>
        <w:t xml:space="preserve"> London: Blackwell</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Agnew, J. (1993) ‘Coming up for air: consumer culture in historical perspective’,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19-40</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Agnew, J. and Grant, R. (1997) 'Falling Out of the World Economy? Theorizing ‘Africa’ in World Trade', In Lee, R. and Wills, J. (eds.) </w:t>
      </w:r>
      <w:r w:rsidRPr="009B6D32">
        <w:rPr>
          <w:rFonts w:ascii="Garamond" w:hAnsi="Garamond" w:cs="Garamond"/>
          <w:i/>
          <w:sz w:val="24"/>
          <w:szCs w:val="24"/>
          <w:lang w:val="en-US"/>
        </w:rPr>
        <w:t>Geographies of Economies</w:t>
      </w:r>
      <w:r w:rsidRPr="009B6D32">
        <w:rPr>
          <w:rFonts w:ascii="Garamond" w:hAnsi="Garamond" w:cs="Garamond"/>
          <w:sz w:val="24"/>
          <w:szCs w:val="24"/>
          <w:lang w:val="en-US"/>
        </w:rPr>
        <w:t>. New York: Arnold</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Aislie, R. (1972) </w:t>
      </w:r>
      <w:r w:rsidRPr="009B6D32">
        <w:rPr>
          <w:rFonts w:ascii="Garamond" w:hAnsi="Garamond" w:cs="Garamond"/>
          <w:i/>
          <w:iCs/>
          <w:sz w:val="24"/>
          <w:szCs w:val="24"/>
        </w:rPr>
        <w:t xml:space="preserve">Masters </w:t>
      </w:r>
      <w:r w:rsidR="00F152DB">
        <w:rPr>
          <w:rFonts w:ascii="Garamond" w:hAnsi="Garamond" w:cs="Garamond"/>
          <w:i/>
          <w:iCs/>
          <w:sz w:val="24"/>
          <w:szCs w:val="24"/>
        </w:rPr>
        <w:t>and</w:t>
      </w:r>
      <w:r w:rsidRPr="009B6D32">
        <w:rPr>
          <w:rFonts w:ascii="Garamond" w:hAnsi="Garamond" w:cs="Garamond"/>
          <w:i/>
          <w:iCs/>
          <w:sz w:val="24"/>
          <w:szCs w:val="24"/>
        </w:rPr>
        <w:t xml:space="preserve"> Serfs: Farm Labour in South Africa.</w:t>
      </w:r>
      <w:r w:rsidRPr="009B6D32">
        <w:rPr>
          <w:rFonts w:ascii="Garamond" w:hAnsi="Garamond" w:cs="Garamond"/>
          <w:sz w:val="24"/>
          <w:szCs w:val="24"/>
        </w:rPr>
        <w:t xml:space="preserve"> London: IDAF</w:t>
      </w: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Garamond"/>
          <w:color w:val="000000"/>
          <w:sz w:val="24"/>
          <w:szCs w:val="24"/>
          <w:shd w:val="clear" w:color="auto" w:fill="FFFFFF"/>
        </w:rPr>
        <w:t xml:space="preserve">Alcoff, L. M. (2006) </w:t>
      </w:r>
      <w:r w:rsidRPr="009B6D32">
        <w:rPr>
          <w:rFonts w:ascii="Garamond" w:hAnsi="Garamond" w:cs="Garamond"/>
          <w:i/>
          <w:color w:val="000000"/>
          <w:sz w:val="24"/>
          <w:szCs w:val="24"/>
          <w:shd w:val="clear" w:color="auto" w:fill="FFFFFF"/>
        </w:rPr>
        <w:t xml:space="preserve">Visible Identities: Race, Gender and the Self. </w:t>
      </w:r>
      <w:r w:rsidRPr="009B6D32">
        <w:rPr>
          <w:rFonts w:ascii="Garamond" w:hAnsi="Garamond" w:cs="Garamond"/>
          <w:color w:val="000000"/>
          <w:sz w:val="24"/>
          <w:szCs w:val="24"/>
          <w:shd w:val="clear" w:color="auto" w:fill="FFFFFF"/>
        </w:rPr>
        <w:t>Oxford: Oxford University Press</w:t>
      </w: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Garamond"/>
          <w:color w:val="000000"/>
          <w:sz w:val="24"/>
          <w:szCs w:val="24"/>
          <w:shd w:val="clear" w:color="auto" w:fill="FFFFFF"/>
        </w:rPr>
        <w:t xml:space="preserve">Alexander, A. and Nicholls, A. (2006) ‘Rediscovering consumer-producer involvement: A network perspective on fair trade marketing’, </w:t>
      </w:r>
      <w:r w:rsidRPr="009B6D32">
        <w:rPr>
          <w:rFonts w:ascii="Garamond" w:hAnsi="Garamond" w:cs="Garamond"/>
          <w:i/>
          <w:iCs/>
          <w:color w:val="000000"/>
          <w:sz w:val="24"/>
          <w:szCs w:val="24"/>
          <w:shd w:val="clear" w:color="auto" w:fill="FFFFFF"/>
        </w:rPr>
        <w:t xml:space="preserve">European Journal of Marketing, </w:t>
      </w:r>
      <w:r w:rsidRPr="009B6D32">
        <w:rPr>
          <w:rFonts w:ascii="Garamond" w:hAnsi="Garamond" w:cs="Garamond"/>
          <w:color w:val="000000"/>
          <w:sz w:val="24"/>
          <w:szCs w:val="24"/>
          <w:shd w:val="clear" w:color="auto" w:fill="FFFFFF"/>
        </w:rPr>
        <w:t>40(11-12), pp.1236-1253</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Allon F. and Anderson, K. (2010) ‘Intimate encounters: the embodied transnationalism of backpackers and independent travellers’ </w:t>
      </w:r>
      <w:r w:rsidRPr="009B6D32">
        <w:rPr>
          <w:rFonts w:ascii="Garamond" w:hAnsi="Garamond" w:cs="Garamond"/>
          <w:i/>
          <w:iCs/>
          <w:sz w:val="24"/>
          <w:szCs w:val="24"/>
        </w:rPr>
        <w:t xml:space="preserve">Population, Space and Place, </w:t>
      </w:r>
      <w:r w:rsidRPr="009B6D32">
        <w:rPr>
          <w:rFonts w:ascii="Garamond" w:hAnsi="Garamond" w:cs="Garamond"/>
          <w:sz w:val="24"/>
          <w:szCs w:val="24"/>
        </w:rPr>
        <w:t>16(1), pp. 11-22.</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Arial"/>
          <w:sz w:val="24"/>
          <w:szCs w:val="24"/>
          <w:shd w:val="clear" w:color="auto" w:fill="FFFFFF"/>
        </w:rPr>
        <w:t xml:space="preserve">Almberg, M. (2005) 'Breaking the shackles: Cote d'Ivoire struggles against neocolonialism', </w:t>
      </w:r>
      <w:r w:rsidRPr="009B6D32">
        <w:rPr>
          <w:rFonts w:ascii="Garamond" w:hAnsi="Garamond" w:cs="Arial"/>
          <w:i/>
          <w:sz w:val="24"/>
          <w:szCs w:val="24"/>
          <w:shd w:val="clear" w:color="auto" w:fill="FFFFFF"/>
        </w:rPr>
        <w:t xml:space="preserve">People’s Weekly World Newspaper Online. </w:t>
      </w:r>
      <w:r w:rsidRPr="009B6D32">
        <w:rPr>
          <w:rFonts w:ascii="Garamond" w:hAnsi="Garamond" w:cs="Arial"/>
          <w:sz w:val="24"/>
          <w:szCs w:val="24"/>
          <w:shd w:val="clear" w:color="auto" w:fill="FFFFFF"/>
        </w:rPr>
        <w:t>Accessed 9 August 2013</w:t>
      </w:r>
    </w:p>
    <w:p w:rsidR="0001718F"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Althusser, L. (1971) Ideology and other Ideological State Apparatuses. </w:t>
      </w:r>
      <w:r w:rsidRPr="009B6D32">
        <w:rPr>
          <w:rStyle w:val="Emphasis"/>
          <w:rFonts w:ascii="Garamond" w:hAnsi="Garamond" w:cs="Garamond"/>
          <w:sz w:val="24"/>
          <w:szCs w:val="24"/>
        </w:rPr>
        <w:t>Lenin and Philosophy and Other Essays</w:t>
      </w:r>
      <w:r w:rsidRPr="009B6D32">
        <w:rPr>
          <w:rFonts w:ascii="Garamond" w:hAnsi="Garamond" w:cs="Garamond"/>
          <w:sz w:val="24"/>
          <w:szCs w:val="24"/>
        </w:rPr>
        <w:t>. Available at: http://www.marxists.org/reference/archive/althusser/1970/ideology.htm [Accessed: 6 April 2013]</w:t>
      </w:r>
    </w:p>
    <w:p w:rsidR="0001718F" w:rsidRDefault="0001718F" w:rsidP="007437F5">
      <w:pPr>
        <w:spacing w:after="0" w:line="240" w:lineRule="auto"/>
        <w:ind w:hanging="720"/>
        <w:rPr>
          <w:rFonts w:ascii="Garamond" w:hAnsi="Garamond" w:cs="Garamond"/>
          <w:sz w:val="24"/>
          <w:szCs w:val="24"/>
        </w:rPr>
      </w:pPr>
      <w:r>
        <w:rPr>
          <w:rFonts w:ascii="Garamond" w:hAnsi="Garamond" w:cs="Garamond"/>
          <w:sz w:val="24"/>
          <w:szCs w:val="24"/>
        </w:rPr>
        <w:t xml:space="preserve">Amandla (1978) </w:t>
      </w:r>
      <w:r>
        <w:rPr>
          <w:rFonts w:ascii="Garamond" w:hAnsi="Garamond" w:cs="Garamond"/>
          <w:i/>
          <w:sz w:val="24"/>
          <w:szCs w:val="24"/>
        </w:rPr>
        <w:t>D</w:t>
      </w:r>
      <w:r w:rsidRPr="00FD0FBC">
        <w:rPr>
          <w:rFonts w:ascii="Garamond" w:hAnsi="Garamond" w:cs="Garamond"/>
          <w:i/>
          <w:sz w:val="24"/>
          <w:szCs w:val="24"/>
        </w:rPr>
        <w:t>e BOA-karavaan komt ook bij u</w:t>
      </w:r>
      <w:r>
        <w:rPr>
          <w:rFonts w:ascii="Garamond" w:hAnsi="Garamond" w:cs="Garamond"/>
          <w:i/>
          <w:sz w:val="24"/>
          <w:szCs w:val="24"/>
        </w:rPr>
        <w:t>,</w:t>
      </w:r>
      <w:r>
        <w:rPr>
          <w:rFonts w:ascii="Garamond" w:hAnsi="Garamond" w:cs="Garamond"/>
          <w:sz w:val="24"/>
          <w:szCs w:val="24"/>
        </w:rPr>
        <w:t xml:space="preserve"> June, pp. 21-22</w:t>
      </w:r>
    </w:p>
    <w:p w:rsidR="0001718F" w:rsidRPr="00FD0FBC" w:rsidRDefault="0001718F" w:rsidP="007437F5">
      <w:pPr>
        <w:spacing w:after="0" w:line="240" w:lineRule="auto"/>
        <w:ind w:hanging="720"/>
        <w:rPr>
          <w:rFonts w:ascii="Garamond" w:hAnsi="Garamond" w:cs="Garamond"/>
          <w:sz w:val="24"/>
          <w:szCs w:val="24"/>
        </w:rPr>
      </w:pPr>
      <w:r>
        <w:rPr>
          <w:rFonts w:ascii="Garamond" w:hAnsi="Garamond" w:cs="Garamond"/>
          <w:sz w:val="24"/>
          <w:szCs w:val="24"/>
        </w:rPr>
        <w:t xml:space="preserve">Amandla (1985) </w:t>
      </w:r>
      <w:r>
        <w:rPr>
          <w:rFonts w:ascii="Garamond" w:hAnsi="Garamond" w:cs="Garamond"/>
          <w:i/>
          <w:sz w:val="24"/>
          <w:szCs w:val="24"/>
        </w:rPr>
        <w:t xml:space="preserve">BOA-aktieweek een succes, </w:t>
      </w:r>
      <w:r>
        <w:rPr>
          <w:rFonts w:ascii="Garamond" w:hAnsi="Garamond" w:cs="Garamond"/>
          <w:sz w:val="24"/>
          <w:szCs w:val="24"/>
        </w:rPr>
        <w:t>April, pp. 23-24</w:t>
      </w:r>
    </w:p>
    <w:p w:rsidR="0001718F" w:rsidRDefault="0001718F" w:rsidP="007437F5">
      <w:pPr>
        <w:spacing w:after="0" w:line="240" w:lineRule="auto"/>
        <w:ind w:hanging="720"/>
        <w:rPr>
          <w:rFonts w:ascii="Garamond" w:hAnsi="Garamond" w:cs="Garamond"/>
          <w:sz w:val="24"/>
          <w:szCs w:val="24"/>
        </w:rPr>
      </w:pPr>
      <w:r>
        <w:rPr>
          <w:rFonts w:ascii="Garamond" w:hAnsi="Garamond" w:cs="Garamond"/>
          <w:sz w:val="24"/>
          <w:szCs w:val="24"/>
        </w:rPr>
        <w:t xml:space="preserve">Amandla (1987) </w:t>
      </w:r>
      <w:r w:rsidRPr="00FD0FBC">
        <w:rPr>
          <w:rFonts w:ascii="Garamond" w:hAnsi="Garamond" w:cs="Garamond"/>
          <w:i/>
          <w:sz w:val="24"/>
          <w:szCs w:val="24"/>
        </w:rPr>
        <w:t>Strijd tegen Apartheid begint hier</w:t>
      </w:r>
      <w:r>
        <w:rPr>
          <w:rFonts w:ascii="Garamond" w:hAnsi="Garamond" w:cs="Garamond"/>
          <w:sz w:val="24"/>
          <w:szCs w:val="24"/>
        </w:rPr>
        <w:t>, April, pp.28-29</w:t>
      </w:r>
    </w:p>
    <w:p w:rsidR="0001718F" w:rsidRDefault="0001718F" w:rsidP="007437F5">
      <w:pPr>
        <w:spacing w:after="0" w:line="240" w:lineRule="auto"/>
        <w:ind w:hanging="720"/>
        <w:rPr>
          <w:rFonts w:ascii="Garamond" w:hAnsi="Garamond" w:cs="Garamond"/>
          <w:sz w:val="24"/>
          <w:szCs w:val="24"/>
        </w:rPr>
      </w:pPr>
      <w:r>
        <w:rPr>
          <w:rFonts w:ascii="Garamond" w:hAnsi="Garamond" w:cs="Garamond"/>
          <w:sz w:val="24"/>
          <w:szCs w:val="24"/>
        </w:rPr>
        <w:t>Amandla</w:t>
      </w:r>
      <w:r w:rsidRPr="003064A9">
        <w:rPr>
          <w:rFonts w:ascii="Garamond" w:hAnsi="Garamond" w:cs="Garamond"/>
          <w:sz w:val="24"/>
          <w:szCs w:val="24"/>
        </w:rPr>
        <w:t xml:space="preserve"> (1990) </w:t>
      </w:r>
      <w:r w:rsidRPr="009B6D32">
        <w:rPr>
          <w:rFonts w:ascii="Garamond" w:hAnsi="Garamond" w:cs="Garamond"/>
          <w:i/>
          <w:sz w:val="24"/>
          <w:szCs w:val="24"/>
        </w:rPr>
        <w:t>BOA Edition:</w:t>
      </w:r>
      <w:r>
        <w:rPr>
          <w:rFonts w:ascii="Garamond" w:hAnsi="Garamond" w:cs="Garamond"/>
          <w:sz w:val="24"/>
          <w:szCs w:val="24"/>
        </w:rPr>
        <w:t xml:space="preserve"> </w:t>
      </w:r>
      <w:r w:rsidRPr="003064A9">
        <w:rPr>
          <w:rFonts w:ascii="Garamond" w:hAnsi="Garamond" w:cs="Garamond"/>
          <w:i/>
          <w:iCs/>
          <w:sz w:val="24"/>
          <w:szCs w:val="24"/>
        </w:rPr>
        <w:t>Apartheid and European Racism</w:t>
      </w:r>
    </w:p>
    <w:p w:rsidR="0001718F" w:rsidRDefault="0001718F" w:rsidP="007437F5">
      <w:pPr>
        <w:spacing w:after="0" w:line="240" w:lineRule="auto"/>
        <w:ind w:hanging="720"/>
        <w:rPr>
          <w:rFonts w:ascii="Garamond" w:hAnsi="Garamond" w:cs="Garamond"/>
          <w:i/>
          <w:iCs/>
          <w:sz w:val="24"/>
          <w:szCs w:val="24"/>
        </w:rPr>
      </w:pPr>
      <w:r>
        <w:rPr>
          <w:rFonts w:ascii="Garamond" w:hAnsi="Garamond" w:cs="Garamond"/>
          <w:iCs/>
          <w:sz w:val="24"/>
          <w:szCs w:val="24"/>
        </w:rPr>
        <w:t xml:space="preserve">Amandla (1990) </w:t>
      </w:r>
      <w:r>
        <w:rPr>
          <w:rFonts w:ascii="Garamond" w:hAnsi="Garamond" w:cs="Garamond"/>
          <w:i/>
          <w:iCs/>
          <w:sz w:val="24"/>
          <w:szCs w:val="24"/>
        </w:rPr>
        <w:t>The Cynicism of the West</w:t>
      </w:r>
    </w:p>
    <w:p w:rsidR="0001718F" w:rsidRDefault="0001718F" w:rsidP="007437F5">
      <w:pPr>
        <w:spacing w:after="0" w:line="240" w:lineRule="auto"/>
        <w:ind w:hanging="720"/>
        <w:rPr>
          <w:rFonts w:ascii="Garamond" w:hAnsi="Garamond" w:cs="Garamond"/>
          <w:sz w:val="24"/>
          <w:szCs w:val="24"/>
        </w:rPr>
      </w:pPr>
      <w:r>
        <w:rPr>
          <w:rFonts w:ascii="Garamond" w:hAnsi="Garamond" w:cs="Garamond"/>
          <w:sz w:val="24"/>
          <w:szCs w:val="24"/>
        </w:rPr>
        <w:t>Amandla</w:t>
      </w:r>
      <w:r w:rsidRPr="003064A9">
        <w:rPr>
          <w:rFonts w:ascii="Garamond" w:hAnsi="Garamond" w:cs="Garamond"/>
          <w:sz w:val="24"/>
          <w:szCs w:val="24"/>
        </w:rPr>
        <w:t xml:space="preserve"> (1990) </w:t>
      </w:r>
      <w:r w:rsidRPr="003064A9">
        <w:rPr>
          <w:rFonts w:ascii="Garamond" w:hAnsi="Garamond" w:cs="Garamond"/>
          <w:i/>
          <w:iCs/>
          <w:sz w:val="24"/>
          <w:szCs w:val="24"/>
        </w:rPr>
        <w:t xml:space="preserve">The Cynicism of the West. </w:t>
      </w:r>
    </w:p>
    <w:p w:rsidR="0001718F" w:rsidRPr="003800A4" w:rsidRDefault="0001718F" w:rsidP="007437F5">
      <w:pPr>
        <w:spacing w:after="0" w:line="240" w:lineRule="auto"/>
        <w:ind w:hanging="720"/>
        <w:rPr>
          <w:rFonts w:ascii="Garamond" w:hAnsi="Garamond" w:cs="Garamond"/>
          <w:sz w:val="24"/>
          <w:szCs w:val="24"/>
        </w:rPr>
      </w:pPr>
      <w:r>
        <w:rPr>
          <w:rFonts w:ascii="Garamond" w:hAnsi="Garamond" w:cs="Garamond"/>
          <w:iCs/>
          <w:sz w:val="24"/>
          <w:szCs w:val="24"/>
        </w:rPr>
        <w:t xml:space="preserve">Amandla (1991) </w:t>
      </w:r>
      <w:r w:rsidRPr="00C6496B">
        <w:rPr>
          <w:rFonts w:ascii="Garamond" w:hAnsi="Garamond" w:cs="Garamond"/>
          <w:i/>
          <w:iCs/>
          <w:sz w:val="24"/>
          <w:szCs w:val="24"/>
        </w:rPr>
        <w:t>De toekomstvisie van de BOA</w:t>
      </w:r>
      <w:r>
        <w:rPr>
          <w:rFonts w:ascii="Garamond" w:hAnsi="Garamond" w:cs="Garamond"/>
          <w:iCs/>
          <w:sz w:val="24"/>
          <w:szCs w:val="24"/>
        </w:rPr>
        <w:t xml:space="preserve">, October, pp.23-24 </w:t>
      </w:r>
    </w:p>
    <w:p w:rsidR="0001718F" w:rsidRPr="009B6D32" w:rsidRDefault="0001718F" w:rsidP="007437F5">
      <w:pPr>
        <w:spacing w:after="0" w:line="240" w:lineRule="auto"/>
        <w:ind w:hanging="720"/>
        <w:rPr>
          <w:rFonts w:ascii="Garamond" w:hAnsi="Garamond" w:cs="Garamond"/>
          <w:sz w:val="24"/>
          <w:szCs w:val="24"/>
        </w:rPr>
      </w:pPr>
      <w:r>
        <w:rPr>
          <w:rFonts w:ascii="Garamond" w:hAnsi="Garamond" w:cs="Garamond"/>
          <w:sz w:val="24"/>
          <w:szCs w:val="24"/>
        </w:rPr>
        <w:t>Amandla</w:t>
      </w:r>
      <w:r w:rsidRPr="003064A9">
        <w:rPr>
          <w:rFonts w:ascii="Garamond" w:hAnsi="Garamond" w:cs="Garamond"/>
          <w:sz w:val="24"/>
          <w:szCs w:val="24"/>
        </w:rPr>
        <w:t xml:space="preserve"> (1991) </w:t>
      </w:r>
      <w:r w:rsidRPr="003064A9">
        <w:rPr>
          <w:rFonts w:ascii="Garamond" w:hAnsi="Garamond" w:cs="Garamond"/>
          <w:i/>
          <w:iCs/>
          <w:sz w:val="24"/>
          <w:szCs w:val="24"/>
        </w:rPr>
        <w:t>Is Holland Racist. Yes and No?</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eastAsia="Times New Roman" w:hAnsi="Garamond" w:cs="Times New Roman"/>
          <w:sz w:val="24"/>
          <w:szCs w:val="24"/>
          <w:lang w:eastAsia="en-GB"/>
        </w:rPr>
        <w:t>Amin, A. (2010) 'Remainders of race', </w:t>
      </w:r>
      <w:r w:rsidRPr="009B6D32">
        <w:rPr>
          <w:rFonts w:ascii="Garamond" w:eastAsia="Times New Roman" w:hAnsi="Garamond" w:cs="Times New Roman"/>
          <w:i/>
          <w:iCs/>
          <w:sz w:val="24"/>
          <w:szCs w:val="24"/>
          <w:lang w:eastAsia="en-GB"/>
        </w:rPr>
        <w:t>Theory, Culture and Society</w:t>
      </w:r>
      <w:r w:rsidRPr="009B6D32">
        <w:rPr>
          <w:rFonts w:ascii="Garamond" w:eastAsia="Times New Roman" w:hAnsi="Garamond" w:cs="Times New Roman"/>
          <w:sz w:val="24"/>
          <w:szCs w:val="24"/>
          <w:lang w:eastAsia="en-GB"/>
        </w:rPr>
        <w:t>, 27 (1), pp. 1-23</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Amin, A. and Thrift, N. (eds.) (2004) </w:t>
      </w:r>
      <w:r w:rsidRPr="009B6D32">
        <w:rPr>
          <w:rFonts w:ascii="Garamond" w:hAnsi="Garamond" w:cs="Garamond"/>
          <w:i/>
          <w:iCs/>
          <w:sz w:val="24"/>
          <w:szCs w:val="24"/>
        </w:rPr>
        <w:t>The Blackwell Cultural Economy Reader</w:t>
      </w:r>
      <w:r w:rsidRPr="009B6D32">
        <w:rPr>
          <w:rFonts w:ascii="Garamond" w:hAnsi="Garamond" w:cs="Garamond"/>
          <w:sz w:val="24"/>
          <w:szCs w:val="24"/>
        </w:rPr>
        <w:t>. Oxford: Blackwell</w:t>
      </w:r>
    </w:p>
    <w:p w:rsidR="0001718F" w:rsidRPr="009B6D32" w:rsidRDefault="0001718F" w:rsidP="007437F5">
      <w:pPr>
        <w:autoSpaceDE w:val="0"/>
        <w:autoSpaceDN w:val="0"/>
        <w:adjustRightInd w:val="0"/>
        <w:spacing w:after="0" w:line="240" w:lineRule="auto"/>
        <w:ind w:left="-720"/>
        <w:rPr>
          <w:rFonts w:ascii="Garamond" w:hAnsi="Garamond" w:cs="Garamond"/>
          <w:sz w:val="24"/>
          <w:szCs w:val="24"/>
        </w:rPr>
      </w:pPr>
      <w:r w:rsidRPr="009B6D32">
        <w:rPr>
          <w:rFonts w:ascii="Garamond" w:hAnsi="Garamond" w:cs="Garamond"/>
          <w:i/>
          <w:iCs/>
          <w:sz w:val="24"/>
          <w:szCs w:val="24"/>
        </w:rPr>
        <w:tab/>
        <w:t xml:space="preserve">ANC. </w:t>
      </w:r>
      <w:r w:rsidRPr="009B6D32">
        <w:rPr>
          <w:rFonts w:ascii="Garamond" w:hAnsi="Garamond" w:cs="Garamond"/>
          <w:sz w:val="24"/>
          <w:szCs w:val="24"/>
        </w:rPr>
        <w:t>Rotterdam: BOA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Anderson, B. (1991) </w:t>
      </w:r>
      <w:r w:rsidRPr="009B6D32">
        <w:rPr>
          <w:rFonts w:ascii="Garamond" w:hAnsi="Garamond" w:cs="Garamond"/>
          <w:i/>
          <w:iCs/>
          <w:sz w:val="24"/>
          <w:szCs w:val="24"/>
        </w:rPr>
        <w:t xml:space="preserve">Imagined Communities: Reflections on the Origin and Spread of Nationalism. </w:t>
      </w:r>
      <w:r w:rsidRPr="009B6D32">
        <w:rPr>
          <w:rFonts w:ascii="Garamond" w:hAnsi="Garamond" w:cs="Garamond"/>
          <w:sz w:val="24"/>
          <w:szCs w:val="24"/>
        </w:rPr>
        <w:t>2nd edn. London: Verso</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Andreas, P. (2012) 'The illicit Global Economy: The Dark Side of Globalization, in Storti, C. and De Grauwe, P. (eds.) </w:t>
      </w:r>
      <w:r w:rsidRPr="009B6D32">
        <w:rPr>
          <w:rFonts w:ascii="Garamond" w:hAnsi="Garamond" w:cs="Garamond"/>
          <w:i/>
          <w:sz w:val="24"/>
          <w:szCs w:val="24"/>
        </w:rPr>
        <w:t xml:space="preserve">Illicit Trade and the Global Economy. </w:t>
      </w:r>
      <w:r w:rsidRPr="009B6D32">
        <w:rPr>
          <w:rFonts w:ascii="Garamond" w:hAnsi="Garamond" w:cs="Arial"/>
          <w:color w:val="000000"/>
          <w:sz w:val="24"/>
          <w:szCs w:val="24"/>
          <w:shd w:val="clear" w:color="auto" w:fill="FFFFFF"/>
        </w:rPr>
        <w:t xml:space="preserve">Massachusetts: MIT Press </w:t>
      </w:r>
      <w:r w:rsidRPr="009B6D32">
        <w:rPr>
          <w:rFonts w:ascii="Garamond" w:hAnsi="Garamond" w:cs="Garamond"/>
          <w:sz w:val="24"/>
          <w:szCs w:val="24"/>
        </w:rPr>
        <w:t xml:space="preserve"> </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Appadurai, A. (1990) ‘Disjuncture and Difference in the Global Cultural Economy’, </w:t>
      </w:r>
      <w:r w:rsidRPr="009B6D32">
        <w:rPr>
          <w:rFonts w:ascii="Garamond" w:hAnsi="Garamond" w:cs="Garamond"/>
          <w:i/>
          <w:iCs/>
          <w:sz w:val="24"/>
          <w:szCs w:val="24"/>
        </w:rPr>
        <w:t xml:space="preserve">Theory, Culture &amp; Society, </w:t>
      </w:r>
      <w:r w:rsidRPr="009B6D32">
        <w:rPr>
          <w:rFonts w:ascii="Garamond" w:hAnsi="Garamond" w:cs="Garamond"/>
          <w:sz w:val="24"/>
          <w:szCs w:val="24"/>
        </w:rPr>
        <w:t>7(2), pp. 295-310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Appadurai, A. (2000) ‘Grassroots Globalization and the Research Imagination’, </w:t>
      </w:r>
      <w:r w:rsidRPr="009B6D32">
        <w:rPr>
          <w:rFonts w:ascii="Garamond" w:hAnsi="Garamond" w:cs="Garamond"/>
          <w:i/>
          <w:iCs/>
          <w:sz w:val="24"/>
          <w:szCs w:val="24"/>
        </w:rPr>
        <w:t>Popular Culture</w:t>
      </w:r>
      <w:r w:rsidRPr="009B6D32">
        <w:rPr>
          <w:rFonts w:ascii="Garamond" w:hAnsi="Garamond" w:cs="Garamond"/>
          <w:sz w:val="24"/>
          <w:szCs w:val="24"/>
        </w:rPr>
        <w:t>, 12(1), pp. 1-19</w:t>
      </w:r>
    </w:p>
    <w:p w:rsidR="0001718F" w:rsidRPr="009B6D32" w:rsidRDefault="0001718F" w:rsidP="007437F5">
      <w:pPr>
        <w:spacing w:after="0" w:line="240" w:lineRule="auto"/>
        <w:ind w:left="-720"/>
        <w:rPr>
          <w:rFonts w:ascii="Garamond" w:hAnsi="Garamond" w:cs="Garamond"/>
          <w:sz w:val="24"/>
          <w:szCs w:val="24"/>
        </w:rPr>
      </w:pPr>
      <w:r w:rsidRPr="009B6D32">
        <w:rPr>
          <w:rFonts w:ascii="Garamond" w:hAnsi="Garamond" w:cs="Garamond"/>
          <w:sz w:val="24"/>
          <w:szCs w:val="24"/>
        </w:rPr>
        <w:t xml:space="preserve">Arendt, H. (1978) </w:t>
      </w:r>
      <w:r w:rsidRPr="009B6D32">
        <w:rPr>
          <w:rFonts w:ascii="Garamond" w:hAnsi="Garamond" w:cs="Garamond"/>
          <w:i/>
          <w:iCs/>
          <w:sz w:val="24"/>
          <w:szCs w:val="24"/>
        </w:rPr>
        <w:t xml:space="preserve">The Life of the Mind. </w:t>
      </w:r>
      <w:r w:rsidRPr="009B6D32">
        <w:rPr>
          <w:rFonts w:ascii="Garamond" w:hAnsi="Garamond" w:cs="Garamond"/>
          <w:sz w:val="24"/>
          <w:szCs w:val="24"/>
        </w:rPr>
        <w:t>London: Harcourt Brace Jovanovich Publishers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Arendt, H. (1990) </w:t>
      </w:r>
      <w:r w:rsidRPr="009B6D32">
        <w:rPr>
          <w:rFonts w:ascii="Garamond" w:hAnsi="Garamond" w:cs="Garamond"/>
          <w:i/>
          <w:iCs/>
          <w:sz w:val="24"/>
          <w:szCs w:val="24"/>
        </w:rPr>
        <w:t>On Revolution</w:t>
      </w:r>
      <w:r w:rsidRPr="009B6D32">
        <w:rPr>
          <w:rFonts w:ascii="Garamond" w:hAnsi="Garamond" w:cs="Garamond"/>
          <w:sz w:val="24"/>
          <w:szCs w:val="24"/>
        </w:rPr>
        <w:t>. Harmondsworth: Penguin Books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Arens, W. (1998) ‘Re-thinking Anthropophagy’ in </w:t>
      </w:r>
      <w:r w:rsidRPr="009B6D32">
        <w:rPr>
          <w:rFonts w:ascii="Garamond" w:hAnsi="Garamond" w:cs="Garamond"/>
          <w:iCs/>
          <w:sz w:val="24"/>
          <w:szCs w:val="24"/>
          <w:lang w:val="en-US"/>
        </w:rPr>
        <w:t xml:space="preserve">Barker, F., Hulme, P. and Eversen, M. (eds.) </w:t>
      </w:r>
      <w:r w:rsidRPr="009B6D32">
        <w:rPr>
          <w:rFonts w:ascii="Garamond" w:hAnsi="Garamond" w:cs="Garamond"/>
          <w:i/>
          <w:iCs/>
          <w:sz w:val="24"/>
          <w:szCs w:val="24"/>
          <w:lang w:val="en-US"/>
        </w:rPr>
        <w:t>Cannibalism and the Colonial World</w:t>
      </w:r>
      <w:r w:rsidRPr="009B6D32">
        <w:rPr>
          <w:rFonts w:ascii="Garamond" w:hAnsi="Garamond" w:cs="Garamond"/>
          <w:iCs/>
          <w:sz w:val="24"/>
          <w:szCs w:val="24"/>
          <w:lang w:val="en-US"/>
        </w:rPr>
        <w:t>. Cambridge: Cambrdige University Press, pp. 39-63</w:t>
      </w:r>
    </w:p>
    <w:p w:rsidR="0001718F" w:rsidRPr="009B6D32" w:rsidRDefault="0001718F" w:rsidP="007437F5">
      <w:pPr>
        <w:autoSpaceDE w:val="0"/>
        <w:autoSpaceDN w:val="0"/>
        <w:adjustRightInd w:val="0"/>
        <w:spacing w:after="0" w:line="240" w:lineRule="auto"/>
        <w:ind w:hanging="720"/>
        <w:rPr>
          <w:rFonts w:ascii="Garamond" w:hAnsi="Garamond" w:cs="Garamond"/>
          <w:i/>
          <w:iCs/>
          <w:color w:val="000000"/>
          <w:sz w:val="24"/>
          <w:szCs w:val="24"/>
          <w:shd w:val="clear" w:color="auto" w:fill="FFFFFF"/>
        </w:rPr>
      </w:pPr>
      <w:r w:rsidRPr="009B6D32">
        <w:rPr>
          <w:rFonts w:ascii="Garamond" w:hAnsi="Garamond" w:cs="Garamond"/>
          <w:color w:val="000000"/>
          <w:sz w:val="24"/>
          <w:szCs w:val="24"/>
          <w:shd w:val="clear" w:color="auto" w:fill="FFFFFF"/>
        </w:rPr>
        <w:t xml:space="preserve">Arond, E. (2006) </w:t>
      </w:r>
      <w:r w:rsidRPr="009B6D32">
        <w:rPr>
          <w:rFonts w:ascii="Garamond" w:hAnsi="Garamond" w:cs="Garamond"/>
          <w:i/>
          <w:iCs/>
          <w:color w:val="000000"/>
          <w:sz w:val="24"/>
          <w:szCs w:val="24"/>
          <w:shd w:val="clear" w:color="auto" w:fill="FFFFFF"/>
        </w:rPr>
        <w:t xml:space="preserve">The Fairtrade Towns Initiative: Lessons from across the Ocean, </w:t>
      </w:r>
      <w:r w:rsidRPr="009B6D32">
        <w:rPr>
          <w:rFonts w:ascii="Garamond" w:hAnsi="Garamond" w:cs="Garamond"/>
          <w:color w:val="000000"/>
          <w:sz w:val="24"/>
          <w:szCs w:val="24"/>
          <w:shd w:val="clear" w:color="auto" w:fill="FFFFFF"/>
        </w:rPr>
        <w:t>Oxfam America</w:t>
      </w:r>
      <w:r w:rsidRPr="009B6D32">
        <w:rPr>
          <w:rFonts w:ascii="Garamond" w:hAnsi="Garamond" w:cs="Garamond"/>
          <w:i/>
          <w:iCs/>
          <w:color w:val="000000"/>
          <w:sz w:val="24"/>
          <w:szCs w:val="24"/>
          <w:shd w:val="clear" w:color="auto" w:fill="FFFFFF"/>
        </w:rPr>
        <w:t>.</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shd w:val="clear" w:color="auto" w:fill="FFFFFF"/>
        </w:rPr>
      </w:pPr>
      <w:r w:rsidRPr="009B6D32">
        <w:rPr>
          <w:rFonts w:ascii="Garamond" w:hAnsi="Garamond" w:cs="Garamond"/>
          <w:iCs/>
          <w:sz w:val="24"/>
          <w:szCs w:val="24"/>
          <w:shd w:val="clear" w:color="auto" w:fill="FFFFFF"/>
        </w:rPr>
        <w:t xml:space="preserve">Arrighi, G. (1994) </w:t>
      </w:r>
      <w:r w:rsidRPr="009B6D32">
        <w:rPr>
          <w:rStyle w:val="Emphasis"/>
          <w:rFonts w:ascii="Garamond" w:hAnsi="Garamond" w:cs="Arial"/>
          <w:bCs/>
          <w:sz w:val="24"/>
          <w:szCs w:val="24"/>
          <w:shd w:val="clear" w:color="auto" w:fill="FFFFFF"/>
        </w:rPr>
        <w:t>The Long Twentieth Century</w:t>
      </w:r>
      <w:r w:rsidRPr="009B6D32">
        <w:rPr>
          <w:rFonts w:ascii="Garamond" w:hAnsi="Garamond" w:cs="Arial"/>
          <w:sz w:val="24"/>
          <w:szCs w:val="24"/>
          <w:shd w:val="clear" w:color="auto" w:fill="FFFFFF"/>
        </w:rPr>
        <w:t>. Money, Power, and the Origins of Our Times. London: Verso</w:t>
      </w:r>
    </w:p>
    <w:p w:rsidR="0001718F" w:rsidRPr="009B6D32" w:rsidRDefault="0001718F" w:rsidP="007437F5">
      <w:pPr>
        <w:autoSpaceDE w:val="0"/>
        <w:autoSpaceDN w:val="0"/>
        <w:adjustRightInd w:val="0"/>
        <w:spacing w:after="0" w:line="240" w:lineRule="auto"/>
        <w:ind w:hanging="720"/>
        <w:rPr>
          <w:rFonts w:ascii="Garamond" w:hAnsi="Garamond" w:cs="Garamond"/>
          <w:iCs/>
          <w:color w:val="000000"/>
          <w:sz w:val="24"/>
          <w:szCs w:val="24"/>
          <w:shd w:val="clear" w:color="auto" w:fill="FFFFFF"/>
        </w:rPr>
      </w:pPr>
      <w:r w:rsidRPr="009B6D32">
        <w:rPr>
          <w:rFonts w:ascii="Garamond" w:hAnsi="Garamond" w:cs="Garamond"/>
          <w:iCs/>
          <w:color w:val="000000"/>
          <w:sz w:val="24"/>
          <w:szCs w:val="24"/>
          <w:shd w:val="clear" w:color="auto" w:fill="FFFFFF"/>
        </w:rPr>
        <w:t xml:space="preserve">Arrighi, G. (2004) ‘Spatial and Other Fixes of Historical Capitalism’, </w:t>
      </w:r>
      <w:r w:rsidRPr="009B6D32">
        <w:rPr>
          <w:rFonts w:ascii="Garamond" w:hAnsi="Garamond" w:cs="Garamond"/>
          <w:i/>
          <w:iCs/>
          <w:color w:val="000000"/>
          <w:sz w:val="24"/>
          <w:szCs w:val="24"/>
          <w:shd w:val="clear" w:color="auto" w:fill="FFFFFF"/>
        </w:rPr>
        <w:t>Journal of World Systems Research</w:t>
      </w:r>
      <w:r w:rsidRPr="009B6D32">
        <w:rPr>
          <w:rFonts w:ascii="Garamond" w:hAnsi="Garamond" w:cs="Garamond"/>
          <w:iCs/>
          <w:color w:val="000000"/>
          <w:sz w:val="24"/>
          <w:szCs w:val="24"/>
          <w:shd w:val="clear" w:color="auto" w:fill="FFFFFF"/>
        </w:rPr>
        <w:t>, X(2), pp. 527-539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Arvidson, A</w:t>
      </w:r>
      <w:r w:rsidRPr="009B6D32">
        <w:rPr>
          <w:rFonts w:ascii="Garamond" w:hAnsi="Garamond" w:cs="Garamond"/>
          <w:i/>
          <w:iCs/>
          <w:color w:val="000000"/>
          <w:sz w:val="24"/>
          <w:szCs w:val="24"/>
          <w:shd w:val="clear" w:color="auto" w:fill="FFFFFF"/>
        </w:rPr>
        <w:t xml:space="preserve">. </w:t>
      </w:r>
      <w:r w:rsidRPr="009B6D32">
        <w:rPr>
          <w:rFonts w:ascii="Garamond" w:hAnsi="Garamond" w:cs="Garamond"/>
          <w:color w:val="000000"/>
          <w:sz w:val="24"/>
          <w:szCs w:val="24"/>
          <w:shd w:val="clear" w:color="auto" w:fill="FFFFFF"/>
        </w:rPr>
        <w:t>(2005) ‘</w:t>
      </w:r>
      <w:r w:rsidRPr="009B6D32">
        <w:rPr>
          <w:rFonts w:ascii="Garamond" w:hAnsi="Garamond" w:cs="Garamond"/>
          <w:iCs/>
          <w:color w:val="000000"/>
          <w:sz w:val="24"/>
          <w:szCs w:val="24"/>
          <w:shd w:val="clear" w:color="auto" w:fill="FFFFFF"/>
        </w:rPr>
        <w:t>Brands: A Critical Perspective’</w:t>
      </w:r>
      <w:r w:rsidRPr="009B6D32">
        <w:rPr>
          <w:rFonts w:ascii="Garamond" w:hAnsi="Garamond" w:cs="Garamond"/>
          <w:i/>
          <w:iCs/>
          <w:color w:val="000000"/>
          <w:sz w:val="24"/>
          <w:szCs w:val="24"/>
          <w:shd w:val="clear" w:color="auto" w:fill="FFFFFF"/>
        </w:rPr>
        <w:t xml:space="preserve">, </w:t>
      </w:r>
      <w:r w:rsidRPr="009B6D32">
        <w:rPr>
          <w:rFonts w:ascii="Garamond" w:hAnsi="Garamond" w:cs="Garamond"/>
          <w:i/>
          <w:color w:val="000000"/>
          <w:sz w:val="24"/>
          <w:szCs w:val="24"/>
          <w:shd w:val="clear" w:color="auto" w:fill="FFFFFF"/>
        </w:rPr>
        <w:t>Journal of Consumer Culture</w:t>
      </w:r>
      <w:r w:rsidRPr="009B6D32">
        <w:rPr>
          <w:rFonts w:ascii="Garamond" w:hAnsi="Garamond" w:cs="Garamond"/>
          <w:i/>
          <w:iCs/>
          <w:color w:val="000000"/>
          <w:sz w:val="24"/>
          <w:szCs w:val="24"/>
          <w:shd w:val="clear" w:color="auto" w:fill="FFFFFF"/>
        </w:rPr>
        <w:t xml:space="preserve">. </w:t>
      </w:r>
      <w:r w:rsidRPr="009B6D32">
        <w:rPr>
          <w:rFonts w:ascii="Garamond" w:hAnsi="Garamond" w:cs="Garamond"/>
          <w:color w:val="000000"/>
          <w:sz w:val="24"/>
          <w:szCs w:val="24"/>
          <w:shd w:val="clear" w:color="auto" w:fill="FFFFFF"/>
        </w:rPr>
        <w:t>5(2), pp. 325-58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Ashcroft, B., Griffiths, G. and Tiffin, H. (eds.) (2003) </w:t>
      </w:r>
      <w:r w:rsidRPr="009B6D32">
        <w:rPr>
          <w:rFonts w:ascii="Garamond" w:hAnsi="Garamond" w:cs="Garamond"/>
          <w:i/>
          <w:sz w:val="24"/>
          <w:szCs w:val="24"/>
        </w:rPr>
        <w:t xml:space="preserve">The Postcolonial Studies Reader.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sz w:val="24"/>
          <w:szCs w:val="24"/>
        </w:rPr>
        <w:t xml:space="preserve">Asmal, A., Bosgra, S., Minty, A., du Plessis, E., Rist, G. and Zöller, A. (1975) </w:t>
      </w:r>
      <w:r w:rsidRPr="009B6D32">
        <w:rPr>
          <w:rFonts w:ascii="Garamond" w:hAnsi="Garamond"/>
          <w:i/>
          <w:sz w:val="24"/>
          <w:szCs w:val="24"/>
        </w:rPr>
        <w:t xml:space="preserve">White Migration to Southern Africa. </w:t>
      </w:r>
      <w:r w:rsidRPr="009B6D32">
        <w:rPr>
          <w:rFonts w:ascii="Garamond" w:hAnsi="Garamond"/>
          <w:sz w:val="24"/>
          <w:szCs w:val="24"/>
          <w:lang w:val="de-CH"/>
        </w:rPr>
        <w:t>Geneva: CETIM</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Asmal, L. and Alberts, T. (2008) 'The Irish Anti-Apartheid Movement', in </w:t>
      </w:r>
      <w:r w:rsidRPr="009B6D32">
        <w:rPr>
          <w:rFonts w:ascii="Garamond" w:hAnsi="Garamond" w:cs="Garamond"/>
          <w:i/>
          <w:sz w:val="24"/>
          <w:szCs w:val="24"/>
        </w:rPr>
        <w:t>The Road to Democracy in South Africa: Volume 3, International Solidarity Part 1.</w:t>
      </w:r>
      <w:r w:rsidRPr="009B6D32">
        <w:rPr>
          <w:rFonts w:ascii="Garamond" w:hAnsi="Garamond" w:cs="Garamond"/>
          <w:sz w:val="24"/>
          <w:szCs w:val="24"/>
        </w:rPr>
        <w:t>Pretoria: University of South Africa, pp.353-420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Bakhtin, M. (1984) </w:t>
      </w:r>
      <w:r w:rsidRPr="009B6D32">
        <w:rPr>
          <w:rFonts w:ascii="Garamond" w:hAnsi="Garamond" w:cs="Garamond"/>
          <w:i/>
          <w:sz w:val="24"/>
          <w:szCs w:val="24"/>
        </w:rPr>
        <w:t xml:space="preserve">Rabalais and His World. </w:t>
      </w:r>
      <w:r w:rsidRPr="009B6D32">
        <w:rPr>
          <w:rFonts w:ascii="Garamond" w:hAnsi="Garamond" w:cs="Garamond"/>
          <w:sz w:val="24"/>
          <w:szCs w:val="24"/>
        </w:rPr>
        <w:t>Iswolsky, H (trans.). Indiana University Press: Bloomington</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Balan, N. (2003) ‘Review of Bodies, Exploring Fluid Boundaries’, </w:t>
      </w:r>
      <w:r w:rsidRPr="009B6D32">
        <w:rPr>
          <w:rFonts w:ascii="Garamond" w:hAnsi="Garamond" w:cs="Garamond"/>
          <w:i/>
          <w:iCs/>
          <w:sz w:val="24"/>
          <w:szCs w:val="24"/>
        </w:rPr>
        <w:t xml:space="preserve">Canadian Journal of Communication, </w:t>
      </w:r>
      <w:r w:rsidRPr="009B6D32">
        <w:rPr>
          <w:rFonts w:ascii="Garamond" w:hAnsi="Garamond" w:cs="Garamond"/>
          <w:sz w:val="24"/>
          <w:szCs w:val="24"/>
        </w:rPr>
        <w:t xml:space="preserve">28(4). Available at: http://www.cjc-online.ca/index.php/journal/article/view/1394/1477 [Accessed 10 June 2013]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Balan, N. (2003) 'Bodies: Exploring Fluid Boundaries by Robyn Longhurst'.</w:t>
      </w:r>
      <w:r w:rsidRPr="009B6D32">
        <w:rPr>
          <w:rFonts w:ascii="Garamond" w:hAnsi="Garamond" w:cs="Garamond"/>
          <w:i/>
          <w:sz w:val="24"/>
          <w:szCs w:val="24"/>
          <w:lang w:val="en-US"/>
        </w:rPr>
        <w:t xml:space="preserve"> Canadian Journal of Communication, </w:t>
      </w:r>
      <w:r w:rsidRPr="009B6D32">
        <w:rPr>
          <w:rFonts w:ascii="Garamond" w:hAnsi="Garamond" w:cs="Garamond"/>
          <w:sz w:val="24"/>
          <w:szCs w:val="24"/>
          <w:lang w:val="en-US"/>
        </w:rPr>
        <w:t>28(4). Available online at:</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Bales, K. (1999) </w:t>
      </w:r>
      <w:r w:rsidRPr="009B6D32">
        <w:rPr>
          <w:rFonts w:ascii="Garamond" w:hAnsi="Garamond" w:cs="Garamond"/>
          <w:i/>
          <w:iCs/>
          <w:sz w:val="24"/>
          <w:szCs w:val="24"/>
          <w:lang w:val="en-US"/>
        </w:rPr>
        <w:t xml:space="preserve">Slavery In The Modern Era: Disposable People. </w:t>
      </w:r>
      <w:r w:rsidRPr="009B6D32">
        <w:rPr>
          <w:rFonts w:ascii="Garamond" w:hAnsi="Garamond" w:cs="Garamond"/>
          <w:sz w:val="24"/>
          <w:szCs w:val="24"/>
          <w:lang w:val="en-US"/>
        </w:rPr>
        <w:t>California: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Bales, K. and Soodalter, R. (2009) </w:t>
      </w:r>
      <w:r w:rsidRPr="009B6D32">
        <w:rPr>
          <w:rFonts w:ascii="Garamond" w:hAnsi="Garamond" w:cs="Garamond"/>
          <w:i/>
          <w:iCs/>
          <w:sz w:val="24"/>
          <w:szCs w:val="24"/>
          <w:lang w:val="en-US"/>
        </w:rPr>
        <w:t xml:space="preserve">The slave next door: human trafficking and slavery in America today. </w:t>
      </w:r>
      <w:r w:rsidRPr="009B6D32">
        <w:rPr>
          <w:rFonts w:ascii="Garamond" w:hAnsi="Garamond" w:cs="Garamond"/>
          <w:sz w:val="24"/>
          <w:szCs w:val="24"/>
          <w:lang w:val="en-US"/>
        </w:rPr>
        <w:t>California: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iCs/>
          <w:sz w:val="24"/>
          <w:szCs w:val="24"/>
          <w:lang w:val="en-US"/>
        </w:rPr>
        <w:t xml:space="preserve">Barker, F., Hulme, P. and Eversen, M. (eds.) (1998) </w:t>
      </w:r>
      <w:r w:rsidRPr="009B6D32">
        <w:rPr>
          <w:rFonts w:ascii="Garamond" w:hAnsi="Garamond" w:cs="Garamond"/>
          <w:i/>
          <w:iCs/>
          <w:sz w:val="24"/>
          <w:szCs w:val="24"/>
          <w:lang w:val="en-US"/>
        </w:rPr>
        <w:t>Cannibalism and the Colonial World</w:t>
      </w:r>
      <w:r w:rsidRPr="009B6D32">
        <w:rPr>
          <w:rFonts w:ascii="Garamond" w:hAnsi="Garamond" w:cs="Garamond"/>
          <w:iCs/>
          <w:sz w:val="24"/>
          <w:szCs w:val="24"/>
          <w:lang w:val="en-US"/>
        </w:rPr>
        <w:t>. Cambridge: Cambrdige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Barnett, C., Clarke, N. and Malpass, A. (2013) ‘Problematising practices: authors’ response’, </w:t>
      </w:r>
      <w:r w:rsidRPr="009B6D32">
        <w:rPr>
          <w:rFonts w:ascii="Garamond" w:hAnsi="Garamond" w:cs="Garamond"/>
          <w:i/>
          <w:iCs/>
          <w:sz w:val="24"/>
          <w:szCs w:val="24"/>
        </w:rPr>
        <w:t xml:space="preserve">Area, </w:t>
      </w:r>
      <w:r w:rsidRPr="009B6D32">
        <w:rPr>
          <w:rFonts w:ascii="Garamond" w:hAnsi="Garamond" w:cs="Garamond"/>
          <w:sz w:val="24"/>
          <w:szCs w:val="24"/>
        </w:rPr>
        <w:t>45(2), pp. 260-263</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Barnett, C., Cloke P., Clarke, N. and Malpass, A. (2005) ‘Consuming Ethics: Articulating the Subjects and Spaces of Ethical Consumption’, </w:t>
      </w:r>
      <w:r w:rsidRPr="009B6D32">
        <w:rPr>
          <w:rFonts w:ascii="Garamond" w:hAnsi="Garamond" w:cs="Garamond"/>
          <w:i/>
          <w:iCs/>
          <w:sz w:val="24"/>
          <w:szCs w:val="24"/>
          <w:lang w:val="en-US"/>
        </w:rPr>
        <w:t xml:space="preserve">Antipode, </w:t>
      </w:r>
      <w:r w:rsidRPr="009B6D32">
        <w:rPr>
          <w:rFonts w:ascii="Garamond" w:hAnsi="Garamond" w:cs="Garamond"/>
          <w:sz w:val="24"/>
          <w:szCs w:val="24"/>
          <w:lang w:val="en-US"/>
        </w:rPr>
        <w:t>37(1), pp. 23</w:t>
      </w:r>
      <w:r w:rsidRPr="009B6D32">
        <w:rPr>
          <w:rFonts w:ascii="Garamond" w:hAnsi="Garamond" w:cs="Garamond"/>
          <w:sz w:val="24"/>
          <w:szCs w:val="24"/>
          <w:lang w:val="en-US"/>
        </w:rPr>
        <w:softHyphen/>
        <w:t>-45</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Barnett, C., Cloke, P., Clarke, N. and Malpass, A. (2011) </w:t>
      </w:r>
      <w:r w:rsidRPr="009B6D32">
        <w:rPr>
          <w:rFonts w:ascii="Garamond" w:hAnsi="Garamond" w:cs="Garamond"/>
          <w:i/>
          <w:iCs/>
          <w:sz w:val="24"/>
          <w:szCs w:val="24"/>
          <w:lang w:val="en-US"/>
        </w:rPr>
        <w:t xml:space="preserve">Globalizing Responsibility: The Political Rationalities of Ethical Consumption. </w:t>
      </w:r>
      <w:r w:rsidRPr="009B6D32">
        <w:rPr>
          <w:rFonts w:ascii="Garamond" w:hAnsi="Garamond" w:cs="Garamond"/>
          <w:sz w:val="24"/>
          <w:szCs w:val="24"/>
          <w:lang w:val="en-US"/>
        </w:rPr>
        <w:t>Malden: Wiley-Blackwell</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Barnett, C.,Cafaro, P. and Newholm, T. (2005) 'Geography and Ethics: Everyday Mediations Through Care and Consumption. </w:t>
      </w:r>
      <w:r w:rsidRPr="009B6D32">
        <w:rPr>
          <w:rFonts w:ascii="Garamond" w:hAnsi="Garamond" w:cs="Garamond"/>
          <w:i/>
          <w:sz w:val="24"/>
          <w:szCs w:val="24"/>
          <w:lang w:val="en-US"/>
        </w:rPr>
        <w:t xml:space="preserve">Progress in Human Geography, </w:t>
      </w:r>
      <w:r w:rsidRPr="009B6D32">
        <w:rPr>
          <w:rFonts w:ascii="Garamond" w:hAnsi="Garamond" w:cs="Garamond"/>
          <w:sz w:val="24"/>
          <w:szCs w:val="24"/>
          <w:lang w:val="en-US"/>
        </w:rPr>
        <w:t>30, pp. 504-512</w:t>
      </w:r>
    </w:p>
    <w:p w:rsidR="0001718F" w:rsidRPr="009B6D32" w:rsidRDefault="0001718F" w:rsidP="007437F5">
      <w:pPr>
        <w:autoSpaceDE w:val="0"/>
        <w:autoSpaceDN w:val="0"/>
        <w:adjustRightInd w:val="0"/>
        <w:spacing w:after="0" w:line="240" w:lineRule="auto"/>
        <w:ind w:hanging="720"/>
        <w:rPr>
          <w:rStyle w:val="A2"/>
        </w:rPr>
      </w:pPr>
      <w:r w:rsidRPr="009B6D32">
        <w:rPr>
          <w:rStyle w:val="A2"/>
          <w:rFonts w:ascii="Garamond" w:hAnsi="Garamond" w:cs="Garamond"/>
          <w:sz w:val="24"/>
          <w:szCs w:val="24"/>
        </w:rPr>
        <w:t xml:space="preserve">Barnett, M. (2011) </w:t>
      </w:r>
      <w:r w:rsidRPr="009B6D32">
        <w:rPr>
          <w:rStyle w:val="A2"/>
          <w:rFonts w:ascii="Garamond" w:hAnsi="Garamond" w:cs="Garamond"/>
          <w:i/>
          <w:iCs/>
          <w:sz w:val="24"/>
          <w:szCs w:val="24"/>
        </w:rPr>
        <w:t>Empire of Humanity: A History of Humanitarianism</w:t>
      </w:r>
      <w:r w:rsidRPr="009B6D32">
        <w:rPr>
          <w:rStyle w:val="A2"/>
          <w:rFonts w:ascii="Garamond" w:hAnsi="Garamond" w:cs="Garamond"/>
          <w:sz w:val="24"/>
          <w:szCs w:val="24"/>
        </w:rPr>
        <w:t>. Ithaca: Cornell University Press</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Baron, D. (2005) 'Private Politics'.</w:t>
      </w:r>
      <w:r w:rsidRPr="009B6D32">
        <w:rPr>
          <w:rFonts w:ascii="Garamond" w:hAnsi="Garamond" w:cs="Garamond"/>
          <w:i/>
          <w:sz w:val="24"/>
          <w:szCs w:val="24"/>
          <w:lang w:val="en-US"/>
        </w:rPr>
        <w:t xml:space="preserve"> </w:t>
      </w:r>
      <w:r w:rsidRPr="009B6D32">
        <w:rPr>
          <w:rFonts w:ascii="Garamond" w:hAnsi="Garamond" w:cs="Garamond"/>
          <w:iCs/>
          <w:sz w:val="24"/>
          <w:szCs w:val="24"/>
          <w:lang w:val="en-US"/>
        </w:rPr>
        <w:t>Unpublished Paper. Stanford University</w:t>
      </w:r>
    </w:p>
    <w:p w:rsidR="0001718F"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Barthel, D. (1989) ‘Modernism and marketing: the chocolate box revisited’ </w:t>
      </w:r>
      <w:r w:rsidRPr="009B6D32">
        <w:rPr>
          <w:rFonts w:ascii="Garamond" w:hAnsi="Garamond" w:cs="Garamond"/>
          <w:i/>
          <w:iCs/>
          <w:sz w:val="24"/>
          <w:szCs w:val="24"/>
          <w:lang w:val="en-US"/>
        </w:rPr>
        <w:t>Theory, Culture and Society</w:t>
      </w:r>
      <w:r w:rsidRPr="009B6D32">
        <w:rPr>
          <w:rFonts w:ascii="Garamond" w:hAnsi="Garamond" w:cs="Garamond"/>
          <w:sz w:val="24"/>
          <w:szCs w:val="24"/>
          <w:lang w:val="en-US"/>
        </w:rPr>
        <w:t>’, 6, pp. 429-438</w:t>
      </w:r>
    </w:p>
    <w:p w:rsidR="0001718F" w:rsidRPr="003064A9" w:rsidRDefault="0001718F" w:rsidP="007437F5">
      <w:pPr>
        <w:spacing w:after="0" w:line="240" w:lineRule="auto"/>
        <w:ind w:hanging="720"/>
        <w:jc w:val="both"/>
        <w:rPr>
          <w:rFonts w:ascii="Garamond" w:hAnsi="Garamond" w:cs="Garamond"/>
          <w:sz w:val="24"/>
          <w:szCs w:val="24"/>
          <w:lang w:val="en-US"/>
        </w:rPr>
      </w:pPr>
      <w:r w:rsidRPr="003064A9">
        <w:rPr>
          <w:rFonts w:ascii="Garamond" w:hAnsi="Garamond" w:cs="Garamond"/>
          <w:sz w:val="24"/>
          <w:szCs w:val="24"/>
          <w:lang w:val="en-US"/>
        </w:rPr>
        <w:t>Bastard Films Production</w:t>
      </w:r>
      <w:r>
        <w:rPr>
          <w:rFonts w:ascii="Garamond" w:hAnsi="Garamond" w:cs="Garamond"/>
          <w:sz w:val="24"/>
          <w:szCs w:val="24"/>
          <w:lang w:val="en-US"/>
        </w:rPr>
        <w:t xml:space="preserve"> (2010)</w:t>
      </w:r>
      <w:r w:rsidRPr="003064A9">
        <w:rPr>
          <w:rFonts w:ascii="Garamond" w:hAnsi="Garamond" w:cs="Garamond"/>
          <w:sz w:val="24"/>
          <w:szCs w:val="24"/>
          <w:lang w:val="en-US"/>
        </w:rPr>
        <w:t xml:space="preserve"> </w:t>
      </w:r>
      <w:r w:rsidRPr="003064A9">
        <w:rPr>
          <w:rFonts w:ascii="Garamond" w:hAnsi="Garamond" w:cs="Garamond"/>
          <w:i/>
          <w:iCs/>
          <w:sz w:val="24"/>
          <w:szCs w:val="24"/>
          <w:lang w:val="en-US"/>
        </w:rPr>
        <w:t xml:space="preserve">The Dark Side of Chocolate. </w:t>
      </w:r>
      <w:r>
        <w:rPr>
          <w:rFonts w:ascii="Garamond" w:hAnsi="Garamond" w:cs="Garamond"/>
          <w:iCs/>
          <w:sz w:val="24"/>
          <w:szCs w:val="24"/>
          <w:lang w:val="en-US"/>
        </w:rPr>
        <w:t xml:space="preserve">Dir. by </w:t>
      </w:r>
      <w:r w:rsidRPr="003064A9">
        <w:rPr>
          <w:rFonts w:ascii="Garamond" w:hAnsi="Garamond" w:cs="Garamond"/>
          <w:sz w:val="24"/>
          <w:szCs w:val="24"/>
          <w:lang w:val="en-US"/>
        </w:rPr>
        <w:t>Mikstati</w:t>
      </w:r>
      <w:r>
        <w:rPr>
          <w:rFonts w:ascii="Garamond" w:hAnsi="Garamond" w:cs="Garamond"/>
          <w:sz w:val="24"/>
          <w:szCs w:val="24"/>
          <w:lang w:val="en-US"/>
        </w:rPr>
        <w:t xml:space="preserve">., I. and </w:t>
      </w:r>
      <w:r w:rsidRPr="003064A9">
        <w:rPr>
          <w:rFonts w:ascii="Garamond" w:hAnsi="Garamond" w:cs="Garamond"/>
          <w:sz w:val="24"/>
          <w:szCs w:val="24"/>
          <w:lang w:val="en-US"/>
        </w:rPr>
        <w:t>Romero</w:t>
      </w:r>
      <w:r>
        <w:rPr>
          <w:rFonts w:ascii="Garamond" w:hAnsi="Garamond" w:cs="Garamond"/>
          <w:sz w:val="24"/>
          <w:szCs w:val="24"/>
          <w:lang w:val="en-US"/>
        </w:rPr>
        <w:t>,</w:t>
      </w:r>
      <w:r w:rsidRPr="003064A9">
        <w:rPr>
          <w:rFonts w:ascii="Garamond" w:hAnsi="Garamond" w:cs="Garamond"/>
          <w:sz w:val="24"/>
          <w:szCs w:val="24"/>
          <w:lang w:val="en-US"/>
        </w:rPr>
        <w:t xml:space="preserve"> R</w:t>
      </w:r>
      <w:r>
        <w:rPr>
          <w:rFonts w:ascii="Garamond" w:hAnsi="Garamond" w:cs="Garamond"/>
          <w:sz w:val="24"/>
          <w:szCs w:val="24"/>
          <w:lang w:val="en-US"/>
        </w:rPr>
        <w:t xml:space="preserve">. </w:t>
      </w:r>
      <w:r w:rsidRPr="003064A9">
        <w:rPr>
          <w:rFonts w:ascii="Garamond" w:hAnsi="Garamond" w:cs="Garamond"/>
          <w:sz w:val="24"/>
          <w:szCs w:val="24"/>
          <w:lang w:val="en-US"/>
        </w:rPr>
        <w:t xml:space="preserve"> </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Basu, K. and Zarghamee, H. (2009) ‘Is product boycott a good idea for controlling child labour? A theoretical investigation’, </w:t>
      </w:r>
      <w:r w:rsidRPr="009B6D32">
        <w:rPr>
          <w:rFonts w:ascii="Garamond" w:hAnsi="Garamond" w:cs="Garamond"/>
          <w:i/>
          <w:iCs/>
          <w:sz w:val="24"/>
          <w:szCs w:val="24"/>
          <w:lang w:val="en-US"/>
        </w:rPr>
        <w:t>Journal of Development Economics,</w:t>
      </w:r>
      <w:r w:rsidRPr="009B6D32">
        <w:rPr>
          <w:rFonts w:ascii="Garamond" w:hAnsi="Garamond" w:cs="Garamond"/>
          <w:sz w:val="24"/>
          <w:szCs w:val="24"/>
          <w:lang w:val="en-US"/>
        </w:rPr>
        <w:t xml:space="preserve"> 88(2), pp. 217-220</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Baucom, I. (2005) </w:t>
      </w:r>
      <w:r w:rsidRPr="009B6D32">
        <w:rPr>
          <w:rFonts w:ascii="Garamond" w:hAnsi="Garamond" w:cs="Garamond"/>
          <w:i/>
          <w:iCs/>
          <w:sz w:val="24"/>
          <w:szCs w:val="24"/>
          <w:lang w:val="en-US"/>
        </w:rPr>
        <w:t xml:space="preserve">Specters of the Atlantic: Finance Capital, Slavery and the philosophy of History. </w:t>
      </w:r>
      <w:r w:rsidRPr="009B6D32">
        <w:rPr>
          <w:rFonts w:ascii="Garamond" w:hAnsi="Garamond" w:cs="Garamond"/>
          <w:sz w:val="24"/>
          <w:szCs w:val="24"/>
          <w:lang w:val="en-US"/>
        </w:rPr>
        <w:t>Durham: Duke University Press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Baudrillard, J. (1994) </w:t>
      </w:r>
      <w:r w:rsidRPr="009B6D32">
        <w:rPr>
          <w:rFonts w:ascii="Garamond" w:hAnsi="Garamond" w:cs="Garamond"/>
          <w:i/>
          <w:sz w:val="24"/>
          <w:szCs w:val="24"/>
          <w:lang w:val="en-US"/>
        </w:rPr>
        <w:t>Simulacra and Simulation</w:t>
      </w:r>
      <w:r w:rsidRPr="009B6D32">
        <w:rPr>
          <w:rFonts w:ascii="Garamond" w:hAnsi="Garamond" w:cs="Garamond"/>
          <w:sz w:val="24"/>
          <w:szCs w:val="24"/>
          <w:lang w:val="en-US"/>
        </w:rPr>
        <w:t>. Ann Arbor MI: University of Michigan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Bauman, Z. (1998) </w:t>
      </w:r>
      <w:r w:rsidRPr="009B6D32">
        <w:rPr>
          <w:rFonts w:ascii="Garamond" w:hAnsi="Garamond" w:cs="Garamond"/>
          <w:i/>
          <w:iCs/>
          <w:sz w:val="24"/>
          <w:szCs w:val="24"/>
          <w:lang w:val="en-US"/>
        </w:rPr>
        <w:t xml:space="preserve">Work, Consumerism and the New Poor. </w:t>
      </w:r>
      <w:r w:rsidRPr="009B6D32">
        <w:rPr>
          <w:rFonts w:ascii="Garamond" w:hAnsi="Garamond" w:cs="Garamond"/>
          <w:sz w:val="24"/>
          <w:szCs w:val="24"/>
          <w:lang w:val="en-US"/>
        </w:rPr>
        <w:t>Cambridge: Polity</w:t>
      </w:r>
    </w:p>
    <w:p w:rsidR="0001718F" w:rsidRPr="009B6D32" w:rsidRDefault="0001718F" w:rsidP="007437F5">
      <w:pPr>
        <w:spacing w:after="0" w:line="240" w:lineRule="auto"/>
        <w:ind w:hanging="720"/>
        <w:rPr>
          <w:rStyle w:val="A2"/>
        </w:rPr>
      </w:pPr>
      <w:r w:rsidRPr="009B6D32">
        <w:rPr>
          <w:rStyle w:val="A2"/>
          <w:rFonts w:ascii="Garamond" w:hAnsi="Garamond" w:cs="Garamond"/>
          <w:sz w:val="24"/>
          <w:szCs w:val="24"/>
        </w:rPr>
        <w:t xml:space="preserve">Bauman, Z. (1999) </w:t>
      </w:r>
      <w:r w:rsidRPr="009B6D32">
        <w:rPr>
          <w:rStyle w:val="A2"/>
          <w:rFonts w:ascii="Garamond" w:hAnsi="Garamond" w:cs="Garamond"/>
          <w:i/>
          <w:iCs/>
          <w:sz w:val="24"/>
          <w:szCs w:val="24"/>
        </w:rPr>
        <w:t>Liquid Modernity</w:t>
      </w:r>
      <w:r w:rsidRPr="009B6D32">
        <w:rPr>
          <w:rStyle w:val="A2"/>
          <w:rFonts w:ascii="Garamond" w:hAnsi="Garamond" w:cs="Garamond"/>
          <w:sz w:val="24"/>
          <w:szCs w:val="24"/>
        </w:rPr>
        <w:t>. Cambridge: Polity</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Bauman, Z. (2007) </w:t>
      </w:r>
      <w:r w:rsidRPr="009B6D32">
        <w:rPr>
          <w:rFonts w:ascii="Garamond" w:hAnsi="Garamond" w:cs="Garamond"/>
          <w:i/>
          <w:iCs/>
          <w:sz w:val="24"/>
          <w:szCs w:val="24"/>
          <w:lang w:val="en-US"/>
        </w:rPr>
        <w:t xml:space="preserve">Consuming Life. </w:t>
      </w:r>
      <w:r w:rsidRPr="009B6D32">
        <w:rPr>
          <w:rFonts w:ascii="Garamond" w:hAnsi="Garamond" w:cs="Garamond"/>
          <w:sz w:val="24"/>
          <w:szCs w:val="24"/>
          <w:lang w:val="en-US"/>
        </w:rPr>
        <w:t>Cambridge: Polity</w:t>
      </w:r>
    </w:p>
    <w:p w:rsidR="0001718F"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Bayart, J.F. (1993) </w:t>
      </w:r>
      <w:r w:rsidRPr="009B6D32">
        <w:rPr>
          <w:rFonts w:ascii="Garamond" w:hAnsi="Garamond" w:cs="Garamond"/>
          <w:i/>
          <w:iCs/>
          <w:sz w:val="24"/>
          <w:szCs w:val="24"/>
        </w:rPr>
        <w:t xml:space="preserve">The State in Africa: The Politics of the Belly. </w:t>
      </w:r>
      <w:r w:rsidRPr="009B6D32">
        <w:rPr>
          <w:rFonts w:ascii="Garamond" w:hAnsi="Garamond" w:cs="Garamond"/>
          <w:sz w:val="24"/>
          <w:szCs w:val="24"/>
        </w:rPr>
        <w:t>London: Longman</w:t>
      </w:r>
    </w:p>
    <w:p w:rsidR="0001718F" w:rsidRDefault="0001718F" w:rsidP="007437F5">
      <w:pPr>
        <w:spacing w:after="0" w:line="240" w:lineRule="auto"/>
        <w:ind w:hanging="720"/>
        <w:rPr>
          <w:rFonts w:ascii="Garamond" w:hAnsi="Garamond" w:cs="Garamond"/>
          <w:sz w:val="24"/>
          <w:szCs w:val="24"/>
        </w:rPr>
      </w:pPr>
      <w:r>
        <w:rPr>
          <w:rFonts w:ascii="Garamond" w:hAnsi="Garamond" w:cs="Garamond"/>
          <w:sz w:val="24"/>
          <w:szCs w:val="24"/>
        </w:rPr>
        <w:lastRenderedPageBreak/>
        <w:t xml:space="preserve">BBC </w:t>
      </w:r>
      <w:r w:rsidRPr="003064A9">
        <w:rPr>
          <w:rFonts w:ascii="Garamond" w:hAnsi="Garamond" w:cs="Garamond"/>
          <w:sz w:val="24"/>
          <w:szCs w:val="24"/>
        </w:rPr>
        <w:t xml:space="preserve">(2001) </w:t>
      </w:r>
      <w:r w:rsidRPr="003064A9">
        <w:rPr>
          <w:rFonts w:ascii="Garamond" w:hAnsi="Garamond" w:cs="Garamond"/>
          <w:i/>
          <w:iCs/>
          <w:sz w:val="24"/>
          <w:szCs w:val="24"/>
        </w:rPr>
        <w:t>Slavery: A Global Investigation</w:t>
      </w:r>
      <w:r>
        <w:rPr>
          <w:rFonts w:ascii="Garamond" w:hAnsi="Garamond" w:cs="Garamond"/>
          <w:i/>
          <w:iCs/>
          <w:sz w:val="24"/>
          <w:szCs w:val="24"/>
        </w:rPr>
        <w:t xml:space="preserve">, </w:t>
      </w:r>
      <w:r w:rsidRPr="00F60707">
        <w:rPr>
          <w:rFonts w:ascii="Garamond" w:hAnsi="Garamond" w:cs="Garamond"/>
          <w:iCs/>
          <w:sz w:val="24"/>
          <w:szCs w:val="24"/>
        </w:rPr>
        <w:t>dir.</w:t>
      </w:r>
      <w:r>
        <w:rPr>
          <w:rFonts w:ascii="Garamond" w:hAnsi="Garamond" w:cs="Garamond"/>
          <w:iCs/>
          <w:sz w:val="24"/>
          <w:szCs w:val="24"/>
        </w:rPr>
        <w:t xml:space="preserve"> </w:t>
      </w:r>
      <w:r w:rsidRPr="00F60707">
        <w:rPr>
          <w:rFonts w:ascii="Garamond" w:hAnsi="Garamond" w:cs="Garamond"/>
          <w:iCs/>
          <w:sz w:val="24"/>
          <w:szCs w:val="24"/>
        </w:rPr>
        <w:t>by</w:t>
      </w:r>
      <w:r>
        <w:rPr>
          <w:rFonts w:ascii="Garamond" w:hAnsi="Garamond" w:cs="Garamond"/>
          <w:i/>
          <w:iCs/>
          <w:sz w:val="24"/>
          <w:szCs w:val="24"/>
        </w:rPr>
        <w:t xml:space="preserve"> </w:t>
      </w:r>
      <w:r w:rsidRPr="003064A9">
        <w:rPr>
          <w:rFonts w:ascii="Garamond" w:hAnsi="Garamond" w:cs="Garamond"/>
          <w:sz w:val="24"/>
          <w:szCs w:val="24"/>
        </w:rPr>
        <w:t>Woods</w:t>
      </w:r>
      <w:r>
        <w:rPr>
          <w:rFonts w:ascii="Garamond" w:hAnsi="Garamond" w:cs="Garamond"/>
          <w:sz w:val="24"/>
          <w:szCs w:val="24"/>
        </w:rPr>
        <w:t>,</w:t>
      </w:r>
      <w:r w:rsidRPr="003064A9">
        <w:rPr>
          <w:rFonts w:ascii="Garamond" w:hAnsi="Garamond" w:cs="Garamond"/>
          <w:sz w:val="24"/>
          <w:szCs w:val="24"/>
        </w:rPr>
        <w:t xml:space="preserve"> B</w:t>
      </w:r>
      <w:r>
        <w:rPr>
          <w:rFonts w:ascii="Garamond" w:hAnsi="Garamond" w:cs="Garamond"/>
          <w:sz w:val="24"/>
          <w:szCs w:val="24"/>
        </w:rPr>
        <w:t>. and</w:t>
      </w:r>
      <w:r w:rsidRPr="003064A9">
        <w:rPr>
          <w:rFonts w:ascii="Garamond" w:hAnsi="Garamond" w:cs="Garamond"/>
          <w:sz w:val="24"/>
          <w:szCs w:val="24"/>
        </w:rPr>
        <w:t xml:space="preserve"> Blewett</w:t>
      </w:r>
      <w:r>
        <w:rPr>
          <w:rFonts w:ascii="Garamond" w:hAnsi="Garamond" w:cs="Garamond"/>
          <w:sz w:val="24"/>
          <w:szCs w:val="24"/>
        </w:rPr>
        <w:t>,</w:t>
      </w:r>
      <w:r w:rsidRPr="003064A9">
        <w:rPr>
          <w:rFonts w:ascii="Garamond" w:hAnsi="Garamond" w:cs="Garamond"/>
          <w:sz w:val="24"/>
          <w:szCs w:val="24"/>
        </w:rPr>
        <w:t xml:space="preserve"> K</w:t>
      </w:r>
      <w:r>
        <w:rPr>
          <w:rFonts w:ascii="Garamond" w:hAnsi="Garamond" w:cs="Garamond"/>
          <w:sz w:val="24"/>
          <w:szCs w:val="24"/>
        </w:rPr>
        <w:t xml:space="preserve">. </w:t>
      </w:r>
    </w:p>
    <w:p w:rsidR="0001718F" w:rsidRPr="00F60707" w:rsidRDefault="0001718F" w:rsidP="007437F5">
      <w:pPr>
        <w:spacing w:after="0" w:line="240" w:lineRule="auto"/>
        <w:ind w:hanging="720"/>
        <w:rPr>
          <w:rFonts w:ascii="Garamond" w:hAnsi="Garamond" w:cs="Garamond"/>
          <w:sz w:val="24"/>
          <w:szCs w:val="24"/>
        </w:rPr>
      </w:pPr>
      <w:r w:rsidRPr="003064A9">
        <w:rPr>
          <w:rFonts w:ascii="Garamond" w:hAnsi="Garamond" w:cs="Garamond"/>
          <w:sz w:val="24"/>
          <w:szCs w:val="24"/>
          <w:lang w:val="en-US"/>
        </w:rPr>
        <w:t xml:space="preserve">BBC (2010) </w:t>
      </w:r>
      <w:r w:rsidRPr="003064A9">
        <w:rPr>
          <w:rFonts w:ascii="Garamond" w:hAnsi="Garamond" w:cs="Garamond"/>
          <w:i/>
          <w:iCs/>
          <w:sz w:val="24"/>
          <w:szCs w:val="24"/>
          <w:lang w:val="en-US"/>
        </w:rPr>
        <w:t>Chocolate: The Bittersweet Truth.</w:t>
      </w:r>
      <w:r>
        <w:rPr>
          <w:rFonts w:ascii="Garamond" w:hAnsi="Garamond" w:cs="Garamond"/>
          <w:i/>
          <w:iCs/>
          <w:sz w:val="24"/>
          <w:szCs w:val="24"/>
          <w:lang w:val="en-US"/>
        </w:rPr>
        <w:t xml:space="preserve"> </w:t>
      </w:r>
      <w:r w:rsidRPr="00F60707">
        <w:rPr>
          <w:rFonts w:ascii="Garamond" w:hAnsi="Garamond" w:cs="Garamond"/>
          <w:iCs/>
          <w:sz w:val="24"/>
          <w:szCs w:val="24"/>
        </w:rPr>
        <w:t>dir.</w:t>
      </w:r>
      <w:r>
        <w:rPr>
          <w:rFonts w:ascii="Garamond" w:hAnsi="Garamond" w:cs="Garamond"/>
          <w:iCs/>
          <w:sz w:val="24"/>
          <w:szCs w:val="24"/>
        </w:rPr>
        <w:t xml:space="preserve"> </w:t>
      </w:r>
      <w:r w:rsidRPr="00F60707">
        <w:rPr>
          <w:rFonts w:ascii="Garamond" w:hAnsi="Garamond" w:cs="Garamond"/>
          <w:iCs/>
          <w:sz w:val="24"/>
          <w:szCs w:val="24"/>
        </w:rPr>
        <w:t>by</w:t>
      </w:r>
      <w:r>
        <w:rPr>
          <w:rFonts w:ascii="Garamond" w:hAnsi="Garamond" w:cs="Garamond"/>
          <w:i/>
          <w:iCs/>
          <w:sz w:val="24"/>
          <w:szCs w:val="24"/>
        </w:rPr>
        <w:t xml:space="preserve"> </w:t>
      </w:r>
      <w:r w:rsidRPr="003064A9">
        <w:rPr>
          <w:rFonts w:ascii="Garamond" w:hAnsi="Garamond" w:cs="Garamond"/>
          <w:sz w:val="24"/>
          <w:szCs w:val="24"/>
          <w:lang w:val="en-US"/>
        </w:rPr>
        <w:t>Kenyon, P</w:t>
      </w:r>
      <w:r>
        <w:rPr>
          <w:rFonts w:ascii="Garamond" w:hAnsi="Garamond" w:cs="Garamond"/>
          <w:sz w:val="24"/>
          <w:szCs w:val="24"/>
          <w:lang w:val="en-US"/>
        </w:rPr>
        <w:t xml:space="preserve">.  </w:t>
      </w:r>
    </w:p>
    <w:p w:rsidR="0001718F" w:rsidRPr="00F60707"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BBC Radio 4 (2013) </w:t>
      </w:r>
      <w:r w:rsidRPr="009B6D32">
        <w:rPr>
          <w:rFonts w:ascii="Garamond" w:hAnsi="Garamond" w:cs="Garamond"/>
          <w:i/>
          <w:sz w:val="24"/>
          <w:szCs w:val="24"/>
        </w:rPr>
        <w:t>Thinking Allowed</w:t>
      </w:r>
      <w:r w:rsidRPr="009B6D32">
        <w:rPr>
          <w:rFonts w:ascii="Garamond" w:hAnsi="Garamond" w:cs="Garamond"/>
          <w:sz w:val="24"/>
          <w:szCs w:val="24"/>
        </w:rPr>
        <w:t>. Radio. 26 August. 00:15 hrs</w:t>
      </w:r>
    </w:p>
    <w:p w:rsidR="0001718F" w:rsidRPr="00537AEF" w:rsidRDefault="0001718F" w:rsidP="0001718F">
      <w:pPr>
        <w:spacing w:after="0" w:line="240" w:lineRule="auto"/>
        <w:ind w:hanging="720"/>
        <w:jc w:val="both"/>
        <w:rPr>
          <w:rFonts w:ascii="Garamond" w:hAnsi="Garamond" w:cs="F18"/>
          <w:sz w:val="24"/>
          <w:szCs w:val="24"/>
        </w:rPr>
      </w:pPr>
      <w:r w:rsidRPr="00537AEF">
        <w:rPr>
          <w:rFonts w:ascii="Garamond" w:hAnsi="Garamond" w:cs="AdvPSPAL-B"/>
          <w:sz w:val="24"/>
          <w:szCs w:val="24"/>
        </w:rPr>
        <w:t>Beasley</w:t>
      </w:r>
      <w:r>
        <w:rPr>
          <w:rFonts w:ascii="Garamond" w:hAnsi="Garamond" w:cs="AdvPSPAL-B"/>
          <w:sz w:val="24"/>
          <w:szCs w:val="24"/>
        </w:rPr>
        <w:t>,</w:t>
      </w:r>
      <w:r w:rsidRPr="00537AEF">
        <w:rPr>
          <w:rFonts w:ascii="Garamond" w:hAnsi="Garamond" w:cs="AdvPSPAL-B"/>
          <w:sz w:val="24"/>
          <w:szCs w:val="24"/>
        </w:rPr>
        <w:t xml:space="preserve"> C</w:t>
      </w:r>
      <w:r>
        <w:rPr>
          <w:rFonts w:ascii="Garamond" w:hAnsi="Garamond" w:cs="AdvPSPAL-B"/>
          <w:sz w:val="24"/>
          <w:szCs w:val="24"/>
        </w:rPr>
        <w:t>.</w:t>
      </w:r>
      <w:r w:rsidRPr="00537AEF">
        <w:rPr>
          <w:rFonts w:ascii="Garamond" w:hAnsi="Garamond" w:cs="AdvPSPAL-B"/>
          <w:sz w:val="24"/>
          <w:szCs w:val="24"/>
        </w:rPr>
        <w:t xml:space="preserve"> and Bacchi</w:t>
      </w:r>
      <w:r>
        <w:rPr>
          <w:rFonts w:ascii="Garamond" w:hAnsi="Garamond" w:cs="AdvPSPAL-B"/>
          <w:sz w:val="24"/>
          <w:szCs w:val="24"/>
        </w:rPr>
        <w:t>,</w:t>
      </w:r>
      <w:r w:rsidRPr="00537AEF">
        <w:rPr>
          <w:rFonts w:ascii="Garamond" w:hAnsi="Garamond" w:cs="AdvPSPAL-B"/>
          <w:sz w:val="24"/>
          <w:szCs w:val="24"/>
        </w:rPr>
        <w:t xml:space="preserve"> C</w:t>
      </w:r>
      <w:r>
        <w:rPr>
          <w:rFonts w:ascii="Garamond" w:hAnsi="Garamond" w:cs="AdvPSPAL-B"/>
          <w:sz w:val="24"/>
          <w:szCs w:val="24"/>
        </w:rPr>
        <w:t>.</w:t>
      </w:r>
      <w:r w:rsidRPr="00537AEF">
        <w:rPr>
          <w:rFonts w:ascii="Garamond" w:hAnsi="Garamond" w:cs="AdvPSPAL-B"/>
          <w:sz w:val="24"/>
          <w:szCs w:val="24"/>
        </w:rPr>
        <w:t xml:space="preserve"> </w:t>
      </w:r>
      <w:r>
        <w:rPr>
          <w:rFonts w:ascii="Garamond" w:hAnsi="Garamond" w:cs="AdvPSPAL-B"/>
          <w:sz w:val="24"/>
          <w:szCs w:val="24"/>
        </w:rPr>
        <w:t>(</w:t>
      </w:r>
      <w:r w:rsidRPr="00537AEF">
        <w:rPr>
          <w:rFonts w:ascii="Garamond" w:hAnsi="Garamond" w:cs="AdvPSPAL-R"/>
          <w:sz w:val="24"/>
          <w:szCs w:val="24"/>
        </w:rPr>
        <w:t>2007</w:t>
      </w:r>
      <w:r>
        <w:rPr>
          <w:rFonts w:ascii="Garamond" w:hAnsi="Garamond" w:cs="AdvPSPAL-R"/>
          <w:sz w:val="24"/>
          <w:szCs w:val="24"/>
        </w:rPr>
        <w:t>)</w:t>
      </w:r>
      <w:r w:rsidRPr="00537AEF">
        <w:rPr>
          <w:rFonts w:ascii="Garamond" w:hAnsi="Garamond" w:cs="AdvPSPAL-R"/>
          <w:sz w:val="24"/>
          <w:szCs w:val="24"/>
        </w:rPr>
        <w:t xml:space="preserve"> Envisaging a new politics for</w:t>
      </w:r>
      <w:r w:rsidRPr="00537AEF">
        <w:rPr>
          <w:rFonts w:ascii="Garamond" w:hAnsi="Garamond" w:cs="F18"/>
          <w:sz w:val="24"/>
          <w:szCs w:val="24"/>
        </w:rPr>
        <w:t xml:space="preserve"> </w:t>
      </w:r>
      <w:r w:rsidRPr="00537AEF">
        <w:rPr>
          <w:rFonts w:ascii="Garamond" w:hAnsi="Garamond" w:cs="AdvPSPAL-R"/>
          <w:sz w:val="24"/>
          <w:szCs w:val="24"/>
        </w:rPr>
        <w:t>an ethical future: beyond trust, care and generosity:</w:t>
      </w:r>
      <w:r w:rsidRPr="00537AEF">
        <w:rPr>
          <w:rFonts w:ascii="Garamond" w:hAnsi="Garamond" w:cs="F18"/>
          <w:sz w:val="24"/>
          <w:szCs w:val="24"/>
        </w:rPr>
        <w:t xml:space="preserve"> </w:t>
      </w:r>
      <w:r w:rsidRPr="00537AEF">
        <w:rPr>
          <w:rFonts w:ascii="Garamond" w:hAnsi="Garamond" w:cs="AdvPSPAL-R"/>
          <w:sz w:val="24"/>
          <w:szCs w:val="24"/>
        </w:rPr>
        <w:t xml:space="preserve">towards an ethic of ‘social flesh’ </w:t>
      </w:r>
      <w:r w:rsidRPr="008315E7">
        <w:rPr>
          <w:rFonts w:ascii="Garamond" w:hAnsi="Garamond" w:cs="Advpala-ita"/>
          <w:i/>
          <w:sz w:val="24"/>
          <w:szCs w:val="24"/>
        </w:rPr>
        <w:t>Feminist Theory</w:t>
      </w:r>
      <w:r>
        <w:rPr>
          <w:rFonts w:ascii="Garamond" w:hAnsi="Garamond" w:cs="Advpala-ita"/>
          <w:i/>
          <w:sz w:val="24"/>
          <w:szCs w:val="24"/>
        </w:rPr>
        <w:t>,</w:t>
      </w:r>
      <w:r w:rsidRPr="00537AEF">
        <w:rPr>
          <w:rFonts w:ascii="Garamond" w:hAnsi="Garamond" w:cs="Advpala-ita"/>
          <w:sz w:val="24"/>
          <w:szCs w:val="24"/>
        </w:rPr>
        <w:t xml:space="preserve"> </w:t>
      </w:r>
      <w:r w:rsidRPr="00537AEF">
        <w:rPr>
          <w:rFonts w:ascii="Garamond" w:hAnsi="Garamond" w:cs="AdvPSPAL-R"/>
          <w:sz w:val="24"/>
          <w:szCs w:val="24"/>
        </w:rPr>
        <w:t>8</w:t>
      </w:r>
      <w:r>
        <w:rPr>
          <w:rFonts w:ascii="Garamond" w:hAnsi="Garamond" w:cs="AdvPSPAL-R"/>
          <w:sz w:val="24"/>
          <w:szCs w:val="24"/>
        </w:rPr>
        <w:t xml:space="preserve">: </w:t>
      </w:r>
      <w:r w:rsidRPr="00537AEF">
        <w:rPr>
          <w:rFonts w:ascii="Garamond" w:hAnsi="Garamond" w:cs="AdvPSPAL-R"/>
          <w:sz w:val="24"/>
          <w:szCs w:val="24"/>
        </w:rPr>
        <w:t>279–98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Beck, U. (1992) </w:t>
      </w:r>
      <w:r w:rsidRPr="009B6D32">
        <w:rPr>
          <w:rFonts w:ascii="Garamond" w:hAnsi="Garamond" w:cs="Garamond"/>
          <w:i/>
          <w:iCs/>
          <w:sz w:val="24"/>
          <w:szCs w:val="24"/>
          <w:lang w:val="en-US"/>
        </w:rPr>
        <w:t xml:space="preserve">Risk Society. </w:t>
      </w:r>
      <w:r w:rsidRPr="009B6D32">
        <w:rPr>
          <w:rFonts w:ascii="Garamond" w:hAnsi="Garamond" w:cs="Garamond"/>
          <w:sz w:val="24"/>
          <w:szCs w:val="24"/>
          <w:lang w:val="en-US"/>
        </w:rPr>
        <w:t>London: Sage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Becker-Olsen, K., Cudmore, B. and Hill, R. (2005) ‘The impact of perceived corporate social responsibility on consumer behaviour’, </w:t>
      </w:r>
      <w:r w:rsidRPr="009B6D32">
        <w:rPr>
          <w:rFonts w:ascii="Garamond" w:hAnsi="Garamond" w:cs="Garamond"/>
          <w:i/>
          <w:iCs/>
          <w:sz w:val="24"/>
          <w:szCs w:val="24"/>
          <w:lang w:val="en-US"/>
        </w:rPr>
        <w:t xml:space="preserve">Journal of Business Research, </w:t>
      </w:r>
      <w:r w:rsidRPr="009B6D32">
        <w:rPr>
          <w:rFonts w:ascii="Garamond" w:hAnsi="Garamond" w:cs="Garamond"/>
          <w:sz w:val="24"/>
          <w:szCs w:val="24"/>
          <w:lang w:val="en-US"/>
        </w:rPr>
        <w:t>59(1), pp. 46-53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Beerends, H. (1992) </w:t>
      </w:r>
      <w:r w:rsidRPr="009B6D32">
        <w:rPr>
          <w:rFonts w:ascii="Garamond" w:hAnsi="Garamond" w:cs="Garamond"/>
          <w:i/>
          <w:iCs/>
          <w:sz w:val="24"/>
          <w:szCs w:val="24"/>
        </w:rPr>
        <w:t xml:space="preserve">De Derde Wereldbeweging, geschiedenis en toekomst </w:t>
      </w:r>
      <w:r w:rsidRPr="009B6D32">
        <w:rPr>
          <w:rFonts w:ascii="Garamond" w:hAnsi="Garamond" w:cs="Garamond"/>
          <w:sz w:val="24"/>
          <w:szCs w:val="24"/>
        </w:rPr>
        <w:t>[The Third World Movement, history and future]. Utrecht/Den Haag: Jan van Arkel/NOVIB</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Beinart, W. (2001) </w:t>
      </w:r>
      <w:r w:rsidRPr="009B6D32">
        <w:rPr>
          <w:rFonts w:ascii="Garamond" w:hAnsi="Garamond" w:cs="Garamond"/>
          <w:i/>
          <w:sz w:val="24"/>
          <w:szCs w:val="24"/>
        </w:rPr>
        <w:t xml:space="preserve">Twentieth Century South Africa. </w:t>
      </w:r>
      <w:r w:rsidRPr="009B6D32">
        <w:rPr>
          <w:rFonts w:ascii="Garamond" w:hAnsi="Garamond" w:cs="Garamond"/>
          <w:sz w:val="24"/>
          <w:szCs w:val="24"/>
        </w:rPr>
        <w:t>Oxford: Oxford University Press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Bekin, C., Carrigan, M. and Szmigin, I. (2007) ‘Communities and Consumption’, </w:t>
      </w:r>
      <w:r w:rsidRPr="009B6D32">
        <w:rPr>
          <w:rFonts w:ascii="Garamond" w:hAnsi="Garamond" w:cs="Garamond"/>
          <w:i/>
          <w:iCs/>
          <w:sz w:val="24"/>
          <w:szCs w:val="24"/>
          <w:lang w:val="en-US"/>
        </w:rPr>
        <w:t xml:space="preserve">International Journal of Sociology and Social Policy, </w:t>
      </w:r>
      <w:r w:rsidRPr="009B6D32">
        <w:rPr>
          <w:rFonts w:ascii="Garamond" w:hAnsi="Garamond" w:cs="Garamond"/>
          <w:sz w:val="24"/>
          <w:szCs w:val="24"/>
          <w:lang w:val="en-US"/>
        </w:rPr>
        <w:t>27(3-4), pp. 101-105</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Bell, D. (1991) 'Insignificant Others': Lesbian and Gay Geographies. </w:t>
      </w:r>
      <w:r w:rsidRPr="009B6D32">
        <w:rPr>
          <w:rFonts w:ascii="Garamond" w:hAnsi="Garamond" w:cs="Garamond"/>
          <w:i/>
          <w:sz w:val="24"/>
          <w:szCs w:val="24"/>
          <w:lang w:val="en-US"/>
        </w:rPr>
        <w:t xml:space="preserve">Area, </w:t>
      </w:r>
      <w:r w:rsidRPr="009B6D32">
        <w:rPr>
          <w:rFonts w:ascii="Garamond" w:hAnsi="Garamond" w:cs="Garamond"/>
          <w:sz w:val="24"/>
          <w:szCs w:val="24"/>
          <w:lang w:val="en-US"/>
        </w:rPr>
        <w:t xml:space="preserve">23(4). pp. 323-329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Bell, D. and Valentine, G. (1997) </w:t>
      </w:r>
      <w:r w:rsidRPr="009B6D32">
        <w:rPr>
          <w:rFonts w:ascii="Garamond" w:hAnsi="Garamond" w:cs="Garamond"/>
          <w:i/>
          <w:iCs/>
          <w:sz w:val="24"/>
          <w:szCs w:val="24"/>
          <w:lang w:val="en-US"/>
        </w:rPr>
        <w:t xml:space="preserve">Consuming Geographies: We Are Where We Eat.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rPr>
          <w:rFonts w:ascii="Garamond" w:hAnsi="Garamond" w:cs="Garamond"/>
          <w:sz w:val="24"/>
          <w:szCs w:val="24"/>
          <w:lang w:val="en-US"/>
        </w:rPr>
      </w:pPr>
      <w:r w:rsidRPr="006500C4">
        <w:rPr>
          <w:rStyle w:val="Emphasis"/>
          <w:rFonts w:ascii="Garamond" w:hAnsi="Garamond" w:cs="Arial"/>
          <w:bCs/>
          <w:i w:val="0"/>
          <w:sz w:val="24"/>
          <w:szCs w:val="24"/>
          <w:shd w:val="clear" w:color="auto" w:fill="FFFFFF"/>
        </w:rPr>
        <w:t>Bell, D. and Valentine, G. (eds.) (1995)</w:t>
      </w:r>
      <w:r w:rsidRPr="009B6D32">
        <w:rPr>
          <w:rStyle w:val="Emphasis"/>
          <w:rFonts w:ascii="Garamond" w:hAnsi="Garamond" w:cs="Arial"/>
          <w:bCs/>
          <w:sz w:val="24"/>
          <w:szCs w:val="24"/>
          <w:shd w:val="clear" w:color="auto" w:fill="FFFFFF"/>
        </w:rPr>
        <w:t xml:space="preserve"> 'Mapping Desire</w:t>
      </w:r>
      <w:r w:rsidRPr="009B6D32">
        <w:rPr>
          <w:rFonts w:ascii="Garamond" w:hAnsi="Garamond" w:cs="Arial"/>
          <w:sz w:val="24"/>
          <w:szCs w:val="24"/>
          <w:shd w:val="clear" w:color="auto" w:fill="FFFFFF"/>
        </w:rPr>
        <w:t>:</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Geographies of Sexualities</w:t>
      </w:r>
      <w:r w:rsidRPr="009B6D32">
        <w:rPr>
          <w:rFonts w:ascii="Garamond" w:hAnsi="Garamond" w:cs="Arial"/>
          <w:sz w:val="24"/>
          <w:szCs w:val="24"/>
          <w:shd w:val="clear" w:color="auto" w:fill="FFFFFF"/>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Bell, D., Weaver, W. and North, M. (1994) </w:t>
      </w:r>
      <w:r w:rsidRPr="009B6D32">
        <w:rPr>
          <w:rFonts w:ascii="Garamond" w:hAnsi="Garamond" w:cs="Garamond"/>
          <w:i/>
          <w:iCs/>
          <w:sz w:val="24"/>
          <w:szCs w:val="24"/>
          <w:lang w:val="en-US"/>
        </w:rPr>
        <w:t xml:space="preserve">Commercial Chicken Meat and Egg Production. </w:t>
      </w:r>
      <w:r w:rsidRPr="009B6D32">
        <w:rPr>
          <w:rFonts w:ascii="Garamond" w:hAnsi="Garamond" w:cs="Garamond"/>
          <w:sz w:val="24"/>
          <w:szCs w:val="24"/>
          <w:lang w:val="en-US"/>
        </w:rPr>
        <w:t>Norwell, MA: Kluwer Academic Publications</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Bender, D. (2005) </w:t>
      </w:r>
      <w:r w:rsidRPr="009B6D32">
        <w:rPr>
          <w:rFonts w:ascii="Garamond" w:hAnsi="Garamond" w:cs="Garamond"/>
          <w:i/>
          <w:iCs/>
          <w:sz w:val="24"/>
          <w:szCs w:val="24"/>
          <w:lang w:val="en-US"/>
        </w:rPr>
        <w:t>Sweated Work, Weak Bodies: Anti-Sweatshop Campaigns and Languages of Labour</w:t>
      </w:r>
      <w:r w:rsidRPr="009B6D32">
        <w:rPr>
          <w:rFonts w:ascii="Garamond" w:hAnsi="Garamond" w:cs="Garamond"/>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New Brunswick: Rutgers University Press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Benians, E. (1993) ‘Adam Smith’s Project of Empire’, in Cunningham Wood, J. (ed.) </w:t>
      </w:r>
      <w:r w:rsidRPr="009B6D32">
        <w:rPr>
          <w:rFonts w:ascii="Garamond" w:hAnsi="Garamond" w:cs="Garamond"/>
          <w:i/>
          <w:sz w:val="24"/>
          <w:szCs w:val="24"/>
        </w:rPr>
        <w:t>Adam Smith, Critical Assessments</w:t>
      </w:r>
      <w:r w:rsidRPr="009B6D32">
        <w:rPr>
          <w:rFonts w:ascii="Garamond" w:hAnsi="Garamond" w:cs="Garamond"/>
          <w:sz w:val="24"/>
          <w:szCs w:val="24"/>
        </w:rPr>
        <w:t>. London: Routledge, pp. 18-46</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Benjamin, W. (1999 [1982]) </w:t>
      </w:r>
      <w:r w:rsidRPr="009B6D32">
        <w:rPr>
          <w:rFonts w:ascii="Garamond" w:hAnsi="Garamond" w:cs="Garamond"/>
          <w:i/>
          <w:iCs/>
          <w:sz w:val="24"/>
          <w:szCs w:val="24"/>
        </w:rPr>
        <w:t xml:space="preserve">The Arcades Project, </w:t>
      </w:r>
      <w:r w:rsidRPr="009B6D32">
        <w:rPr>
          <w:rFonts w:ascii="Garamond" w:hAnsi="Garamond" w:cs="Garamond"/>
          <w:iCs/>
          <w:sz w:val="24"/>
          <w:szCs w:val="24"/>
        </w:rPr>
        <w:t>t</w:t>
      </w:r>
      <w:r w:rsidRPr="009B6D32">
        <w:rPr>
          <w:rFonts w:ascii="Garamond" w:hAnsi="Garamond" w:cs="Garamond"/>
          <w:sz w:val="24"/>
          <w:szCs w:val="24"/>
        </w:rPr>
        <w:t>ranslated by Eiland, H. and McLaughin, K., London: Harvard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Bennett, J. (2010) </w:t>
      </w:r>
      <w:r w:rsidRPr="009B6D32">
        <w:rPr>
          <w:rFonts w:ascii="Garamond" w:hAnsi="Garamond" w:cs="Garamond"/>
          <w:i/>
          <w:iCs/>
          <w:sz w:val="24"/>
          <w:szCs w:val="24"/>
        </w:rPr>
        <w:t xml:space="preserve">Vibrant Matter: A Political Ecology of Things. </w:t>
      </w:r>
      <w:r w:rsidRPr="009B6D32">
        <w:rPr>
          <w:rFonts w:ascii="Garamond" w:hAnsi="Garamond" w:cs="Garamond"/>
          <w:sz w:val="24"/>
          <w:szCs w:val="24"/>
        </w:rPr>
        <w:t>Durham: Durham University Press</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Berg, L. (2010) ‘Critical Human Geography’ in </w:t>
      </w:r>
      <w:r w:rsidRPr="009B6D32">
        <w:rPr>
          <w:rFonts w:ascii="Garamond" w:hAnsi="Garamond" w:cs="Garamond"/>
          <w:i/>
          <w:sz w:val="24"/>
          <w:szCs w:val="24"/>
          <w:lang w:val="en-US"/>
        </w:rPr>
        <w:t>Encyclopedia of Geography</w:t>
      </w:r>
      <w:r w:rsidRPr="009B6D32">
        <w:rPr>
          <w:rFonts w:ascii="Garamond" w:hAnsi="Garamond" w:cs="Garamond"/>
          <w:sz w:val="24"/>
          <w:szCs w:val="24"/>
          <w:lang w:val="en-US"/>
        </w:rPr>
        <w:t>. London: Sage, pp. 617-622</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Berg, M. and Clifford, S. (eds.) (1999) </w:t>
      </w:r>
      <w:r w:rsidRPr="009B6D32">
        <w:rPr>
          <w:rFonts w:ascii="Garamond" w:hAnsi="Garamond" w:cs="Garamond"/>
          <w:i/>
          <w:sz w:val="24"/>
          <w:szCs w:val="24"/>
          <w:lang w:val="en-US"/>
        </w:rPr>
        <w:t xml:space="preserve">Consumers and Luxury: </w:t>
      </w:r>
      <w:r w:rsidRPr="009B6D32">
        <w:rPr>
          <w:rFonts w:ascii="Garamond" w:hAnsi="Garamond" w:cs="Garamond"/>
          <w:i/>
          <w:iCs/>
          <w:sz w:val="24"/>
          <w:szCs w:val="24"/>
          <w:lang w:val="en-US"/>
        </w:rPr>
        <w:t xml:space="preserve">Consumer culture in Europe 1650- 1850. </w:t>
      </w:r>
      <w:r w:rsidRPr="009B6D32">
        <w:rPr>
          <w:rFonts w:ascii="Garamond" w:hAnsi="Garamond" w:cs="Garamond"/>
          <w:sz w:val="24"/>
          <w:szCs w:val="24"/>
          <w:lang w:val="en-US"/>
        </w:rPr>
        <w:t>Manchester: Manchester University Press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Berlan, A. (2010) ‘Child Labour and Cocoa: Whose Voices Prevail?’, Available at: http://www.tradingvisions.org/content/child-labour-and-cocoa-whose-voices-prevail (Accessed: 23 June 2013)</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rPr>
        <w:t xml:space="preserve">Berman, M. (1987) </w:t>
      </w:r>
      <w:r w:rsidRPr="009B6D32">
        <w:rPr>
          <w:rFonts w:ascii="Garamond" w:hAnsi="Garamond" w:cs="Garamond"/>
          <w:i/>
          <w:iCs/>
          <w:sz w:val="24"/>
          <w:szCs w:val="24"/>
        </w:rPr>
        <w:t xml:space="preserve">All that is Solid Melts into Air: The Experience of Modernity. </w:t>
      </w:r>
      <w:r w:rsidRPr="009B6D32">
        <w:rPr>
          <w:rFonts w:ascii="Garamond" w:hAnsi="Garamond" w:cs="Garamond"/>
          <w:sz w:val="24"/>
          <w:szCs w:val="24"/>
        </w:rPr>
        <w:t>London: Verso</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rPr>
        <w:t xml:space="preserve">Bernstein, H. and Campling, L. (2006) ‘Commodity Studies and Commodity Fetishism I: </w:t>
      </w:r>
      <w:r w:rsidRPr="009B6D32">
        <w:rPr>
          <w:rStyle w:val="Emphasis"/>
          <w:rFonts w:ascii="Garamond" w:hAnsi="Garamond" w:cs="Garamond"/>
          <w:sz w:val="24"/>
          <w:szCs w:val="24"/>
        </w:rPr>
        <w:t xml:space="preserve">Trading Down’ </w:t>
      </w:r>
      <w:r w:rsidRPr="009B6D32">
        <w:rPr>
          <w:rFonts w:ascii="Garamond" w:hAnsi="Garamond" w:cs="Garamond"/>
          <w:i/>
          <w:iCs/>
          <w:sz w:val="24"/>
          <w:szCs w:val="24"/>
        </w:rPr>
        <w:t>Journal of Agrarian Change,</w:t>
      </w:r>
      <w:r w:rsidRPr="009B6D32">
        <w:rPr>
          <w:rFonts w:ascii="Garamond" w:hAnsi="Garamond" w:cs="Garamond"/>
          <w:sz w:val="24"/>
          <w:szCs w:val="24"/>
        </w:rPr>
        <w:t xml:space="preserve"> 6(2), pp. 239-264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Berry, C. (1994) </w:t>
      </w:r>
      <w:r w:rsidRPr="009B6D32">
        <w:rPr>
          <w:rFonts w:ascii="Garamond" w:hAnsi="Garamond" w:cs="Garamond"/>
          <w:i/>
          <w:iCs/>
          <w:sz w:val="24"/>
          <w:szCs w:val="24"/>
        </w:rPr>
        <w:t xml:space="preserve">The Idea of Luxury: A conceptual and historical investigation. </w:t>
      </w:r>
      <w:r w:rsidRPr="009B6D32">
        <w:rPr>
          <w:rFonts w:ascii="Garamond" w:hAnsi="Garamond" w:cs="Garamond"/>
          <w:sz w:val="24"/>
          <w:szCs w:val="24"/>
        </w:rPr>
        <w:t>Cambridge: Cambridge University Press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Bhabha, H. (1985) ‘Signs Taken for Wonders: Questions of Ambivalence and Authority Under a Tree Outside Delhi, May 1817’, </w:t>
      </w:r>
      <w:r w:rsidRPr="009B6D32">
        <w:rPr>
          <w:rFonts w:ascii="Garamond" w:hAnsi="Garamond" w:cs="Garamond"/>
          <w:i/>
          <w:iCs/>
          <w:sz w:val="24"/>
          <w:szCs w:val="24"/>
        </w:rPr>
        <w:t>Critical Enquiry</w:t>
      </w:r>
      <w:r w:rsidRPr="009B6D32">
        <w:rPr>
          <w:rFonts w:ascii="Garamond" w:hAnsi="Garamond" w:cs="Garamond"/>
          <w:sz w:val="24"/>
          <w:szCs w:val="24"/>
        </w:rPr>
        <w:t>, 12(1), pp. 144-165</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Bhabha, H. (1988) 'The Commitment to Theory', </w:t>
      </w:r>
      <w:r w:rsidRPr="009B6D32">
        <w:rPr>
          <w:rFonts w:ascii="Garamond" w:hAnsi="Garamond" w:cs="Garamond"/>
          <w:i/>
          <w:iCs/>
          <w:sz w:val="24"/>
          <w:szCs w:val="24"/>
        </w:rPr>
        <w:t>New Formations,</w:t>
      </w:r>
      <w:r w:rsidRPr="009B6D32">
        <w:rPr>
          <w:rFonts w:ascii="Garamond" w:hAnsi="Garamond" w:cs="Garamond"/>
          <w:sz w:val="24"/>
          <w:szCs w:val="24"/>
        </w:rPr>
        <w:t xml:space="preserve"> 5, pp. 5-23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Bhabha, H. (1994) </w:t>
      </w:r>
      <w:r w:rsidRPr="009B6D32">
        <w:rPr>
          <w:rFonts w:ascii="Garamond" w:hAnsi="Garamond" w:cs="Garamond"/>
          <w:i/>
          <w:iCs/>
          <w:sz w:val="24"/>
          <w:szCs w:val="24"/>
        </w:rPr>
        <w:t xml:space="preserve">The Location of Culture.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Times New Roman"/>
          <w:sz w:val="24"/>
          <w:szCs w:val="24"/>
        </w:rPr>
      </w:pPr>
      <w:r w:rsidRPr="009B6D32">
        <w:rPr>
          <w:rFonts w:ascii="Garamond" w:hAnsi="Garamond" w:cs="Garamond"/>
          <w:sz w:val="24"/>
          <w:szCs w:val="24"/>
        </w:rPr>
        <w:t xml:space="preserve">Bhabha, J. (2005) Human Smuggling, Migration and Human Rights. The International Council on </w:t>
      </w:r>
      <w:r w:rsidRPr="009B6D32">
        <w:rPr>
          <w:rFonts w:ascii="Garamond" w:hAnsi="Garamond" w:cs="Times New Roman"/>
          <w:sz w:val="24"/>
          <w:szCs w:val="24"/>
        </w:rPr>
        <w:t>Human Rights Policy. Review Meeting. Geneva, 25-26 July. Available at:</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Bialasiewicz, L., Campbell, D., Elden, S., Graham, S., Jeffrey, A. and Williams, A. J. (2007) ‘Performing security: the imaginative geographies of current US strategy’, </w:t>
      </w:r>
      <w:r w:rsidRPr="009B6D32">
        <w:rPr>
          <w:rFonts w:ascii="Garamond" w:hAnsi="Garamond" w:cs="Garamond"/>
          <w:i/>
          <w:iCs/>
          <w:sz w:val="24"/>
          <w:szCs w:val="24"/>
        </w:rPr>
        <w:t xml:space="preserve">Political Geography, </w:t>
      </w:r>
      <w:r w:rsidRPr="009B6D32">
        <w:rPr>
          <w:rFonts w:ascii="Garamond" w:hAnsi="Garamond" w:cs="Garamond"/>
          <w:sz w:val="24"/>
          <w:szCs w:val="24"/>
        </w:rPr>
        <w:t>26(4), pp. 405-422</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Blackburn, R. (2011) </w:t>
      </w:r>
      <w:r w:rsidRPr="009B6D32">
        <w:rPr>
          <w:rFonts w:ascii="Garamond" w:hAnsi="Garamond" w:cs="Garamond"/>
          <w:i/>
          <w:iCs/>
          <w:sz w:val="24"/>
          <w:szCs w:val="24"/>
        </w:rPr>
        <w:t>The American Crucible: Slavery, Emancipation and Human Rights.</w:t>
      </w:r>
      <w:r w:rsidRPr="009B6D32">
        <w:rPr>
          <w:rFonts w:ascii="Garamond" w:hAnsi="Garamond" w:cs="Garamond"/>
          <w:iCs/>
          <w:sz w:val="24"/>
          <w:szCs w:val="24"/>
        </w:rPr>
        <w:t xml:space="preserve"> London: Verso</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lastRenderedPageBreak/>
        <w:t xml:space="preserve">Blowfield, M. (2003) ‘Ethical Supply Chains </w:t>
      </w:r>
      <w:r w:rsidRPr="009B6D32">
        <w:rPr>
          <w:rFonts w:ascii="Garamond" w:hAnsi="Garamond" w:cs="Garamond"/>
          <w:sz w:val="24"/>
          <w:szCs w:val="24"/>
        </w:rPr>
        <w:t>in the Cocoa,</w:t>
      </w:r>
      <w:r w:rsidRPr="009B6D32">
        <w:rPr>
          <w:rFonts w:ascii="Garamond" w:hAnsi="Garamond" w:cs="Garamond"/>
          <w:sz w:val="24"/>
          <w:szCs w:val="24"/>
          <w:lang w:val="en-US"/>
        </w:rPr>
        <w:t xml:space="preserve"> </w:t>
      </w:r>
      <w:r w:rsidRPr="009B6D32">
        <w:rPr>
          <w:rFonts w:ascii="Garamond" w:hAnsi="Garamond" w:cs="Garamond"/>
          <w:sz w:val="24"/>
          <w:szCs w:val="24"/>
        </w:rPr>
        <w:t>Coffee and Tea Industries</w:t>
      </w:r>
      <w:r w:rsidRPr="009B6D32">
        <w:rPr>
          <w:rFonts w:ascii="Garamond" w:hAnsi="Garamond" w:cs="Garamond"/>
          <w:sz w:val="24"/>
          <w:szCs w:val="24"/>
          <w:lang w:val="en-US"/>
        </w:rPr>
        <w:t>’</w:t>
      </w:r>
      <w:r w:rsidRPr="009B6D32">
        <w:rPr>
          <w:rFonts w:ascii="Garamond" w:hAnsi="Garamond" w:cs="Garamond"/>
          <w:i/>
          <w:iCs/>
          <w:sz w:val="24"/>
          <w:szCs w:val="24"/>
        </w:rPr>
        <w:t xml:space="preserve">, </w:t>
      </w:r>
      <w:r w:rsidRPr="009B6D32">
        <w:rPr>
          <w:rFonts w:ascii="Garamond" w:hAnsi="Garamond" w:cs="Garamond"/>
          <w:i/>
          <w:sz w:val="24"/>
          <w:szCs w:val="24"/>
        </w:rPr>
        <w:t>GMI</w:t>
      </w:r>
      <w:r w:rsidRPr="009B6D32">
        <w:rPr>
          <w:rFonts w:ascii="Garamond" w:hAnsi="Garamond" w:cs="Garamond"/>
          <w:sz w:val="24"/>
          <w:szCs w:val="24"/>
        </w:rPr>
        <w:t>,</w:t>
      </w:r>
      <w:r w:rsidRPr="009B6D32">
        <w:rPr>
          <w:rFonts w:ascii="Garamond" w:hAnsi="Garamond" w:cs="Garamond"/>
          <w:i/>
          <w:sz w:val="24"/>
          <w:szCs w:val="24"/>
        </w:rPr>
        <w:t xml:space="preserve"> </w:t>
      </w:r>
      <w:r w:rsidRPr="009B6D32">
        <w:rPr>
          <w:rFonts w:ascii="Garamond" w:hAnsi="Garamond" w:cs="Garamond"/>
          <w:sz w:val="24"/>
          <w:szCs w:val="24"/>
        </w:rPr>
        <w:t>43, pp. 15-24</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Blunt, A. (2007) ‘Cultural geographies of migration: mobility, transnationality and diaspora’, </w:t>
      </w:r>
      <w:r w:rsidRPr="009B6D32">
        <w:rPr>
          <w:rFonts w:ascii="Garamond" w:hAnsi="Garamond" w:cs="Garamond"/>
          <w:i/>
          <w:iCs/>
          <w:sz w:val="24"/>
          <w:szCs w:val="24"/>
        </w:rPr>
        <w:t xml:space="preserve">Progress in Human Geography, </w:t>
      </w:r>
      <w:r w:rsidRPr="009B6D32">
        <w:rPr>
          <w:rFonts w:ascii="Garamond" w:hAnsi="Garamond" w:cs="Garamond"/>
          <w:sz w:val="24"/>
          <w:szCs w:val="24"/>
        </w:rPr>
        <w:t>31(5), pp. 684-694</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3064A9">
        <w:rPr>
          <w:rFonts w:ascii="Garamond" w:hAnsi="Garamond" w:cs="Garamond"/>
          <w:sz w:val="24"/>
          <w:szCs w:val="24"/>
        </w:rPr>
        <w:t>BOA (1973) BOA Dokumentatiemap nr I</w:t>
      </w:r>
      <w:r>
        <w:rPr>
          <w:rFonts w:ascii="Garamond" w:hAnsi="Garamond" w:cs="Garamond"/>
          <w:sz w:val="24"/>
          <w:szCs w:val="24"/>
        </w:rPr>
        <w:t>. Leiden: BOA</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3064A9">
        <w:rPr>
          <w:rFonts w:ascii="Garamond" w:hAnsi="Garamond" w:cs="Garamond"/>
          <w:sz w:val="24"/>
          <w:szCs w:val="24"/>
        </w:rPr>
        <w:t>BOA (1973) BOA Dokumentatiemap nr II</w:t>
      </w:r>
      <w:r>
        <w:rPr>
          <w:rFonts w:ascii="Garamond" w:hAnsi="Garamond" w:cs="Garamond"/>
          <w:sz w:val="24"/>
          <w:szCs w:val="24"/>
        </w:rPr>
        <w:t>. Leiden: BOA</w:t>
      </w:r>
    </w:p>
    <w:p w:rsidR="0001718F" w:rsidRPr="00DE74BF" w:rsidRDefault="0001718F" w:rsidP="007437F5">
      <w:pPr>
        <w:autoSpaceDE w:val="0"/>
        <w:autoSpaceDN w:val="0"/>
        <w:adjustRightInd w:val="0"/>
        <w:spacing w:after="0" w:line="240" w:lineRule="auto"/>
        <w:ind w:hanging="720"/>
        <w:rPr>
          <w:rFonts w:ascii="Garamond" w:hAnsi="Garamond" w:cs="Garamond"/>
          <w:sz w:val="24"/>
          <w:szCs w:val="24"/>
        </w:rPr>
      </w:pPr>
      <w:r w:rsidRPr="00DE74BF">
        <w:rPr>
          <w:rFonts w:ascii="Garamond" w:hAnsi="Garamond" w:cs="Garamond"/>
          <w:sz w:val="24"/>
          <w:szCs w:val="24"/>
        </w:rPr>
        <w:t xml:space="preserve">BOA </w:t>
      </w:r>
      <w:r>
        <w:rPr>
          <w:rFonts w:ascii="Garamond" w:hAnsi="Garamond" w:cs="Garamond"/>
          <w:sz w:val="24"/>
          <w:szCs w:val="24"/>
        </w:rPr>
        <w:t xml:space="preserve">(1974) BOA Bulletin (English). Leiden: BOA </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Pr>
          <w:rFonts w:ascii="Garamond" w:hAnsi="Garamond" w:cs="Garamond"/>
          <w:sz w:val="24"/>
          <w:szCs w:val="24"/>
        </w:rPr>
        <w:t>BOA (1977) Workers of the World United. Leiden: BOA</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3064A9">
        <w:rPr>
          <w:rFonts w:ascii="Garamond" w:hAnsi="Garamond" w:cs="Garamond"/>
          <w:sz w:val="24"/>
          <w:szCs w:val="24"/>
        </w:rPr>
        <w:t xml:space="preserve">BOA (1979) </w:t>
      </w:r>
      <w:r w:rsidRPr="00DE74BF">
        <w:rPr>
          <w:rFonts w:ascii="Garamond" w:eastAsia="BatangChe" w:hAnsi="Garamond"/>
          <w:i/>
          <w:sz w:val="24"/>
          <w:szCs w:val="24"/>
          <w:shd w:val="clear" w:color="auto" w:fill="FFFFFF"/>
        </w:rPr>
        <w:t>Abschlußbericht der Aktion</w:t>
      </w:r>
      <w:r w:rsidRPr="003064A9">
        <w:rPr>
          <w:rFonts w:ascii="Garamond" w:hAnsi="Garamond" w:cs="Garamond"/>
          <w:sz w:val="24"/>
          <w:szCs w:val="24"/>
        </w:rPr>
        <w:t xml:space="preserve"> </w:t>
      </w:r>
      <w:r>
        <w:rPr>
          <w:rFonts w:ascii="Garamond" w:hAnsi="Garamond" w:cs="Garamond"/>
          <w:sz w:val="24"/>
          <w:szCs w:val="24"/>
        </w:rPr>
        <w:t>"</w:t>
      </w:r>
      <w:r w:rsidRPr="003064A9">
        <w:rPr>
          <w:rFonts w:ascii="Garamond" w:hAnsi="Garamond" w:cs="Garamond"/>
          <w:sz w:val="24"/>
          <w:szCs w:val="24"/>
        </w:rPr>
        <w:t>Leiden gegen Apartheid”</w:t>
      </w:r>
      <w:r>
        <w:rPr>
          <w:rFonts w:ascii="Garamond" w:hAnsi="Garamond" w:cs="Garamond"/>
          <w:sz w:val="24"/>
          <w:szCs w:val="24"/>
        </w:rPr>
        <w:t>. Leiden: BOA</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3064A9">
        <w:rPr>
          <w:rFonts w:ascii="Garamond" w:hAnsi="Garamond" w:cs="Garamond"/>
          <w:sz w:val="24"/>
          <w:szCs w:val="24"/>
        </w:rPr>
        <w:t xml:space="preserve">BOA (1982) </w:t>
      </w:r>
      <w:r w:rsidRPr="003064A9">
        <w:rPr>
          <w:rFonts w:ascii="Garamond" w:hAnsi="Garamond" w:cs="Garamond"/>
          <w:i/>
          <w:iCs/>
          <w:sz w:val="24"/>
          <w:szCs w:val="24"/>
        </w:rPr>
        <w:t xml:space="preserve">Perspektief. </w:t>
      </w:r>
      <w:r w:rsidRPr="003064A9">
        <w:rPr>
          <w:rFonts w:ascii="Garamond" w:hAnsi="Garamond" w:cs="Garamond"/>
          <w:sz w:val="24"/>
          <w:szCs w:val="24"/>
        </w:rPr>
        <w:t>Leiden: BOA</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3064A9">
        <w:rPr>
          <w:rFonts w:ascii="Garamond" w:hAnsi="Garamond" w:cs="Garamond"/>
          <w:sz w:val="24"/>
          <w:szCs w:val="24"/>
        </w:rPr>
        <w:t xml:space="preserve">BOA (1983) </w:t>
      </w:r>
      <w:r w:rsidRPr="003064A9">
        <w:rPr>
          <w:rFonts w:ascii="Garamond" w:hAnsi="Garamond" w:cs="Garamond"/>
          <w:i/>
          <w:iCs/>
          <w:sz w:val="24"/>
          <w:szCs w:val="24"/>
        </w:rPr>
        <w:t xml:space="preserve">Perspektief. </w:t>
      </w:r>
      <w:r w:rsidRPr="003064A9">
        <w:rPr>
          <w:rFonts w:ascii="Garamond" w:hAnsi="Garamond" w:cs="Garamond"/>
          <w:sz w:val="24"/>
          <w:szCs w:val="24"/>
        </w:rPr>
        <w:t>Leiden: BOA</w:t>
      </w:r>
    </w:p>
    <w:p w:rsidR="0001718F" w:rsidRPr="00EE522C" w:rsidRDefault="0001718F" w:rsidP="007437F5">
      <w:pPr>
        <w:autoSpaceDE w:val="0"/>
        <w:autoSpaceDN w:val="0"/>
        <w:adjustRightInd w:val="0"/>
        <w:spacing w:after="0" w:line="240" w:lineRule="auto"/>
        <w:ind w:hanging="720"/>
        <w:rPr>
          <w:rFonts w:ascii="Garamond" w:hAnsi="Garamond" w:cs="Garamond"/>
          <w:sz w:val="24"/>
          <w:szCs w:val="24"/>
        </w:rPr>
      </w:pPr>
      <w:r>
        <w:rPr>
          <w:rFonts w:ascii="Garamond" w:hAnsi="Garamond" w:cs="Garamond"/>
          <w:sz w:val="24"/>
          <w:szCs w:val="24"/>
        </w:rPr>
        <w:t xml:space="preserve">BOA (1984) </w:t>
      </w:r>
      <w:r>
        <w:rPr>
          <w:rFonts w:ascii="Garamond" w:hAnsi="Garamond" w:cs="Garamond"/>
          <w:i/>
          <w:sz w:val="24"/>
          <w:szCs w:val="24"/>
        </w:rPr>
        <w:t xml:space="preserve">Brief description of the activities and work of the BOA on the occasion of the visit of the Special Committee Against Apartheid of the United Nations. </w:t>
      </w:r>
      <w:r>
        <w:rPr>
          <w:rFonts w:ascii="Garamond" w:hAnsi="Garamond" w:cs="Garamond"/>
          <w:sz w:val="24"/>
          <w:szCs w:val="24"/>
        </w:rPr>
        <w:t>Dossier. Leiden: BOA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Boehmer, E (2005) </w:t>
      </w:r>
      <w:r w:rsidRPr="009B6D32">
        <w:rPr>
          <w:rFonts w:ascii="Garamond" w:hAnsi="Garamond" w:cs="Garamond"/>
          <w:i/>
          <w:sz w:val="24"/>
          <w:szCs w:val="24"/>
        </w:rPr>
        <w:t xml:space="preserve">Empire, the National, and the Postcolonial. </w:t>
      </w:r>
      <w:r w:rsidRPr="009B6D32">
        <w:rPr>
          <w:rFonts w:ascii="Garamond" w:hAnsi="Garamond" w:cs="Garamond"/>
          <w:sz w:val="24"/>
          <w:szCs w:val="24"/>
        </w:rPr>
        <w:t>Oxford: Oxford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Bolsmann, C. (2007) ‘Trade Union Internationalism and Solidarity in the Struggle Against Apartheid: A Case Study of Volkswagen’, </w:t>
      </w:r>
      <w:r w:rsidRPr="009B6D32">
        <w:rPr>
          <w:rFonts w:ascii="Garamond" w:hAnsi="Garamond" w:cs="Garamond"/>
          <w:i/>
          <w:iCs/>
          <w:color w:val="000000"/>
          <w:sz w:val="24"/>
          <w:szCs w:val="24"/>
          <w:shd w:val="clear" w:color="auto" w:fill="FFFFFF"/>
        </w:rPr>
        <w:t>Historical Studies in Industrial Relations</w:t>
      </w:r>
      <w:r w:rsidRPr="009B6D32">
        <w:rPr>
          <w:rFonts w:ascii="Garamond" w:hAnsi="Garamond" w:cs="Garamond"/>
          <w:color w:val="000000"/>
          <w:sz w:val="24"/>
          <w:szCs w:val="24"/>
          <w:shd w:val="clear" w:color="auto" w:fill="FFFFFF"/>
        </w:rPr>
        <w:t>, 23/24, pp. 103-124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Boltanski, L. (1999) </w:t>
      </w:r>
      <w:r w:rsidRPr="009B6D32">
        <w:rPr>
          <w:rFonts w:ascii="Garamond" w:hAnsi="Garamond" w:cs="Garamond"/>
          <w:i/>
          <w:iCs/>
          <w:sz w:val="24"/>
          <w:szCs w:val="24"/>
          <w:lang w:val="en-US"/>
        </w:rPr>
        <w:t xml:space="preserve">Distant Suffering, Morality and Politics. </w:t>
      </w:r>
      <w:r w:rsidRPr="009B6D32">
        <w:rPr>
          <w:rFonts w:ascii="Garamond" w:hAnsi="Garamond" w:cs="Garamond"/>
          <w:sz w:val="24"/>
          <w:szCs w:val="24"/>
          <w:lang w:val="en-US"/>
        </w:rPr>
        <w:t>Cambridge: Cambridge University Press</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cs="Verdana"/>
          <w:sz w:val="24"/>
          <w:szCs w:val="24"/>
        </w:rPr>
        <w:t xml:space="preserve">Bonnett, A. (2000a) </w:t>
      </w:r>
      <w:r w:rsidRPr="009B6D32">
        <w:rPr>
          <w:rFonts w:ascii="Garamond" w:hAnsi="Garamond" w:cs="Verdana"/>
          <w:i/>
          <w:sz w:val="24"/>
          <w:szCs w:val="24"/>
        </w:rPr>
        <w:t>Anti-Racism</w:t>
      </w:r>
      <w:r w:rsidRPr="009B6D32">
        <w:rPr>
          <w:rFonts w:ascii="Garamond" w:hAnsi="Garamond" w:cs="Verdana"/>
          <w:sz w:val="24"/>
          <w:szCs w:val="24"/>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Bonnett, A. (2000b) </w:t>
      </w:r>
      <w:r w:rsidRPr="009B6D32">
        <w:rPr>
          <w:rFonts w:ascii="Garamond" w:hAnsi="Garamond" w:cs="Garamond"/>
          <w:i/>
          <w:iCs/>
          <w:sz w:val="24"/>
          <w:szCs w:val="24"/>
          <w:lang w:val="en-US"/>
        </w:rPr>
        <w:t xml:space="preserve">White Identities – Historical and International Perspectives. </w:t>
      </w:r>
      <w:r w:rsidRPr="009B6D32">
        <w:rPr>
          <w:rFonts w:ascii="Garamond" w:hAnsi="Garamond" w:cs="Garamond"/>
          <w:sz w:val="24"/>
          <w:szCs w:val="24"/>
          <w:lang w:val="en-US"/>
        </w:rPr>
        <w:t>Harlow: Prentice Hall</w:t>
      </w:r>
    </w:p>
    <w:p w:rsidR="0001718F" w:rsidRPr="009B6D32" w:rsidRDefault="0001718F" w:rsidP="007437F5">
      <w:pPr>
        <w:autoSpaceDE w:val="0"/>
        <w:autoSpaceDN w:val="0"/>
        <w:adjustRightInd w:val="0"/>
        <w:spacing w:after="0" w:line="240" w:lineRule="auto"/>
        <w:ind w:hanging="720"/>
        <w:rPr>
          <w:rFonts w:ascii="Garamond" w:hAnsi="Garamond" w:cs="Times New Roman"/>
          <w:sz w:val="24"/>
          <w:szCs w:val="24"/>
          <w:lang w:val="en-US"/>
        </w:rPr>
      </w:pPr>
      <w:r w:rsidRPr="009B6D32">
        <w:rPr>
          <w:rFonts w:ascii="Garamond" w:hAnsi="Garamond" w:cs="Garamond"/>
          <w:sz w:val="24"/>
          <w:szCs w:val="24"/>
        </w:rPr>
        <w:t>Bosgra ,S. and du Plessis, E. (2009)</w:t>
      </w:r>
      <w:r w:rsidRPr="009B6D32">
        <w:rPr>
          <w:rFonts w:ascii="Garamond" w:hAnsi="Garamond" w:cs="Garamond"/>
          <w:i/>
          <w:iCs/>
          <w:sz w:val="24"/>
          <w:szCs w:val="24"/>
        </w:rPr>
        <w:t xml:space="preserve"> An Open Letter to Sietse Bosgra.</w:t>
      </w:r>
      <w:r w:rsidRPr="009B6D32">
        <w:rPr>
          <w:rFonts w:ascii="Garamond" w:hAnsi="Garamond" w:cs="Garamond"/>
          <w:sz w:val="24"/>
          <w:szCs w:val="24"/>
        </w:rPr>
        <w:t xml:space="preserve"> http://www.sadet.co.za/docs/blog_openletter1.pdf. Accessed 11 December 2010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Bosgra, S. (2008)</w:t>
      </w:r>
      <w:r w:rsidRPr="009B6D32">
        <w:rPr>
          <w:rFonts w:ascii="Garamond" w:hAnsi="Garamond" w:cs="Garamond"/>
          <w:i/>
          <w:iCs/>
          <w:sz w:val="24"/>
          <w:szCs w:val="24"/>
        </w:rPr>
        <w:t xml:space="preserve"> ‘</w:t>
      </w:r>
      <w:r w:rsidRPr="009B6D32">
        <w:rPr>
          <w:rFonts w:ascii="Garamond" w:hAnsi="Garamond" w:cs="Garamond"/>
          <w:sz w:val="24"/>
          <w:szCs w:val="24"/>
        </w:rPr>
        <w:t>From Jan van Riebeeck to solidarity with the struggle: The Netherlands, South Africa and apartheid’, in Houston, G. (ed.)</w:t>
      </w:r>
      <w:r w:rsidRPr="009B6D32">
        <w:rPr>
          <w:rFonts w:ascii="Garamond" w:hAnsi="Garamond" w:cs="Garamond"/>
          <w:i/>
          <w:iCs/>
          <w:sz w:val="24"/>
          <w:szCs w:val="24"/>
        </w:rPr>
        <w:t xml:space="preserve"> </w:t>
      </w:r>
      <w:r w:rsidRPr="009B6D32">
        <w:rPr>
          <w:rStyle w:val="Emphasis"/>
          <w:rFonts w:ascii="Garamond" w:hAnsi="Garamond" w:cs="Garamond"/>
          <w:sz w:val="24"/>
          <w:szCs w:val="24"/>
        </w:rPr>
        <w:t>The Road to Democracy in South Africa, Volume 3, Part 1:</w:t>
      </w:r>
      <w:r w:rsidRPr="009B6D32">
        <w:rPr>
          <w:rFonts w:ascii="Garamond" w:hAnsi="Garamond" w:cs="Garamond"/>
          <w:i/>
          <w:iCs/>
          <w:sz w:val="24"/>
          <w:szCs w:val="24"/>
        </w:rPr>
        <w:t xml:space="preserve"> International Solidarity</w:t>
      </w:r>
      <w:r w:rsidRPr="009B6D32">
        <w:rPr>
          <w:rFonts w:ascii="Garamond" w:hAnsi="Garamond" w:cs="Garamond"/>
          <w:sz w:val="24"/>
          <w:szCs w:val="24"/>
        </w:rPr>
        <w:t>. Pretoria: South African Democracy Education Trust (SADET), pp. 533-621</w:t>
      </w: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Garamond"/>
          <w:color w:val="000000"/>
          <w:sz w:val="24"/>
          <w:szCs w:val="24"/>
          <w:shd w:val="clear" w:color="auto" w:fill="FFFFFF"/>
        </w:rPr>
        <w:t>Boucher, E. (2009) ‘The Limits of Potential: Race, Welfare, and the Interwar Extension of Child Emigration to Southern Rhodesia’,</w:t>
      </w:r>
      <w:r w:rsidRPr="009B6D32">
        <w:rPr>
          <w:rStyle w:val="apple-converted-space"/>
          <w:rFonts w:ascii="Garamond" w:hAnsi="Garamond" w:cs="Garamond"/>
          <w:color w:val="000000"/>
          <w:sz w:val="24"/>
          <w:szCs w:val="24"/>
          <w:shd w:val="clear" w:color="auto" w:fill="FFFFFF"/>
        </w:rPr>
        <w:t> </w:t>
      </w:r>
      <w:r w:rsidRPr="009B6D32">
        <w:rPr>
          <w:rStyle w:val="Emphasis"/>
          <w:rFonts w:ascii="Garamond" w:hAnsi="Garamond" w:cs="Garamond"/>
          <w:color w:val="000000"/>
          <w:sz w:val="24"/>
          <w:szCs w:val="24"/>
          <w:shd w:val="clear" w:color="auto" w:fill="FFFFFF"/>
        </w:rPr>
        <w:t>Journal of British Studies,</w:t>
      </w:r>
      <w:r w:rsidRPr="009B6D32">
        <w:rPr>
          <w:rStyle w:val="apple-converted-space"/>
          <w:rFonts w:ascii="Garamond" w:hAnsi="Garamond" w:cs="Garamond"/>
          <w:color w:val="000000"/>
          <w:sz w:val="24"/>
          <w:szCs w:val="24"/>
          <w:shd w:val="clear" w:color="auto" w:fill="FFFFFF"/>
        </w:rPr>
        <w:t> </w:t>
      </w:r>
      <w:r w:rsidRPr="009B6D32">
        <w:rPr>
          <w:rFonts w:ascii="Garamond" w:hAnsi="Garamond" w:cs="Garamond"/>
          <w:color w:val="000000"/>
          <w:sz w:val="24"/>
          <w:szCs w:val="24"/>
          <w:shd w:val="clear" w:color="auto" w:fill="FFFFFF"/>
        </w:rPr>
        <w:t>48(4), pp. 914-934</w:t>
      </w:r>
    </w:p>
    <w:p w:rsidR="0001718F" w:rsidRPr="009B6D32" w:rsidRDefault="0001718F" w:rsidP="007437F5">
      <w:pPr>
        <w:autoSpaceDE w:val="0"/>
        <w:autoSpaceDN w:val="0"/>
        <w:adjustRightInd w:val="0"/>
        <w:spacing w:after="0" w:line="240" w:lineRule="auto"/>
        <w:ind w:hanging="720"/>
        <w:rPr>
          <w:rFonts w:ascii="Garamond" w:hAnsi="Garamond" w:cs="Times New Roman"/>
          <w:sz w:val="24"/>
          <w:szCs w:val="24"/>
          <w:lang w:val="en-US"/>
        </w:rPr>
      </w:pPr>
      <w:r w:rsidRPr="009B6D32">
        <w:rPr>
          <w:rFonts w:ascii="Garamond" w:hAnsi="Garamond" w:cs="Times New Roman"/>
          <w:sz w:val="24"/>
          <w:szCs w:val="24"/>
          <w:lang w:val="en-US"/>
        </w:rPr>
        <w:t xml:space="preserve">Bourdieu, P. (1984) </w:t>
      </w:r>
      <w:r w:rsidRPr="009B6D32">
        <w:rPr>
          <w:rFonts w:ascii="Garamond" w:hAnsi="Garamond" w:cs="Times New Roman"/>
          <w:i/>
          <w:iCs/>
          <w:sz w:val="24"/>
          <w:szCs w:val="24"/>
          <w:lang w:val="en-US"/>
        </w:rPr>
        <w:t xml:space="preserve">Distinction. A Social Critique for the Judgment of Taste. </w:t>
      </w:r>
      <w:r w:rsidRPr="009B6D32">
        <w:rPr>
          <w:rFonts w:ascii="Garamond" w:hAnsi="Garamond" w:cs="Times New Roman"/>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Braganca, A. and Wallerstein, I. (1982) </w:t>
      </w:r>
      <w:r w:rsidRPr="009B6D32">
        <w:rPr>
          <w:rFonts w:ascii="Garamond" w:hAnsi="Garamond" w:cs="Garamond"/>
          <w:i/>
          <w:iCs/>
          <w:sz w:val="24"/>
          <w:szCs w:val="24"/>
        </w:rPr>
        <w:t xml:space="preserve">The African Liberation Reader: Volume 2 The International Liberation Movements. </w:t>
      </w:r>
      <w:r w:rsidRPr="009B6D32">
        <w:rPr>
          <w:rFonts w:ascii="Garamond" w:hAnsi="Garamond" w:cs="Garamond"/>
          <w:sz w:val="24"/>
          <w:szCs w:val="24"/>
        </w:rPr>
        <w:t>London: Zed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Braudel, F. (1979) </w:t>
      </w:r>
      <w:r w:rsidRPr="009B6D32">
        <w:rPr>
          <w:rFonts w:ascii="Garamond" w:hAnsi="Garamond" w:cs="Garamond"/>
          <w:i/>
          <w:iCs/>
          <w:sz w:val="24"/>
          <w:szCs w:val="24"/>
          <w:lang w:val="en-US"/>
        </w:rPr>
        <w:t xml:space="preserve">Civilization </w:t>
      </w:r>
      <w:r w:rsidR="00F152DB">
        <w:rPr>
          <w:rFonts w:ascii="Garamond" w:hAnsi="Garamond" w:cs="Garamond"/>
          <w:i/>
          <w:iCs/>
          <w:sz w:val="24"/>
          <w:szCs w:val="24"/>
          <w:lang w:val="en-US"/>
        </w:rPr>
        <w:t>and</w:t>
      </w:r>
      <w:r w:rsidRPr="009B6D32">
        <w:rPr>
          <w:rFonts w:ascii="Garamond" w:hAnsi="Garamond" w:cs="Garamond"/>
          <w:i/>
          <w:iCs/>
          <w:sz w:val="24"/>
          <w:szCs w:val="24"/>
          <w:lang w:val="en-US"/>
        </w:rPr>
        <w:t xml:space="preserve"> Capitalism 15-18</w:t>
      </w:r>
      <w:r w:rsidRPr="009B6D32">
        <w:rPr>
          <w:rFonts w:ascii="Garamond" w:hAnsi="Garamond" w:cs="Garamond"/>
          <w:i/>
          <w:iCs/>
          <w:sz w:val="24"/>
          <w:szCs w:val="24"/>
          <w:vertAlign w:val="superscript"/>
          <w:lang w:val="en-US"/>
        </w:rPr>
        <w:t>th</w:t>
      </w:r>
      <w:r w:rsidRPr="009B6D32">
        <w:rPr>
          <w:rFonts w:ascii="Garamond" w:hAnsi="Garamond" w:cs="Garamond"/>
          <w:i/>
          <w:iCs/>
          <w:sz w:val="24"/>
          <w:szCs w:val="24"/>
          <w:lang w:val="en-US"/>
        </w:rPr>
        <w:t xml:space="preserve"> Century – Volume 2, The Wheels of Commerce. </w:t>
      </w:r>
      <w:r w:rsidRPr="009B6D32">
        <w:rPr>
          <w:rFonts w:ascii="Garamond" w:hAnsi="Garamond" w:cs="Garamond"/>
          <w:sz w:val="24"/>
          <w:szCs w:val="24"/>
          <w:lang w:val="en-US"/>
        </w:rPr>
        <w:t>New York: Harpers &amp; Row Publishers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Breen, T.H. (1988) ‘Baubles of Britain: The American and European Consumer Revolutions of the Eighteenth Century’, </w:t>
      </w:r>
      <w:r w:rsidRPr="009B6D32">
        <w:rPr>
          <w:rFonts w:ascii="Garamond" w:hAnsi="Garamond" w:cs="Garamond"/>
          <w:i/>
          <w:iCs/>
          <w:sz w:val="24"/>
          <w:szCs w:val="24"/>
          <w:lang w:val="en-US"/>
        </w:rPr>
        <w:t xml:space="preserve">Past and Present, </w:t>
      </w:r>
      <w:r w:rsidRPr="009B6D32">
        <w:rPr>
          <w:rFonts w:ascii="Garamond" w:hAnsi="Garamond" w:cs="Garamond"/>
          <w:sz w:val="24"/>
          <w:szCs w:val="24"/>
          <w:lang w:val="en-US"/>
        </w:rPr>
        <w:t>119, pp. 73-104</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Breen, T.H. (1993) ‘The Meaning of Things: Interpreting the Consumer Economy of the Eighteenth Century’,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249-260</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Breen, T.H. (2005) </w:t>
      </w:r>
      <w:r w:rsidRPr="009B6D32">
        <w:rPr>
          <w:rFonts w:ascii="Garamond" w:hAnsi="Garamond" w:cs="Garamond"/>
          <w:i/>
          <w:sz w:val="24"/>
          <w:szCs w:val="24"/>
        </w:rPr>
        <w:t xml:space="preserve">Marketplace of Revolution: How Consumer Politics Shaped American Independence. </w:t>
      </w:r>
      <w:r w:rsidRPr="009B6D32">
        <w:rPr>
          <w:rFonts w:ascii="Garamond" w:hAnsi="Garamond" w:cs="Garamond"/>
          <w:sz w:val="24"/>
          <w:szCs w:val="24"/>
        </w:rPr>
        <w:t>Oxford: Oxford University Press</w:t>
      </w:r>
    </w:p>
    <w:p w:rsidR="0001718F" w:rsidRPr="009B6D32" w:rsidRDefault="0001718F" w:rsidP="007437F5">
      <w:pPr>
        <w:spacing w:after="0"/>
        <w:ind w:hanging="720"/>
        <w:rPr>
          <w:rFonts w:ascii="Garamond" w:hAnsi="Garamond" w:cs="Garamond"/>
          <w:sz w:val="24"/>
          <w:szCs w:val="24"/>
        </w:rPr>
      </w:pPr>
      <w:r w:rsidRPr="009B6D32">
        <w:rPr>
          <w:rFonts w:ascii="Garamond" w:hAnsi="Garamond"/>
          <w:sz w:val="24"/>
          <w:szCs w:val="24"/>
          <w:lang w:val="en-US"/>
        </w:rPr>
        <w:t>Brewer, J. and Trentmann, F. (</w:t>
      </w:r>
      <w:r w:rsidRPr="009B6D32">
        <w:rPr>
          <w:rFonts w:ascii="Garamond" w:hAnsi="Garamond"/>
          <w:sz w:val="24"/>
          <w:szCs w:val="24"/>
        </w:rPr>
        <w:t xml:space="preserve">eds.) (2006) </w:t>
      </w:r>
      <w:r w:rsidRPr="009B6D32">
        <w:rPr>
          <w:rFonts w:ascii="Garamond" w:hAnsi="Garamond"/>
          <w:i/>
          <w:sz w:val="24"/>
          <w:szCs w:val="24"/>
        </w:rPr>
        <w:t>Consuming Cultures, Global Perspectives</w:t>
      </w:r>
      <w:r w:rsidRPr="009B6D32">
        <w:rPr>
          <w:rFonts w:ascii="Garamond" w:hAnsi="Garamond"/>
          <w:sz w:val="24"/>
          <w:szCs w:val="24"/>
        </w:rPr>
        <w:t>. Oxford: Berg</w:t>
      </w:r>
    </w:p>
    <w:p w:rsidR="0001718F" w:rsidRPr="009B6D32" w:rsidRDefault="0001718F" w:rsidP="007437F5">
      <w:pPr>
        <w:spacing w:after="0"/>
        <w:ind w:hanging="720"/>
        <w:rPr>
          <w:rFonts w:ascii="Garamond" w:hAnsi="Garamond"/>
          <w:sz w:val="24"/>
          <w:szCs w:val="24"/>
        </w:rPr>
      </w:pPr>
      <w:r w:rsidRPr="009B6D32">
        <w:rPr>
          <w:rFonts w:ascii="Garamond" w:hAnsi="Garamond"/>
          <w:sz w:val="24"/>
          <w:szCs w:val="24"/>
        </w:rPr>
        <w:t xml:space="preserve">Brooker, G. (1976) ‘The Self-Actualizing Socially Conscious Consumer’, </w:t>
      </w:r>
      <w:r w:rsidRPr="009B6D32">
        <w:rPr>
          <w:rFonts w:ascii="Garamond" w:hAnsi="Garamond"/>
          <w:i/>
          <w:sz w:val="24"/>
          <w:szCs w:val="24"/>
        </w:rPr>
        <w:t>Journal of Consumer Research</w:t>
      </w:r>
      <w:r w:rsidRPr="009B6D32">
        <w:rPr>
          <w:rFonts w:ascii="Garamond" w:hAnsi="Garamond"/>
          <w:sz w:val="24"/>
          <w:szCs w:val="24"/>
        </w:rPr>
        <w:t xml:space="preserve">, 3(2), pp. 107-112 </w:t>
      </w:r>
    </w:p>
    <w:p w:rsidR="0001718F" w:rsidRPr="009B6D32" w:rsidRDefault="0001718F" w:rsidP="007437F5">
      <w:pPr>
        <w:spacing w:after="0"/>
        <w:ind w:hanging="720"/>
        <w:rPr>
          <w:rFonts w:ascii="Garamond" w:hAnsi="Garamond" w:cs="Garamond"/>
          <w:sz w:val="24"/>
          <w:szCs w:val="24"/>
        </w:rPr>
      </w:pPr>
      <w:r w:rsidRPr="009B6D32">
        <w:rPr>
          <w:rFonts w:ascii="Garamond" w:hAnsi="Garamond"/>
          <w:sz w:val="24"/>
          <w:szCs w:val="24"/>
        </w:rPr>
        <w:t xml:space="preserve">Brown, C. (2006) </w:t>
      </w:r>
      <w:r w:rsidRPr="009B6D32">
        <w:rPr>
          <w:rFonts w:ascii="Garamond" w:hAnsi="Garamond"/>
          <w:i/>
          <w:sz w:val="24"/>
          <w:szCs w:val="24"/>
        </w:rPr>
        <w:t>Moral Capital: Foundations of British Abolitionism</w:t>
      </w:r>
      <w:r w:rsidRPr="009B6D32">
        <w:rPr>
          <w:rFonts w:ascii="Garamond" w:hAnsi="Garamond"/>
          <w:sz w:val="24"/>
          <w:szCs w:val="24"/>
        </w:rPr>
        <w:t>. Chapel Hill: University</w:t>
      </w:r>
      <w:r w:rsidRPr="009B6D32">
        <w:rPr>
          <w:rFonts w:ascii="Garamond" w:hAnsi="Garamond"/>
          <w:sz w:val="24"/>
          <w:szCs w:val="24"/>
          <w:lang w:val="en-US"/>
        </w:rPr>
        <w:t xml:space="preserve"> of Northern Carolina Press</w:t>
      </w:r>
    </w:p>
    <w:p w:rsidR="0001718F" w:rsidRPr="009B6D32" w:rsidRDefault="0001718F" w:rsidP="007437F5">
      <w:pPr>
        <w:spacing w:after="0"/>
        <w:ind w:hanging="720"/>
        <w:rPr>
          <w:rFonts w:ascii="Garamond" w:hAnsi="Garamond" w:cs="Garamond"/>
          <w:sz w:val="24"/>
          <w:szCs w:val="24"/>
        </w:rPr>
      </w:pPr>
      <w:r w:rsidRPr="009B6D32">
        <w:rPr>
          <w:rFonts w:ascii="Garamond" w:hAnsi="Garamond"/>
          <w:sz w:val="24"/>
          <w:szCs w:val="24"/>
        </w:rPr>
        <w:t xml:space="preserve">Brown, G. and Pickerill, J. (2009) ‘Space for Emotion in the Spaces of Activism’, </w:t>
      </w:r>
      <w:r w:rsidRPr="009B6D32">
        <w:rPr>
          <w:rFonts w:ascii="Garamond" w:hAnsi="Garamond"/>
          <w:i/>
          <w:sz w:val="24"/>
          <w:szCs w:val="24"/>
        </w:rPr>
        <w:t>Emotion, Space and Society</w:t>
      </w:r>
      <w:r w:rsidRPr="009B6D32">
        <w:rPr>
          <w:rFonts w:ascii="Garamond" w:hAnsi="Garamond"/>
          <w:sz w:val="24"/>
          <w:szCs w:val="24"/>
        </w:rPr>
        <w:t>, 2(1), pp. 24-35</w:t>
      </w:r>
    </w:p>
    <w:p w:rsidR="0001718F" w:rsidRPr="009B6D32" w:rsidRDefault="0001718F" w:rsidP="007437F5">
      <w:pPr>
        <w:spacing w:after="0"/>
        <w:ind w:hanging="720"/>
        <w:rPr>
          <w:rFonts w:ascii="Garamond" w:hAnsi="Garamond" w:cs="Garamond"/>
          <w:sz w:val="24"/>
          <w:szCs w:val="24"/>
        </w:rPr>
      </w:pPr>
      <w:r w:rsidRPr="009B6D32">
        <w:rPr>
          <w:rFonts w:ascii="Garamond" w:hAnsi="Garamond"/>
          <w:sz w:val="24"/>
          <w:szCs w:val="24"/>
        </w:rPr>
        <w:t xml:space="preserve">Brown, G. and Yaffe, H. (2013) ‘Practices of Solidarity: Opposing Apartheid in the Centre of London’, </w:t>
      </w:r>
      <w:r w:rsidRPr="009B6D32">
        <w:rPr>
          <w:rFonts w:ascii="Garamond" w:hAnsi="Garamond" w:cs="Arial"/>
          <w:i/>
          <w:color w:val="000000"/>
          <w:sz w:val="24"/>
          <w:szCs w:val="24"/>
          <w:shd w:val="clear" w:color="auto" w:fill="FFFFFF"/>
        </w:rPr>
        <w:t>Antipode</w:t>
      </w:r>
      <w:r w:rsidRPr="009B6D32">
        <w:rPr>
          <w:rFonts w:ascii="Garamond" w:hAnsi="Garamond" w:cs="Arial"/>
          <w:color w:val="000000"/>
          <w:sz w:val="24"/>
          <w:szCs w:val="24"/>
          <w:shd w:val="clear" w:color="auto" w:fill="FFFFFF"/>
        </w:rPr>
        <w:t>,  doi: 10.1111/anti.12037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lastRenderedPageBreak/>
        <w:t>Brown, S. (2011) ‘A topology of the sensible: Michel Serres' Five Senses’. Unpublished Paper. Available at: http://www.academia.edu/719980/A_topology_of_the_sensible_Michel_Serres_ Five_Senses, [accessed 12 September 2013].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Browne, K. (2008) 'Lesbian Geographies'. </w:t>
      </w:r>
      <w:r w:rsidRPr="009B6D32">
        <w:rPr>
          <w:rFonts w:ascii="Garamond" w:hAnsi="Garamond" w:cs="Garamond"/>
          <w:i/>
          <w:sz w:val="24"/>
          <w:szCs w:val="24"/>
          <w:lang w:val="en-US"/>
        </w:rPr>
        <w:t xml:space="preserve">Social </w:t>
      </w:r>
      <w:r w:rsidR="00F152DB">
        <w:rPr>
          <w:rFonts w:ascii="Garamond" w:hAnsi="Garamond" w:cs="Garamond"/>
          <w:i/>
          <w:sz w:val="24"/>
          <w:szCs w:val="24"/>
          <w:lang w:val="en-US"/>
        </w:rPr>
        <w:t>and</w:t>
      </w:r>
      <w:r w:rsidRPr="009B6D32">
        <w:rPr>
          <w:rFonts w:ascii="Garamond" w:hAnsi="Garamond" w:cs="Garamond"/>
          <w:i/>
          <w:sz w:val="24"/>
          <w:szCs w:val="24"/>
          <w:lang w:val="en-US"/>
        </w:rPr>
        <w:t xml:space="preserve"> Cultural Geography, </w:t>
      </w:r>
      <w:r w:rsidRPr="009B6D32">
        <w:rPr>
          <w:rFonts w:ascii="Garamond" w:hAnsi="Garamond" w:cs="Garamond"/>
          <w:sz w:val="24"/>
          <w:szCs w:val="24"/>
          <w:lang w:val="en-US"/>
        </w:rPr>
        <w:t>8(1), pp. 1-7</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Verdana"/>
          <w:sz w:val="24"/>
          <w:szCs w:val="24"/>
        </w:rPr>
        <w:t xml:space="preserve">Bryant, L. (2012) </w:t>
      </w:r>
      <w:r w:rsidRPr="009B6D32">
        <w:rPr>
          <w:rFonts w:ascii="Garamond" w:hAnsi="Garamond" w:cs="Verdana"/>
          <w:i/>
          <w:sz w:val="24"/>
          <w:szCs w:val="24"/>
        </w:rPr>
        <w:t>Larval Subjects</w:t>
      </w:r>
      <w:r w:rsidRPr="009B6D32">
        <w:rPr>
          <w:rFonts w:ascii="Garamond" w:hAnsi="Garamond" w:cs="Verdana"/>
          <w:sz w:val="24"/>
          <w:szCs w:val="24"/>
        </w:rPr>
        <w:t xml:space="preserve">. Online Blog. Available at </w:t>
      </w:r>
      <w:r w:rsidRPr="009B6D32">
        <w:rPr>
          <w:rFonts w:ascii="Garamond" w:hAnsi="Garamond"/>
          <w:sz w:val="24"/>
          <w:szCs w:val="24"/>
        </w:rPr>
        <w:t>http://larvalsubjects.wordpress.com /2011/05/24/a-brief-remark-on-actants/ (Accessed: 23 August 2012)</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Bryant, M., and Goodman, R. (2004) ‘Consuming Narratives: The political ecology of </w:t>
      </w:r>
      <w:r w:rsidRPr="009B6D32">
        <w:rPr>
          <w:rFonts w:ascii="Garamond" w:hAnsi="Garamond" w:cs="Garamond"/>
          <w:sz w:val="24"/>
          <w:szCs w:val="24"/>
        </w:rPr>
        <w:t>“</w:t>
      </w:r>
      <w:r w:rsidRPr="009B6D32">
        <w:rPr>
          <w:rFonts w:ascii="Garamond" w:hAnsi="Garamond" w:cs="Garamond"/>
          <w:sz w:val="24"/>
          <w:szCs w:val="24"/>
          <w:lang w:val="en-US"/>
        </w:rPr>
        <w:t>alternative” consumption</w:t>
      </w:r>
      <w:r w:rsidRPr="009B6D32">
        <w:rPr>
          <w:rFonts w:ascii="Garamond" w:hAnsi="Garamond" w:cs="Garamond"/>
          <w:sz w:val="24"/>
          <w:szCs w:val="24"/>
        </w:rPr>
        <w:t>’</w:t>
      </w:r>
      <w:r w:rsidRPr="009B6D32">
        <w:rPr>
          <w:rFonts w:ascii="Garamond" w:hAnsi="Garamond" w:cs="Garamond"/>
          <w:sz w:val="24"/>
          <w:szCs w:val="24"/>
          <w:lang w:val="en-US"/>
        </w:rPr>
        <w:t xml:space="preserve">, </w:t>
      </w:r>
      <w:r w:rsidRPr="009B6D32">
        <w:rPr>
          <w:rFonts w:ascii="Garamond" w:hAnsi="Garamond" w:cs="Garamond"/>
          <w:i/>
          <w:iCs/>
          <w:sz w:val="24"/>
          <w:szCs w:val="24"/>
          <w:lang w:val="en-US"/>
        </w:rPr>
        <w:t xml:space="preserve">Transactions of the Institute of British Geographers, </w:t>
      </w:r>
      <w:r w:rsidRPr="009B6D32">
        <w:rPr>
          <w:rFonts w:ascii="Garamond" w:hAnsi="Garamond" w:cs="Garamond"/>
          <w:sz w:val="24"/>
          <w:szCs w:val="24"/>
          <w:lang w:val="en-US"/>
        </w:rPr>
        <w:t>29(3), pp. 344-366</w:t>
      </w:r>
    </w:p>
    <w:p w:rsidR="0001718F" w:rsidRPr="009B6D32" w:rsidRDefault="0001718F" w:rsidP="007437F5">
      <w:pPr>
        <w:spacing w:after="0" w:line="240" w:lineRule="auto"/>
        <w:ind w:hanging="720"/>
        <w:rPr>
          <w:rFonts w:ascii="Garamond" w:hAnsi="Garamond" w:cs="Courier New"/>
          <w:color w:val="000000"/>
          <w:sz w:val="24"/>
          <w:szCs w:val="24"/>
        </w:rPr>
      </w:pPr>
      <w:r w:rsidRPr="009B6D32">
        <w:rPr>
          <w:rFonts w:ascii="Garamond" w:hAnsi="Garamond" w:cs="Garamond"/>
          <w:sz w:val="24"/>
          <w:szCs w:val="24"/>
          <w:lang w:val="en-US"/>
        </w:rPr>
        <w:t>Buck-Morss, S. (2000</w:t>
      </w:r>
      <w:r w:rsidRPr="009B6D32">
        <w:rPr>
          <w:rFonts w:ascii="Garamond" w:hAnsi="Garamond" w:cs="Garamond"/>
          <w:i/>
          <w:sz w:val="24"/>
          <w:szCs w:val="24"/>
          <w:lang w:val="en-US"/>
        </w:rPr>
        <w:t xml:space="preserve">) </w:t>
      </w:r>
      <w:r w:rsidRPr="009B6D32">
        <w:rPr>
          <w:rFonts w:ascii="Garamond" w:hAnsi="Garamond" w:cs="Courier New"/>
          <w:bCs/>
          <w:i/>
          <w:color w:val="000000"/>
          <w:sz w:val="24"/>
          <w:szCs w:val="24"/>
        </w:rPr>
        <w:t>Dreamworld and Catastrophe: The Passing of Mass Utopia in East and West</w:t>
      </w:r>
      <w:r w:rsidRPr="009B6D32">
        <w:rPr>
          <w:rFonts w:ascii="Garamond" w:hAnsi="Garamond" w:cs="Courier New"/>
          <w:bCs/>
          <w:color w:val="000000"/>
          <w:sz w:val="24"/>
          <w:szCs w:val="24"/>
        </w:rPr>
        <w:t xml:space="preserve">. </w:t>
      </w:r>
      <w:r w:rsidRPr="009B6D32">
        <w:rPr>
          <w:rFonts w:ascii="Garamond" w:hAnsi="Garamond" w:cs="Courier New"/>
          <w:color w:val="000000"/>
          <w:sz w:val="24"/>
          <w:szCs w:val="24"/>
        </w:rPr>
        <w:t>Cambridge: MIT</w:t>
      </w:r>
    </w:p>
    <w:p w:rsidR="0001718F" w:rsidRPr="009B6D32" w:rsidRDefault="0001718F" w:rsidP="007437F5">
      <w:pPr>
        <w:spacing w:after="0" w:line="240" w:lineRule="auto"/>
        <w:ind w:hanging="720"/>
        <w:rPr>
          <w:rFonts w:ascii="Garamond" w:hAnsi="Garamond" w:cs="Courier New"/>
          <w:i/>
          <w:sz w:val="24"/>
          <w:szCs w:val="24"/>
        </w:rPr>
      </w:pPr>
      <w:r w:rsidRPr="009B6D32">
        <w:rPr>
          <w:rFonts w:ascii="Garamond" w:hAnsi="Garamond" w:cs="Courier New"/>
          <w:sz w:val="24"/>
          <w:szCs w:val="24"/>
        </w:rPr>
        <w:t>Buehn A. and Schneider, F. (2009) '</w:t>
      </w:r>
      <w:r w:rsidRPr="009B6D32">
        <w:rPr>
          <w:rFonts w:ascii="Garamond" w:hAnsi="Garamond"/>
          <w:sz w:val="24"/>
          <w:szCs w:val="24"/>
        </w:rPr>
        <w:t xml:space="preserve"> Shadow Economies and Corruption All Over the World: Revised Estimates for 120 Countries', </w:t>
      </w:r>
      <w:r w:rsidRPr="009B6D32">
        <w:rPr>
          <w:rFonts w:ascii="Garamond" w:hAnsi="Garamond"/>
          <w:i/>
          <w:sz w:val="24"/>
          <w:szCs w:val="24"/>
        </w:rPr>
        <w:t xml:space="preserve">economics-ejpurnal.org. </w:t>
      </w:r>
      <w:r w:rsidRPr="009B6D32">
        <w:rPr>
          <w:rFonts w:ascii="Garamond" w:hAnsi="Garamond"/>
          <w:sz w:val="24"/>
          <w:szCs w:val="24"/>
        </w:rPr>
        <w:t xml:space="preserve">Online available at, </w:t>
      </w:r>
      <w:r w:rsidRPr="007437F5">
        <w:rPr>
          <w:rFonts w:ascii="Garamond" w:hAnsi="Garamond"/>
          <w:sz w:val="24"/>
          <w:szCs w:val="24"/>
        </w:rPr>
        <w:t>http://www.economics-ejournal.org/economics/journalarticles/2007-9</w:t>
      </w:r>
      <w:r w:rsidRPr="009B6D32">
        <w:rPr>
          <w:rFonts w:ascii="Garamond" w:hAnsi="Garamond"/>
          <w:sz w:val="24"/>
          <w:szCs w:val="24"/>
        </w:rPr>
        <w:t>. Accessed 11 April 2012</w:t>
      </w:r>
      <w:r w:rsidRPr="009B6D32">
        <w:rPr>
          <w:rFonts w:ascii="Garamond" w:hAnsi="Garamond"/>
          <w:i/>
          <w:sz w:val="24"/>
          <w:szCs w:val="24"/>
        </w:rPr>
        <w:t xml:space="preserve"> </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eastAsia="en-GB"/>
        </w:rPr>
        <w:t xml:space="preserve">Burgess, J., du Plessis, E., Murray, R., Fraenkel, P., Harvey, R., Lawrence, J., Ripkin, P. and Rodger, B. (1977) </w:t>
      </w:r>
      <w:r w:rsidRPr="009B6D32">
        <w:rPr>
          <w:rFonts w:ascii="Garamond" w:hAnsi="Garamond" w:cs="Garamond"/>
          <w:i/>
          <w:iCs/>
          <w:sz w:val="24"/>
          <w:szCs w:val="24"/>
          <w:lang w:eastAsia="en-GB"/>
        </w:rPr>
        <w:t xml:space="preserve">The Great White Hoax: South Africa’s International Propaganda Machine. </w:t>
      </w:r>
      <w:r w:rsidRPr="009B6D32">
        <w:rPr>
          <w:rFonts w:ascii="Garamond" w:hAnsi="Garamond" w:cs="Garamond"/>
          <w:sz w:val="24"/>
          <w:szCs w:val="24"/>
          <w:lang w:eastAsia="en-GB"/>
        </w:rPr>
        <w:t>London: Africa Bureau</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Buskes, J. (1955) </w:t>
      </w:r>
      <w:r w:rsidRPr="009B6D32">
        <w:rPr>
          <w:rFonts w:ascii="Garamond" w:hAnsi="Garamond"/>
          <w:i/>
          <w:sz w:val="24"/>
          <w:szCs w:val="24"/>
        </w:rPr>
        <w:t>Zuid Afrika’s Apartheidrbeleid Onantvaerbaar</w:t>
      </w:r>
      <w:r w:rsidRPr="009B6D32">
        <w:rPr>
          <w:rFonts w:ascii="Garamond" w:hAnsi="Garamond"/>
          <w:sz w:val="24"/>
          <w:szCs w:val="24"/>
        </w:rPr>
        <w:t>. Amsterdam: Babber Daamen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Butcher, M. (2010) ‘From ‘fish out of water’ to ‘fitting in’: the challenge of re-placing home in a mobile world’, </w:t>
      </w:r>
      <w:r w:rsidRPr="009B6D32">
        <w:rPr>
          <w:rFonts w:ascii="Garamond" w:hAnsi="Garamond" w:cs="Garamond"/>
          <w:i/>
          <w:iCs/>
          <w:sz w:val="24"/>
          <w:szCs w:val="24"/>
        </w:rPr>
        <w:t>Population, Space and Place</w:t>
      </w:r>
      <w:r w:rsidRPr="009B6D32">
        <w:rPr>
          <w:rFonts w:ascii="Garamond" w:hAnsi="Garamond" w:cs="Garamond"/>
          <w:sz w:val="24"/>
          <w:szCs w:val="24"/>
        </w:rPr>
        <w:t>, 16(1), pp. 23-36</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Butler, J. (1990) </w:t>
      </w:r>
      <w:r w:rsidRPr="009B6D32">
        <w:rPr>
          <w:rFonts w:ascii="Garamond" w:hAnsi="Garamond" w:cs="Garamond"/>
          <w:i/>
          <w:iCs/>
          <w:sz w:val="24"/>
          <w:szCs w:val="24"/>
        </w:rPr>
        <w:t xml:space="preserve">Gender Trouble. </w:t>
      </w:r>
      <w:r w:rsidRPr="009B6D32">
        <w:rPr>
          <w:rFonts w:ascii="Garamond" w:hAnsi="Garamond" w:cs="Garamond"/>
          <w:sz w:val="24"/>
          <w:szCs w:val="24"/>
        </w:rPr>
        <w:t>New York: Routledge</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Butler, J., Rotberg, R., and Adams, J. (1978) </w:t>
      </w:r>
      <w:r w:rsidRPr="009B6D32">
        <w:rPr>
          <w:rFonts w:ascii="Garamond" w:hAnsi="Garamond" w:cs="Garamond"/>
          <w:i/>
          <w:iCs/>
          <w:sz w:val="24"/>
          <w:szCs w:val="24"/>
        </w:rPr>
        <w:t>The Black Homelands of South Africa: The Political and Economic Development of Bophathutswana and KwaZulu</w:t>
      </w:r>
      <w:r w:rsidRPr="009B6D32">
        <w:rPr>
          <w:rFonts w:ascii="Garamond" w:hAnsi="Garamond" w:cs="Garamond"/>
          <w:sz w:val="24"/>
          <w:szCs w:val="24"/>
        </w:rPr>
        <w:t>. London: University of California Press.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Campbell, C. (1993) ‘Understanding traditional and modern patterns of consumption in eighteenth Century England: a character-action approach’,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55-83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eastAsia="en-GB"/>
        </w:rPr>
      </w:pPr>
      <w:r w:rsidRPr="009B6D32">
        <w:rPr>
          <w:rFonts w:ascii="Garamond" w:hAnsi="Garamond" w:cs="Garamond"/>
          <w:sz w:val="24"/>
          <w:szCs w:val="24"/>
          <w:lang w:eastAsia="en-GB"/>
        </w:rPr>
        <w:t xml:space="preserve">Carlson, J. (1973) </w:t>
      </w:r>
      <w:r w:rsidRPr="009B6D32">
        <w:rPr>
          <w:rFonts w:ascii="Garamond" w:hAnsi="Garamond" w:cs="Garamond"/>
          <w:i/>
          <w:iCs/>
          <w:sz w:val="24"/>
          <w:szCs w:val="24"/>
          <w:lang w:eastAsia="en-GB"/>
        </w:rPr>
        <w:t xml:space="preserve">No Neutral Ground. </w:t>
      </w:r>
      <w:r w:rsidRPr="009B6D32">
        <w:rPr>
          <w:rFonts w:ascii="Garamond" w:hAnsi="Garamond" w:cs="Garamond"/>
          <w:sz w:val="24"/>
          <w:szCs w:val="24"/>
          <w:lang w:eastAsia="en-GB"/>
        </w:rPr>
        <w:t>New York: Thomas Y Crowell Company</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eastAsia="en-GB"/>
        </w:rPr>
      </w:pPr>
      <w:r w:rsidRPr="009B6D32">
        <w:rPr>
          <w:rFonts w:ascii="Garamond" w:hAnsi="Garamond" w:cs="Garamond"/>
          <w:sz w:val="24"/>
          <w:szCs w:val="24"/>
          <w:lang w:eastAsia="en-GB"/>
        </w:rPr>
        <w:t xml:space="preserve">Carolan, M. (2011) </w:t>
      </w:r>
      <w:r w:rsidRPr="009B6D32">
        <w:rPr>
          <w:rFonts w:ascii="Garamond" w:hAnsi="Garamond" w:cs="Garamond"/>
          <w:i/>
          <w:sz w:val="24"/>
          <w:szCs w:val="24"/>
          <w:lang w:eastAsia="en-GB"/>
        </w:rPr>
        <w:t>Embodied Food Politics</w:t>
      </w:r>
      <w:r w:rsidRPr="009B6D32">
        <w:rPr>
          <w:rFonts w:ascii="Garamond" w:hAnsi="Garamond" w:cs="Garamond"/>
          <w:sz w:val="24"/>
          <w:szCs w:val="24"/>
          <w:lang w:eastAsia="en-GB"/>
        </w:rPr>
        <w:t>. Farnham: Ashgate</w:t>
      </w:r>
    </w:p>
    <w:p w:rsidR="0001718F" w:rsidRPr="009B6D32" w:rsidRDefault="0001718F" w:rsidP="007437F5">
      <w:pPr>
        <w:autoSpaceDE w:val="0"/>
        <w:autoSpaceDN w:val="0"/>
        <w:adjustRightInd w:val="0"/>
        <w:spacing w:after="0" w:line="240" w:lineRule="auto"/>
        <w:ind w:hanging="720"/>
        <w:rPr>
          <w:rFonts w:ascii="Garamond" w:hAnsi="Garamond" w:cs="Garamond"/>
          <w:i/>
          <w:kern w:val="28"/>
          <w:sz w:val="24"/>
          <w:szCs w:val="24"/>
          <w:lang w:eastAsia="en-GB"/>
        </w:rPr>
      </w:pPr>
      <w:r w:rsidRPr="009B6D32">
        <w:rPr>
          <w:rFonts w:ascii="Garamond" w:hAnsi="Garamond" w:cs="Garamond"/>
          <w:sz w:val="24"/>
          <w:szCs w:val="24"/>
          <w:lang w:eastAsia="en-GB"/>
        </w:rPr>
        <w:t xml:space="preserve">Carson, T. (2011) </w:t>
      </w:r>
      <w:r w:rsidRPr="009B6D32">
        <w:rPr>
          <w:rFonts w:ascii="Garamond" w:hAnsi="Garamond" w:cs="Garamond"/>
          <w:i/>
          <w:sz w:val="24"/>
          <w:szCs w:val="24"/>
          <w:lang w:eastAsia="en-GB"/>
        </w:rPr>
        <w:t xml:space="preserve">Tomorrow It Could Be You. Strikes and Boycotts in South Africa, 1978-1982. </w:t>
      </w:r>
      <w:r w:rsidRPr="009B6D32">
        <w:rPr>
          <w:rFonts w:ascii="Garamond" w:hAnsi="Garamond" w:cs="Garamond"/>
          <w:sz w:val="24"/>
          <w:szCs w:val="24"/>
          <w:lang w:eastAsia="en-GB"/>
        </w:rPr>
        <w:t>Oxford:</w:t>
      </w:r>
      <w:r w:rsidRPr="009B6D32">
        <w:rPr>
          <w:rFonts w:ascii="Garamond" w:hAnsi="Garamond" w:cs="Garamond"/>
          <w:i/>
          <w:sz w:val="24"/>
          <w:szCs w:val="24"/>
          <w:lang w:eastAsia="en-GB"/>
        </w:rPr>
        <w:t xml:space="preserve"> </w:t>
      </w:r>
      <w:r w:rsidRPr="009B6D32">
        <w:rPr>
          <w:rFonts w:ascii="Garamond" w:hAnsi="Garamond" w:cs="Garamond"/>
          <w:sz w:val="24"/>
          <w:szCs w:val="24"/>
          <w:lang w:eastAsia="en-GB"/>
        </w:rPr>
        <w:t>Peter Lang</w:t>
      </w:r>
      <w:r w:rsidRPr="009B6D32">
        <w:rPr>
          <w:rFonts w:ascii="Garamond" w:hAnsi="Garamond" w:cs="Garamond"/>
          <w:i/>
          <w:sz w:val="24"/>
          <w:szCs w:val="24"/>
          <w:lang w:eastAsia="en-GB"/>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eastAsia="en-GB"/>
        </w:rPr>
        <w:t xml:space="preserve">Carstens, K. (1974) ‘No Neutral Ground by Joel Carlson’, </w:t>
      </w:r>
      <w:r w:rsidRPr="009B6D32">
        <w:rPr>
          <w:rFonts w:ascii="Garamond" w:hAnsi="Garamond" w:cs="Garamond"/>
          <w:i/>
          <w:iCs/>
          <w:sz w:val="24"/>
          <w:szCs w:val="24"/>
          <w:lang w:eastAsia="en-GB"/>
        </w:rPr>
        <w:t>Africa Today,</w:t>
      </w:r>
      <w:r w:rsidRPr="009B6D32">
        <w:rPr>
          <w:rFonts w:ascii="Garamond" w:hAnsi="Garamond" w:cs="Garamond"/>
          <w:sz w:val="24"/>
          <w:szCs w:val="24"/>
          <w:lang w:eastAsia="en-GB"/>
        </w:rPr>
        <w:t xml:space="preserve"> 21(2), pp. 88-90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Cartwright F. and Stritzke, W. (2008) ‘Children and chocolate craving – Innocent longing or guilty pleasure’, </w:t>
      </w:r>
      <w:r w:rsidRPr="009B6D32">
        <w:rPr>
          <w:rFonts w:ascii="Garamond" w:hAnsi="Garamond" w:cs="Garamond"/>
          <w:i/>
          <w:iCs/>
          <w:color w:val="000000"/>
          <w:sz w:val="24"/>
          <w:szCs w:val="24"/>
          <w:shd w:val="clear" w:color="auto" w:fill="FFFFFF"/>
        </w:rPr>
        <w:t xml:space="preserve">Agrofood Hi-Tech Industry, </w:t>
      </w:r>
      <w:r w:rsidRPr="009B6D32">
        <w:rPr>
          <w:rFonts w:ascii="Garamond" w:hAnsi="Garamond" w:cs="Garamond"/>
          <w:color w:val="000000"/>
          <w:sz w:val="24"/>
          <w:szCs w:val="24"/>
          <w:shd w:val="clear" w:color="auto" w:fill="FFFFFF"/>
        </w:rPr>
        <w:t>19(3), pp. 16-18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eastAsia="en-GB"/>
        </w:rPr>
        <w:t xml:space="preserve">Cartwright, A. (1977) </w:t>
      </w:r>
      <w:r w:rsidRPr="009B6D32">
        <w:rPr>
          <w:rFonts w:ascii="Garamond" w:hAnsi="Garamond" w:cs="Garamond"/>
          <w:i/>
          <w:iCs/>
          <w:sz w:val="24"/>
          <w:szCs w:val="24"/>
          <w:lang w:eastAsia="en-GB"/>
        </w:rPr>
        <w:t>Outspan Golden Harvest: A History of the South African Citrus Industry.</w:t>
      </w:r>
      <w:r w:rsidRPr="009B6D32">
        <w:rPr>
          <w:rFonts w:ascii="Garamond" w:hAnsi="Garamond" w:cs="Garamond"/>
          <w:sz w:val="24"/>
          <w:szCs w:val="24"/>
          <w:lang w:eastAsia="en-GB"/>
        </w:rPr>
        <w:t xml:space="preserve"> Pretoria: The Citrus Exchange</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Caruana, R. (2007) ‘A sociological perspective on consumption morality’, </w:t>
      </w:r>
      <w:r w:rsidRPr="009B6D32">
        <w:rPr>
          <w:rFonts w:ascii="Garamond" w:hAnsi="Garamond" w:cs="Garamond"/>
          <w:i/>
          <w:iCs/>
          <w:sz w:val="24"/>
          <w:szCs w:val="24"/>
          <w:lang w:val="en-US"/>
        </w:rPr>
        <w:t>Journal of Consumer Behaviour,</w:t>
      </w:r>
      <w:r w:rsidRPr="009B6D32">
        <w:rPr>
          <w:rFonts w:ascii="Garamond" w:hAnsi="Garamond" w:cs="Garamond"/>
          <w:sz w:val="24"/>
          <w:szCs w:val="24"/>
          <w:lang w:val="en-US"/>
        </w:rPr>
        <w:t xml:space="preserve"> 6(5), pp. 287-304</w:t>
      </w:r>
    </w:p>
    <w:p w:rsidR="0001718F" w:rsidRPr="009B6D32" w:rsidRDefault="0001718F" w:rsidP="007437F5">
      <w:pPr>
        <w:spacing w:after="0"/>
        <w:ind w:hanging="720"/>
        <w:rPr>
          <w:rFonts w:ascii="Garamond" w:hAnsi="Garamond" w:cs="Arial"/>
          <w:color w:val="000000"/>
          <w:sz w:val="24"/>
          <w:szCs w:val="24"/>
          <w:shd w:val="clear" w:color="auto" w:fill="FFFFFF"/>
        </w:rPr>
      </w:pPr>
      <w:r w:rsidRPr="009B6D32">
        <w:rPr>
          <w:rFonts w:ascii="Garamond" w:hAnsi="Garamond" w:cs="Arial"/>
          <w:color w:val="000000"/>
          <w:sz w:val="24"/>
          <w:szCs w:val="24"/>
          <w:shd w:val="clear" w:color="auto" w:fill="FFFFFF"/>
        </w:rPr>
        <w:t>Castells, M. (1998)</w:t>
      </w:r>
      <w:r w:rsidRPr="009B6D32">
        <w:rPr>
          <w:rStyle w:val="apple-converted-space"/>
          <w:rFonts w:ascii="Garamond" w:hAnsi="Garamond" w:cs="Arial"/>
          <w:color w:val="000000"/>
          <w:sz w:val="24"/>
          <w:szCs w:val="24"/>
          <w:shd w:val="clear" w:color="auto" w:fill="FFFFFF"/>
        </w:rPr>
        <w:t> </w:t>
      </w:r>
      <w:r w:rsidRPr="009B6D32">
        <w:rPr>
          <w:rFonts w:ascii="Garamond" w:hAnsi="Garamond" w:cs="Arial"/>
          <w:i/>
          <w:iCs/>
          <w:color w:val="000000"/>
          <w:sz w:val="24"/>
          <w:szCs w:val="24"/>
          <w:shd w:val="clear" w:color="auto" w:fill="FFFFFF"/>
        </w:rPr>
        <w:t>End of Millennium, The Information Age: Economy, Society and Culture Vol. III</w:t>
      </w:r>
      <w:r w:rsidRPr="009B6D32">
        <w:rPr>
          <w:rFonts w:ascii="Garamond" w:hAnsi="Garamond" w:cs="Arial"/>
          <w:color w:val="000000"/>
          <w:sz w:val="24"/>
          <w:szCs w:val="24"/>
          <w:shd w:val="clear" w:color="auto" w:fill="FFFFFF"/>
        </w:rPr>
        <w:t>. Cambridge: Blackwell</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Arial"/>
          <w:color w:val="000000"/>
          <w:sz w:val="24"/>
          <w:szCs w:val="24"/>
        </w:rPr>
        <w:t>Castree, N. (2008) 'Neoliberalising nature: processes, effects, and evaluations'</w:t>
      </w:r>
      <w:r w:rsidRPr="009B6D32">
        <w:rPr>
          <w:rStyle w:val="apple-converted-space"/>
          <w:rFonts w:ascii="Garamond" w:hAnsi="Garamond" w:cs="Arial"/>
          <w:color w:val="000000"/>
          <w:sz w:val="24"/>
          <w:szCs w:val="24"/>
        </w:rPr>
        <w:t> </w:t>
      </w:r>
      <w:r w:rsidRPr="009B6D32">
        <w:rPr>
          <w:rFonts w:ascii="Garamond" w:hAnsi="Garamond" w:cs="Arial"/>
          <w:i/>
          <w:iCs/>
          <w:color w:val="000000"/>
          <w:sz w:val="24"/>
          <w:szCs w:val="24"/>
        </w:rPr>
        <w:t xml:space="preserve">Environment and Planning A, </w:t>
      </w:r>
      <w:r w:rsidRPr="009B6D32">
        <w:rPr>
          <w:rFonts w:ascii="Garamond" w:hAnsi="Garamond" w:cs="Arial"/>
          <w:bCs/>
          <w:color w:val="000000"/>
          <w:sz w:val="24"/>
          <w:szCs w:val="24"/>
        </w:rPr>
        <w:t>40</w:t>
      </w:r>
      <w:r w:rsidRPr="009B6D32">
        <w:rPr>
          <w:rFonts w:ascii="Garamond" w:hAnsi="Garamond" w:cs="Arial"/>
          <w:color w:val="000000"/>
          <w:sz w:val="24"/>
          <w:szCs w:val="24"/>
        </w:rPr>
        <w:t>(1), pp. 153 – 173</w:t>
      </w:r>
      <w:r w:rsidRPr="009B6D32">
        <w:rPr>
          <w:rStyle w:val="apple-converted-space"/>
          <w:rFonts w:ascii="Garamond" w:hAnsi="Garamond" w:cs="Arial"/>
          <w:color w:val="000000"/>
          <w:sz w:val="24"/>
          <w:szCs w:val="24"/>
        </w:rPr>
        <w:t> </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Ceséare, A. (2013[1972]) </w:t>
      </w:r>
      <w:r w:rsidRPr="009B6D32">
        <w:rPr>
          <w:rStyle w:val="Emphasis"/>
          <w:rFonts w:ascii="Garamond" w:hAnsi="Garamond" w:cs="Arial"/>
          <w:bCs/>
          <w:sz w:val="24"/>
          <w:szCs w:val="24"/>
          <w:shd w:val="clear" w:color="auto" w:fill="FFFFFF"/>
        </w:rPr>
        <w:t>Discourse on Colonialism</w:t>
      </w:r>
      <w:r w:rsidRPr="009B6D32">
        <w:rPr>
          <w:rFonts w:ascii="Garamond" w:hAnsi="Garamond" w:cs="Arial"/>
          <w:sz w:val="24"/>
          <w:szCs w:val="24"/>
          <w:shd w:val="clear" w:color="auto" w:fill="FFFFFF"/>
        </w:rPr>
        <w:t xml:space="preserve">. Translated by Pinkham, J. New York and London: Monthly Review Press. Available at, </w:t>
      </w:r>
      <w:r w:rsidRPr="009B6D32">
        <w:rPr>
          <w:rFonts w:ascii="Garamond" w:hAnsi="Garamond"/>
          <w:sz w:val="24"/>
          <w:szCs w:val="24"/>
        </w:rPr>
        <w:t>http://www.rlwclarke.net/theory/SourcesPrimary/CesaireDiscourseonColonialism.pdf (Accessed 10 October 2012)</w:t>
      </w:r>
    </w:p>
    <w:p w:rsidR="0001718F" w:rsidRPr="009B6D32" w:rsidRDefault="0001718F" w:rsidP="007437F5">
      <w:pPr>
        <w:spacing w:after="0"/>
        <w:ind w:hanging="720"/>
        <w:rPr>
          <w:rFonts w:ascii="Garamond" w:hAnsi="Garamond" w:cs="Garamond"/>
          <w:sz w:val="24"/>
          <w:szCs w:val="24"/>
        </w:rPr>
      </w:pPr>
      <w:r w:rsidRPr="009B6D32">
        <w:rPr>
          <w:rFonts w:ascii="Garamond" w:eastAsia="AdvT013" w:hAnsi="Garamond" w:cs="Garamond"/>
          <w:sz w:val="24"/>
          <w:szCs w:val="24"/>
        </w:rPr>
        <w:lastRenderedPageBreak/>
        <w:t xml:space="preserve">Chakrabarty, D. (2008) </w:t>
      </w:r>
      <w:r w:rsidRPr="009B6D32">
        <w:rPr>
          <w:rFonts w:ascii="Garamond" w:eastAsia="AdvT013" w:hAnsi="Garamond" w:cs="Garamond"/>
          <w:i/>
          <w:iCs/>
          <w:sz w:val="24"/>
          <w:szCs w:val="24"/>
        </w:rPr>
        <w:t>Provincializing Europe: Postcolonial Thought and Historical Difference</w:t>
      </w:r>
      <w:r w:rsidRPr="009B6D32">
        <w:rPr>
          <w:rFonts w:ascii="Garamond" w:eastAsia="AdvT013" w:hAnsi="Garamond" w:cs="Garamond"/>
          <w:sz w:val="24"/>
          <w:szCs w:val="24"/>
        </w:rPr>
        <w:t>. Princeton, New Jersey: Princeton University Press</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Chalke, S. (2009) </w:t>
      </w:r>
      <w:r w:rsidRPr="009B6D32">
        <w:rPr>
          <w:rFonts w:ascii="Garamond" w:hAnsi="Garamond" w:cs="Garamond"/>
          <w:i/>
          <w:iCs/>
          <w:sz w:val="24"/>
          <w:szCs w:val="24"/>
          <w:lang w:val="en-US"/>
        </w:rPr>
        <w:t xml:space="preserve">Stop The Traffik. </w:t>
      </w:r>
      <w:r w:rsidRPr="009B6D32">
        <w:rPr>
          <w:rFonts w:ascii="Garamond" w:hAnsi="Garamond" w:cs="Garamond"/>
          <w:sz w:val="24"/>
          <w:szCs w:val="24"/>
          <w:lang w:val="en-US"/>
        </w:rPr>
        <w:t>Oxford: Lion Hudson</w:t>
      </w:r>
    </w:p>
    <w:p w:rsidR="0001718F" w:rsidRPr="009B6D32" w:rsidRDefault="0001718F" w:rsidP="007437F5">
      <w:pPr>
        <w:spacing w:after="0"/>
        <w:ind w:hanging="720"/>
        <w:rPr>
          <w:rFonts w:ascii="Garamond" w:hAnsi="Garamond" w:cs="Garamond"/>
          <w:sz w:val="24"/>
          <w:szCs w:val="24"/>
        </w:rPr>
      </w:pPr>
      <w:r w:rsidRPr="009B6D32">
        <w:rPr>
          <w:rFonts w:ascii="Garamond" w:hAnsi="Garamond"/>
          <w:color w:val="000000"/>
          <w:sz w:val="24"/>
          <w:szCs w:val="24"/>
        </w:rPr>
        <w:t>Chatterjee, P. (1986)</w:t>
      </w:r>
      <w:r w:rsidRPr="009B6D32">
        <w:rPr>
          <w:rStyle w:val="apple-converted-space"/>
          <w:rFonts w:ascii="Garamond" w:hAnsi="Garamond"/>
          <w:color w:val="000000"/>
          <w:sz w:val="24"/>
          <w:szCs w:val="24"/>
        </w:rPr>
        <w:t> </w:t>
      </w:r>
      <w:r w:rsidRPr="009B6D32">
        <w:rPr>
          <w:rStyle w:val="Emphasis"/>
          <w:rFonts w:ascii="Garamond" w:hAnsi="Garamond"/>
          <w:color w:val="000000"/>
          <w:sz w:val="24"/>
          <w:szCs w:val="24"/>
        </w:rPr>
        <w:t>Nationalist thought and the colonial world: A derivative discourse?</w:t>
      </w:r>
      <w:r w:rsidRPr="009B6D32">
        <w:rPr>
          <w:rStyle w:val="apple-converted-space"/>
          <w:rFonts w:ascii="Garamond" w:hAnsi="Garamond"/>
          <w:color w:val="000000"/>
          <w:sz w:val="24"/>
          <w:szCs w:val="24"/>
        </w:rPr>
        <w:t> </w:t>
      </w:r>
      <w:r w:rsidRPr="009B6D32">
        <w:rPr>
          <w:rFonts w:ascii="Garamond" w:hAnsi="Garamond"/>
          <w:color w:val="000000"/>
          <w:sz w:val="24"/>
          <w:szCs w:val="24"/>
        </w:rPr>
        <w:t>Delhi: Oxford University Press</w:t>
      </w:r>
    </w:p>
    <w:p w:rsidR="0001718F" w:rsidRPr="009B6D32" w:rsidRDefault="0001718F" w:rsidP="007437F5">
      <w:pPr>
        <w:spacing w:after="0"/>
        <w:ind w:hanging="720"/>
        <w:rPr>
          <w:rFonts w:ascii="Garamond" w:hAnsi="Garamond" w:cs="Garamond"/>
          <w:i/>
          <w:iCs/>
          <w:sz w:val="24"/>
          <w:szCs w:val="24"/>
          <w:lang w:val="en-US"/>
        </w:rPr>
      </w:pPr>
      <w:r w:rsidRPr="009B6D32">
        <w:rPr>
          <w:rFonts w:ascii="Garamond" w:hAnsi="Garamond" w:cs="Garamond"/>
          <w:sz w:val="24"/>
          <w:szCs w:val="24"/>
          <w:lang w:val="en-US"/>
        </w:rPr>
        <w:t xml:space="preserve">Cherrier, H. (2005) ‘Using Existential-Phenomenological Interviewing to Explore Meanings of Consumption’, in Harrison, R., Newholm, T. and Shaw, D. (eds.)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 pp. 125-135</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Cherrier, H. (2007) ‘Ethical consumption practices: Co-production of self expression and social recognition’, </w:t>
      </w:r>
      <w:r w:rsidRPr="009B6D32">
        <w:rPr>
          <w:rFonts w:ascii="Garamond" w:hAnsi="Garamond" w:cs="Garamond"/>
          <w:i/>
          <w:iCs/>
          <w:sz w:val="24"/>
          <w:szCs w:val="24"/>
          <w:lang w:val="en-US"/>
        </w:rPr>
        <w:t xml:space="preserve">Journal of Consumer Behaviour, </w:t>
      </w:r>
      <w:r w:rsidRPr="009B6D32">
        <w:rPr>
          <w:rFonts w:ascii="Garamond" w:hAnsi="Garamond" w:cs="Garamond"/>
          <w:sz w:val="24"/>
          <w:szCs w:val="24"/>
          <w:lang w:val="en-US"/>
        </w:rPr>
        <w:t>6(5), pp. 321-335</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Cherrier, H. (2009) ‘Anti-consumption discourses and consumer-resistant identities’, </w:t>
      </w:r>
      <w:r w:rsidRPr="009B6D32">
        <w:rPr>
          <w:rFonts w:ascii="Garamond" w:hAnsi="Garamond" w:cs="Garamond"/>
          <w:i/>
          <w:iCs/>
          <w:sz w:val="24"/>
          <w:szCs w:val="24"/>
          <w:lang w:val="en-US"/>
        </w:rPr>
        <w:t xml:space="preserve">Journal of Business Research, </w:t>
      </w:r>
      <w:r w:rsidRPr="009B6D32">
        <w:rPr>
          <w:rFonts w:ascii="Garamond" w:hAnsi="Garamond" w:cs="Garamond"/>
          <w:sz w:val="24"/>
          <w:szCs w:val="24"/>
          <w:lang w:val="en-US"/>
        </w:rPr>
        <w:t>62(2), pp. 181-190</w:t>
      </w:r>
    </w:p>
    <w:p w:rsidR="0001718F" w:rsidRPr="009B6D32" w:rsidRDefault="0001718F" w:rsidP="007437F5">
      <w:pPr>
        <w:spacing w:after="0"/>
        <w:ind w:hanging="720"/>
        <w:rPr>
          <w:rFonts w:ascii="Garamond" w:hAnsi="Garamond" w:cs="Garamond"/>
          <w:i/>
          <w:sz w:val="24"/>
          <w:szCs w:val="24"/>
          <w:lang w:val="en-US"/>
        </w:rPr>
      </w:pPr>
      <w:r w:rsidRPr="009B6D32">
        <w:rPr>
          <w:rFonts w:ascii="Garamond" w:hAnsi="Garamond" w:cs="Garamond"/>
          <w:sz w:val="24"/>
          <w:szCs w:val="24"/>
          <w:lang w:val="en-US"/>
        </w:rPr>
        <w:t xml:space="preserve">Chouliaraki, L. (2010) 'Post-Humanitarianism: Humanitarianism beyond a politics of pity, </w:t>
      </w:r>
      <w:r w:rsidRPr="009B6D32">
        <w:rPr>
          <w:rFonts w:ascii="Garamond" w:hAnsi="Garamond" w:cs="Garamond"/>
          <w:i/>
          <w:sz w:val="24"/>
          <w:szCs w:val="24"/>
          <w:lang w:val="en-US"/>
        </w:rPr>
        <w:t xml:space="preserve">International Journal of Cultural Studies, </w:t>
      </w:r>
      <w:r w:rsidRPr="009B6D32">
        <w:rPr>
          <w:rFonts w:ascii="Garamond" w:hAnsi="Garamond" w:cs="Garamond"/>
          <w:sz w:val="24"/>
          <w:szCs w:val="24"/>
          <w:lang w:val="en-US"/>
        </w:rPr>
        <w:t>13, pp. 107-126</w:t>
      </w:r>
      <w:r w:rsidRPr="009B6D32">
        <w:rPr>
          <w:rFonts w:ascii="Garamond" w:hAnsi="Garamond" w:cs="Garamond"/>
          <w:i/>
          <w:sz w:val="24"/>
          <w:szCs w:val="24"/>
          <w:lang w:val="en-US"/>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Chouliaraki, L. (2011a) ‘“Improper distance”: towards a critical account of solidarity as irony’</w:t>
      </w:r>
      <w:r w:rsidRPr="009B6D32">
        <w:rPr>
          <w:rStyle w:val="Strong"/>
          <w:rFonts w:ascii="Garamond" w:hAnsi="Garamond" w:cs="Garamond"/>
          <w:sz w:val="24"/>
          <w:szCs w:val="24"/>
          <w:shd w:val="clear" w:color="auto" w:fill="FFFFFF"/>
        </w:rPr>
        <w:t>,</w:t>
      </w:r>
      <w:r w:rsidRPr="009B6D32">
        <w:rPr>
          <w:rStyle w:val="apple-converted-space"/>
          <w:rFonts w:ascii="Garamond" w:hAnsi="Garamond" w:cs="Garamond"/>
          <w:sz w:val="24"/>
          <w:szCs w:val="24"/>
          <w:shd w:val="clear" w:color="auto" w:fill="FFFFFF"/>
        </w:rPr>
        <w:t> </w:t>
      </w:r>
      <w:r w:rsidRPr="009B6D32">
        <w:rPr>
          <w:rStyle w:val="Emphasis"/>
          <w:rFonts w:ascii="Garamond" w:hAnsi="Garamond" w:cs="Garamond"/>
          <w:sz w:val="24"/>
          <w:szCs w:val="24"/>
          <w:shd w:val="clear" w:color="auto" w:fill="FFFFFF"/>
        </w:rPr>
        <w:t>International Journal of Cultural Studies</w:t>
      </w:r>
      <w:r w:rsidRPr="009B6D32">
        <w:rPr>
          <w:rFonts w:ascii="Garamond" w:hAnsi="Garamond" w:cs="Garamond"/>
          <w:sz w:val="24"/>
          <w:szCs w:val="24"/>
          <w:shd w:val="clear" w:color="auto" w:fill="FFFFFF"/>
        </w:rPr>
        <w:t>, 14(4), pp. 363-381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Chouliaraki, L. (2011b)</w:t>
      </w:r>
      <w:r w:rsidRPr="009B6D32">
        <w:rPr>
          <w:rStyle w:val="apple-converted-space"/>
          <w:rFonts w:ascii="Garamond" w:hAnsi="Garamond" w:cs="Garamond"/>
          <w:sz w:val="24"/>
          <w:szCs w:val="24"/>
          <w:shd w:val="clear" w:color="auto" w:fill="FFFFFF"/>
        </w:rPr>
        <w:t> ‘</w:t>
      </w:r>
      <w:r w:rsidRPr="009B6D32">
        <w:rPr>
          <w:rFonts w:ascii="Garamond" w:hAnsi="Garamond" w:cs="Garamond"/>
          <w:sz w:val="24"/>
          <w:szCs w:val="24"/>
          <w:shd w:val="clear" w:color="auto" w:fill="FFFFFF"/>
        </w:rPr>
        <w:t>The theatricality of humanitarianism: a critique of celebrity advocacy’</w:t>
      </w:r>
      <w:r w:rsidRPr="009B6D32">
        <w:rPr>
          <w:rStyle w:val="apple-converted-space"/>
          <w:rFonts w:ascii="Garamond" w:hAnsi="Garamond" w:cs="Garamond"/>
          <w:sz w:val="24"/>
          <w:szCs w:val="24"/>
          <w:shd w:val="clear" w:color="auto" w:fill="FFFFFF"/>
        </w:rPr>
        <w:t>, </w:t>
      </w:r>
      <w:r w:rsidRPr="009B6D32">
        <w:rPr>
          <w:rStyle w:val="Emphasis"/>
          <w:rFonts w:ascii="Garamond" w:hAnsi="Garamond" w:cs="Garamond"/>
          <w:sz w:val="24"/>
          <w:szCs w:val="24"/>
          <w:shd w:val="clear" w:color="auto" w:fill="FFFFFF"/>
        </w:rPr>
        <w:t>Communication and Critical/Cultural Studies</w:t>
      </w:r>
      <w:r w:rsidRPr="009B6D32">
        <w:rPr>
          <w:rFonts w:ascii="Garamond" w:hAnsi="Garamond" w:cs="Garamond"/>
          <w:sz w:val="24"/>
          <w:szCs w:val="24"/>
          <w:shd w:val="clear" w:color="auto" w:fill="FFFFFF"/>
        </w:rPr>
        <w:t>, 9(1), pp. 1-21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Style w:val="Emphasis"/>
          <w:rFonts w:ascii="Garamond" w:hAnsi="Garamond" w:cs="Arial"/>
          <w:bCs/>
          <w:sz w:val="24"/>
          <w:szCs w:val="24"/>
          <w:shd w:val="clear" w:color="auto" w:fill="FFFFFF"/>
        </w:rPr>
        <w:t>Chowdhury</w:t>
      </w:r>
      <w:r w:rsidRPr="009B6D32">
        <w:rPr>
          <w:rFonts w:ascii="Garamond" w:hAnsi="Garamond" w:cs="Arial"/>
          <w:sz w:val="24"/>
          <w:szCs w:val="24"/>
          <w:shd w:val="clear" w:color="auto" w:fill="FFFFFF"/>
        </w:rPr>
        <w:t>-</w:t>
      </w:r>
      <w:r w:rsidRPr="009B6D32">
        <w:rPr>
          <w:rStyle w:val="Emphasis"/>
          <w:rFonts w:ascii="Garamond" w:hAnsi="Garamond" w:cs="Arial"/>
          <w:bCs/>
          <w:sz w:val="24"/>
          <w:szCs w:val="24"/>
          <w:shd w:val="clear" w:color="auto" w:fill="FFFFFF"/>
        </w:rPr>
        <w:t>Sengupta</w:t>
      </w:r>
      <w:r w:rsidRPr="009B6D32">
        <w:rPr>
          <w:rFonts w:ascii="Garamond" w:hAnsi="Garamond" w:cs="Arial"/>
          <w:sz w:val="24"/>
          <w:szCs w:val="24"/>
          <w:shd w:val="clear" w:color="auto" w:fill="FFFFFF"/>
        </w:rPr>
        <w:t>, I.</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1996)</w:t>
      </w:r>
      <w:r w:rsidRPr="009B6D32">
        <w:rPr>
          <w:rFonts w:ascii="Garamond" w:hAnsi="Garamond" w:cs="Arial"/>
          <w:sz w:val="24"/>
          <w:szCs w:val="24"/>
          <w:shd w:val="clear" w:color="auto" w:fill="FFFFFF"/>
        </w:rPr>
        <w:t xml:space="preserve"> 'Reconstructing Spiritual Heroism: The Evolution of the </w:t>
      </w:r>
      <w:r w:rsidRPr="009B6D32">
        <w:rPr>
          <w:rStyle w:val="Emphasis"/>
          <w:rFonts w:ascii="Garamond" w:hAnsi="Garamond" w:cs="Arial"/>
          <w:bCs/>
          <w:sz w:val="24"/>
          <w:szCs w:val="24"/>
          <w:shd w:val="clear" w:color="auto" w:fill="FFFFFF"/>
        </w:rPr>
        <w:t>Swadeshi</w:t>
      </w:r>
      <w:r w:rsidRPr="009B6D32">
        <w:rPr>
          <w:rStyle w:val="apple-converted-space"/>
          <w:rFonts w:ascii="Garamond" w:hAnsi="Garamond" w:cs="Arial"/>
          <w:sz w:val="24"/>
          <w:szCs w:val="24"/>
          <w:shd w:val="clear" w:color="auto" w:fill="FFFFFF"/>
        </w:rPr>
        <w:t> </w:t>
      </w:r>
      <w:r w:rsidRPr="009B6D32">
        <w:rPr>
          <w:rFonts w:ascii="Garamond" w:hAnsi="Garamond" w:cs="Arial"/>
          <w:sz w:val="24"/>
          <w:szCs w:val="24"/>
          <w:shd w:val="clear" w:color="auto" w:fill="FFFFFF"/>
        </w:rPr>
        <w:t xml:space="preserve">Sannyasi in Bengal', in J. Leslie (ed.) </w:t>
      </w:r>
      <w:r w:rsidRPr="009B6D32">
        <w:rPr>
          <w:rFonts w:ascii="Garamond" w:hAnsi="Garamond" w:cs="Arial"/>
          <w:i/>
          <w:sz w:val="24"/>
          <w:szCs w:val="24"/>
          <w:shd w:val="clear" w:color="auto" w:fill="FFFFFF"/>
        </w:rPr>
        <w:t xml:space="preserve">Myth and Mythmaking. </w:t>
      </w:r>
      <w:r w:rsidRPr="009B6D32">
        <w:rPr>
          <w:rFonts w:ascii="Garamond" w:hAnsi="Garamond" w:cs="Arial"/>
          <w:sz w:val="24"/>
          <w:szCs w:val="24"/>
          <w:shd w:val="clear" w:color="auto" w:fill="FFFFFF"/>
        </w:rPr>
        <w:t>Richmond: Curzon Press, pp. 124-143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 xml:space="preserve">Christopher, E. (2006) </w:t>
      </w:r>
      <w:r w:rsidRPr="009B6D32">
        <w:rPr>
          <w:rFonts w:ascii="Garamond" w:hAnsi="Garamond" w:cs="Garamond"/>
          <w:i/>
          <w:iCs/>
          <w:sz w:val="24"/>
          <w:szCs w:val="24"/>
          <w:shd w:val="clear" w:color="auto" w:fill="FFFFFF"/>
        </w:rPr>
        <w:t>Slave Ship Sailors and Their Captive Cargoes, 1730-1807</w:t>
      </w:r>
      <w:r w:rsidRPr="009B6D32">
        <w:rPr>
          <w:rFonts w:ascii="Garamond" w:hAnsi="Garamond" w:cs="Garamond"/>
          <w:sz w:val="24"/>
          <w:szCs w:val="24"/>
          <w:shd w:val="clear" w:color="auto" w:fill="FFFFFF"/>
        </w:rPr>
        <w:t>. New York: Cambridge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Christou, A. (2006) ‘Crossing boundaries – ethnicizing employment – gendering labor: gender, ethnicity and social networks in return migration’, </w:t>
      </w:r>
      <w:r w:rsidRPr="009B6D32">
        <w:rPr>
          <w:rFonts w:ascii="Garamond" w:hAnsi="Garamond" w:cs="Garamond"/>
          <w:i/>
          <w:iCs/>
          <w:sz w:val="24"/>
          <w:szCs w:val="24"/>
        </w:rPr>
        <w:t xml:space="preserve">Social and Cultural Geography </w:t>
      </w:r>
      <w:r w:rsidRPr="009B6D32">
        <w:rPr>
          <w:rFonts w:ascii="Garamond" w:hAnsi="Garamond" w:cs="Garamond"/>
          <w:sz w:val="24"/>
          <w:szCs w:val="24"/>
        </w:rPr>
        <w:t>7(1), pp. 87–102</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Cidell, J., Heike, C. and Alberts, B. (2006) ‘Constructing quality: The multinational histories of chocolate’, </w:t>
      </w:r>
      <w:r w:rsidRPr="009B6D32">
        <w:rPr>
          <w:rFonts w:ascii="Garamond" w:hAnsi="Garamond" w:cs="Garamond"/>
          <w:i/>
          <w:iCs/>
          <w:sz w:val="24"/>
          <w:szCs w:val="24"/>
        </w:rPr>
        <w:t>Geoforum,</w:t>
      </w:r>
      <w:r w:rsidRPr="009B6D32">
        <w:rPr>
          <w:rFonts w:ascii="Garamond" w:hAnsi="Garamond" w:cs="Garamond"/>
          <w:sz w:val="24"/>
          <w:szCs w:val="24"/>
        </w:rPr>
        <w:t xml:space="preserve"> (37)6, pp. 999–1007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Clarence-Smith, W. (2000)</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Cocoa and Chocolate 1765-1914.</w:t>
      </w:r>
      <w:r w:rsidRPr="009B6D32">
        <w:rPr>
          <w:rStyle w:val="apple-converted-space"/>
          <w:rFonts w:ascii="Garamond" w:hAnsi="Garamond" w:cs="Garamond"/>
          <w:i/>
          <w:iCs/>
          <w:sz w:val="24"/>
          <w:szCs w:val="24"/>
          <w:bdr w:val="none" w:sz="0" w:space="0" w:color="auto" w:frame="1"/>
        </w:rPr>
        <w:t>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Style w:val="Emphasis"/>
          <w:rFonts w:ascii="Garamond" w:hAnsi="Garamond" w:cs="Garamond"/>
          <w:sz w:val="24"/>
          <w:szCs w:val="24"/>
        </w:rPr>
        <w:t xml:space="preserve">Clark, N., Barnett, C. and </w:t>
      </w:r>
      <w:r w:rsidRPr="009B6D32">
        <w:rPr>
          <w:rFonts w:ascii="Garamond" w:hAnsi="Garamond" w:cs="Garamond"/>
          <w:color w:val="444444"/>
          <w:sz w:val="24"/>
          <w:szCs w:val="24"/>
        </w:rPr>
        <w:t>Dikeç,</w:t>
      </w:r>
      <w:r w:rsidRPr="009B6D32">
        <w:rPr>
          <w:rStyle w:val="Emphasis"/>
          <w:rFonts w:ascii="Garamond" w:hAnsi="Garamond" w:cs="Garamond"/>
          <w:sz w:val="24"/>
          <w:szCs w:val="24"/>
        </w:rPr>
        <w:t xml:space="preserve"> M. (eds.) (2009) Extending Hospitality: Giving Space, Taking Time</w:t>
      </w:r>
      <w:r w:rsidRPr="009B6D32">
        <w:rPr>
          <w:rFonts w:ascii="Garamond" w:hAnsi="Garamond" w:cs="Garamond"/>
          <w:sz w:val="24"/>
          <w:szCs w:val="24"/>
        </w:rPr>
        <w:t>. Edinburgh: University of Edinburgh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Clarke, N. (2007) ‘Staying Put: Cosmopolitanism, Earth Processes and Mobilising Through Time’, Unpublished Paper. Open University, Milton Keynes</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Clarke, N. (2008) ‘From Ethical Consumerism to Political Consumption’, </w:t>
      </w:r>
      <w:r w:rsidRPr="009B6D32">
        <w:rPr>
          <w:rFonts w:ascii="Garamond" w:hAnsi="Garamond" w:cs="Garamond"/>
          <w:i/>
          <w:iCs/>
          <w:sz w:val="24"/>
          <w:szCs w:val="24"/>
          <w:lang w:val="en-US"/>
        </w:rPr>
        <w:t>Geography Compass</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2(6), pp. 1870-1884</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Clarke, N., Barnett, C., Cloke, P. and Malpass, A. (2006) ‘Globalising the consumer: Doing politics in an ethical register’, </w:t>
      </w:r>
      <w:r w:rsidRPr="009B6D32">
        <w:rPr>
          <w:rFonts w:ascii="Garamond" w:hAnsi="Garamond" w:cs="Garamond"/>
          <w:i/>
          <w:iCs/>
          <w:sz w:val="24"/>
          <w:szCs w:val="24"/>
        </w:rPr>
        <w:t xml:space="preserve">Political Geography </w:t>
      </w:r>
      <w:r w:rsidRPr="009B6D32">
        <w:rPr>
          <w:rFonts w:ascii="Garamond" w:hAnsi="Garamond" w:cs="Garamond"/>
          <w:sz w:val="24"/>
          <w:szCs w:val="24"/>
        </w:rPr>
        <w:t>26(3), pp. 231-249</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Clarke, N., Barnett, C., Cloke, P. and Malpass, A. (2007a) ‘The Political Rationalities of Fair Trade Consumption in the United Kingdom, </w:t>
      </w:r>
      <w:r w:rsidRPr="009B6D32">
        <w:rPr>
          <w:rFonts w:ascii="Garamond" w:hAnsi="Garamond" w:cs="Garamond"/>
          <w:i/>
          <w:iCs/>
          <w:sz w:val="24"/>
          <w:szCs w:val="24"/>
          <w:lang w:val="en-US"/>
        </w:rPr>
        <w:t xml:space="preserve">Politics </w:t>
      </w:r>
      <w:r w:rsidR="00F152DB">
        <w:rPr>
          <w:rFonts w:ascii="Garamond" w:hAnsi="Garamond" w:cs="Garamond"/>
          <w:i/>
          <w:iCs/>
          <w:sz w:val="24"/>
          <w:szCs w:val="24"/>
          <w:lang w:val="en-US"/>
        </w:rPr>
        <w:t>and</w:t>
      </w:r>
      <w:r w:rsidRPr="009B6D32">
        <w:rPr>
          <w:rFonts w:ascii="Garamond" w:hAnsi="Garamond" w:cs="Garamond"/>
          <w:i/>
          <w:iCs/>
          <w:sz w:val="24"/>
          <w:szCs w:val="24"/>
          <w:lang w:val="en-US"/>
        </w:rPr>
        <w:t xml:space="preserve"> Society, </w:t>
      </w:r>
      <w:r w:rsidRPr="009B6D32">
        <w:rPr>
          <w:rFonts w:ascii="Garamond" w:hAnsi="Garamond" w:cs="Garamond"/>
          <w:sz w:val="24"/>
          <w:szCs w:val="24"/>
          <w:lang w:val="en-US"/>
        </w:rPr>
        <w:t>35(4), pp. 583-607</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Clarke, N., Barnett, C., Cloke, P. and Malpass, A. (2007b) ‘Globalising the consumer: doing  politics in an ethical register’, </w:t>
      </w:r>
      <w:r w:rsidRPr="009B6D32">
        <w:rPr>
          <w:rFonts w:ascii="Garamond" w:hAnsi="Garamond" w:cs="Garamond"/>
          <w:i/>
          <w:sz w:val="24"/>
          <w:szCs w:val="24"/>
        </w:rPr>
        <w:t>Political Geography</w:t>
      </w:r>
      <w:r w:rsidRPr="009B6D32">
        <w:rPr>
          <w:rFonts w:ascii="Garamond" w:hAnsi="Garamond" w:cs="Garamond"/>
          <w:sz w:val="24"/>
          <w:szCs w:val="24"/>
        </w:rPr>
        <w:t xml:space="preserve">, 26, pp. 231-249 </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Classen, C. and Howes, D. (1996) ‘The dynamic and ethics of cross cultural consumption’, in Howes, D. (ed.) </w:t>
      </w:r>
      <w:r w:rsidRPr="009B6D32">
        <w:rPr>
          <w:rFonts w:ascii="Garamond" w:hAnsi="Garamond" w:cs="Garamond"/>
          <w:i/>
          <w:iCs/>
          <w:sz w:val="24"/>
          <w:szCs w:val="24"/>
          <w:lang w:val="en-US"/>
        </w:rPr>
        <w:t xml:space="preserve">Cross-Cultural Consumption: Global Markets, Local Realities. </w:t>
      </w:r>
      <w:r w:rsidRPr="009B6D32">
        <w:rPr>
          <w:rFonts w:ascii="Garamond" w:hAnsi="Garamond" w:cs="Garamond"/>
          <w:sz w:val="24"/>
          <w:szCs w:val="24"/>
          <w:lang w:val="en-US"/>
        </w:rPr>
        <w:t>London: Routledge, pp. 173-93</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Clifford, J. (1983) 'On Ethnographic Authority', </w:t>
      </w:r>
      <w:r w:rsidRPr="009B6D32">
        <w:rPr>
          <w:rFonts w:ascii="Garamond" w:hAnsi="Garamond" w:cs="Garamond"/>
          <w:i/>
          <w:sz w:val="24"/>
          <w:szCs w:val="24"/>
          <w:lang w:val="en-US"/>
        </w:rPr>
        <w:t xml:space="preserve">Representations, </w:t>
      </w:r>
      <w:r w:rsidRPr="009B6D32">
        <w:rPr>
          <w:rFonts w:ascii="Garamond" w:hAnsi="Garamond" w:cs="Garamond"/>
          <w:sz w:val="24"/>
          <w:szCs w:val="24"/>
          <w:lang w:val="en-US"/>
        </w:rPr>
        <w:t>2, pp.118-146</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Cloke, P. Cook, I. Crang, P. Goodwin, M. Painter, J and Philo, C. (2004) </w:t>
      </w:r>
      <w:r w:rsidRPr="009B6D32">
        <w:rPr>
          <w:rFonts w:ascii="Garamond" w:hAnsi="Garamond" w:cs="Garamond"/>
          <w:i/>
          <w:sz w:val="24"/>
          <w:szCs w:val="24"/>
          <w:lang w:val="en-US"/>
        </w:rPr>
        <w:t xml:space="preserve">Practicing Human Geography. </w:t>
      </w:r>
      <w:r w:rsidRPr="009B6D32">
        <w:rPr>
          <w:rFonts w:ascii="Garamond" w:hAnsi="Garamond" w:cs="Garamond"/>
          <w:sz w:val="24"/>
          <w:szCs w:val="24"/>
          <w:lang w:val="en-US"/>
        </w:rPr>
        <w:t>London: Sage</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lastRenderedPageBreak/>
        <w:t xml:space="preserve">Clouder, S. and Harrison, R. (2005) ‘The Effectiveness of Ethical Consumer Behaviour’, in Harrison, R., Newholm, T., and Shaw, D. (eds.)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 pp. 89-102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Comaroff, J. (2000) ‘Millenial Capitalism: First Thoughts on a Second Coming</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i/>
          <w:iCs/>
          <w:sz w:val="24"/>
          <w:szCs w:val="24"/>
        </w:rPr>
        <w:t>Public Culture</w:t>
      </w:r>
      <w:r w:rsidRPr="009B6D32">
        <w:rPr>
          <w:rFonts w:ascii="Garamond" w:hAnsi="Garamond" w:cs="Garamond"/>
          <w:iCs/>
          <w:sz w:val="24"/>
          <w:szCs w:val="24"/>
        </w:rPr>
        <w:t>,</w:t>
      </w:r>
      <w:r w:rsidRPr="009B6D32">
        <w:rPr>
          <w:rFonts w:ascii="Garamond" w:hAnsi="Garamond" w:cs="Garamond"/>
          <w:sz w:val="24"/>
          <w:szCs w:val="24"/>
        </w:rPr>
        <w:t xml:space="preserve"> 12(2), pp. 291-34</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Comoroff, J. (1996) ‘The Empires Old Clothes: Fashioning the Colonial Subject’, in Howes, D. (ed.) </w:t>
      </w:r>
      <w:r w:rsidRPr="009B6D32">
        <w:rPr>
          <w:rFonts w:ascii="Garamond" w:hAnsi="Garamond" w:cs="Garamond"/>
          <w:i/>
          <w:iCs/>
          <w:sz w:val="24"/>
          <w:szCs w:val="24"/>
          <w:lang w:val="en-US"/>
        </w:rPr>
        <w:t xml:space="preserve">Cross Cultural Consumption. Global Markets, Local Realities. </w:t>
      </w:r>
      <w:r w:rsidRPr="009B6D32">
        <w:rPr>
          <w:rFonts w:ascii="Garamond" w:hAnsi="Garamond" w:cs="Garamond"/>
          <w:sz w:val="24"/>
          <w:szCs w:val="24"/>
          <w:lang w:val="en-US"/>
        </w:rPr>
        <w:t>London: Routledge, pp. 19-38</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Conrad, J. (2013 [1899]) </w:t>
      </w:r>
      <w:r w:rsidRPr="009B6D32">
        <w:rPr>
          <w:rFonts w:ascii="Garamond" w:hAnsi="Garamond" w:cs="Garamond"/>
          <w:i/>
          <w:sz w:val="24"/>
          <w:szCs w:val="24"/>
          <w:lang w:val="en-US"/>
        </w:rPr>
        <w:t>Heart of Darkness and Other Tales</w:t>
      </w:r>
      <w:r w:rsidRPr="009B6D32">
        <w:rPr>
          <w:rFonts w:ascii="Garamond" w:hAnsi="Garamond" w:cs="Garamond"/>
          <w:sz w:val="24"/>
          <w:szCs w:val="24"/>
          <w:lang w:val="en-US"/>
        </w:rPr>
        <w:t>. London: Harper</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Contemporary Retail Built Environment', </w:t>
      </w:r>
      <w:r w:rsidRPr="009B6D32">
        <w:rPr>
          <w:rFonts w:ascii="Garamond" w:hAnsi="Garamond" w:cs="Garamond"/>
          <w:i/>
          <w:sz w:val="24"/>
          <w:szCs w:val="24"/>
        </w:rPr>
        <w:t>Annals of the Association of American Geographers</w:t>
      </w:r>
      <w:r w:rsidRPr="009B6D32">
        <w:rPr>
          <w:rFonts w:ascii="Garamond" w:hAnsi="Garamond" w:cs="Garamond"/>
          <w:sz w:val="24"/>
          <w:szCs w:val="24"/>
        </w:rPr>
        <w:t>, 83(1), pp. 18-47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Cook, I. and Crang, P. (1996) ‘The world on a plate: culinary culture, displacement and geographical knowledges’, </w:t>
      </w:r>
      <w:r w:rsidRPr="009B6D32">
        <w:rPr>
          <w:rFonts w:ascii="Garamond" w:hAnsi="Garamond" w:cs="Garamond"/>
          <w:i/>
          <w:iCs/>
          <w:sz w:val="24"/>
          <w:szCs w:val="24"/>
        </w:rPr>
        <w:t>Journal of Material Culture</w:t>
      </w:r>
      <w:r w:rsidRPr="009B6D32">
        <w:rPr>
          <w:rFonts w:ascii="Garamond" w:hAnsi="Garamond" w:cs="Garamond"/>
          <w:iCs/>
          <w:sz w:val="24"/>
          <w:szCs w:val="24"/>
        </w:rPr>
        <w:t>,</w:t>
      </w:r>
      <w:r w:rsidRPr="009B6D32">
        <w:rPr>
          <w:rFonts w:ascii="Garamond" w:hAnsi="Garamond" w:cs="Garamond"/>
          <w:sz w:val="24"/>
          <w:szCs w:val="24"/>
        </w:rPr>
        <w:t xml:space="preserve"> 1(2), pp. 131–154</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Cook, I. et al. (2004) ‘Follow the thing: Papaya’, </w:t>
      </w:r>
      <w:r w:rsidRPr="009B6D32">
        <w:rPr>
          <w:rFonts w:ascii="Garamond" w:hAnsi="Garamond" w:cs="Garamond"/>
          <w:i/>
          <w:iCs/>
          <w:sz w:val="24"/>
          <w:szCs w:val="24"/>
          <w:lang w:val="en-US"/>
        </w:rPr>
        <w:t xml:space="preserve">Antipode, </w:t>
      </w:r>
      <w:r w:rsidRPr="009B6D32">
        <w:rPr>
          <w:rFonts w:ascii="Garamond" w:hAnsi="Garamond" w:cs="Garamond"/>
          <w:sz w:val="24"/>
          <w:szCs w:val="24"/>
          <w:lang w:val="en-US"/>
        </w:rPr>
        <w:t>36(4), pp. 642-664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Cook, I. et al. (2006) ‘Geographies of food: Following’,</w:t>
      </w:r>
      <w:r w:rsidRPr="009B6D32">
        <w:rPr>
          <w:rFonts w:ascii="Garamond" w:hAnsi="Garamond" w:cs="Garamond"/>
          <w:i/>
          <w:iCs/>
          <w:sz w:val="24"/>
          <w:szCs w:val="24"/>
        </w:rPr>
        <w:t xml:space="preserve"> Progress in Human Geography, </w:t>
      </w:r>
      <w:r w:rsidRPr="009B6D32">
        <w:rPr>
          <w:rFonts w:ascii="Garamond" w:hAnsi="Garamond" w:cs="Garamond"/>
          <w:sz w:val="24"/>
          <w:szCs w:val="24"/>
        </w:rPr>
        <w:t>30(5), pp. 655-666</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Cook, I. et al. (2011) ‘Geographies of food: ‘Afters’’,</w:t>
      </w:r>
      <w:r w:rsidRPr="009B6D32">
        <w:rPr>
          <w:rFonts w:ascii="Garamond" w:hAnsi="Garamond" w:cs="Garamond"/>
          <w:i/>
          <w:iCs/>
          <w:color w:val="000000"/>
          <w:sz w:val="24"/>
          <w:szCs w:val="24"/>
        </w:rPr>
        <w:t xml:space="preserve"> </w:t>
      </w:r>
      <w:r w:rsidRPr="009B6D32">
        <w:rPr>
          <w:rFonts w:ascii="Garamond" w:hAnsi="Garamond" w:cs="Garamond"/>
          <w:i/>
          <w:iCs/>
          <w:sz w:val="24"/>
          <w:szCs w:val="24"/>
        </w:rPr>
        <w:t>Progress in Human Geography</w:t>
      </w:r>
      <w:r w:rsidRPr="009B6D32">
        <w:rPr>
          <w:rFonts w:ascii="Garamond" w:hAnsi="Garamond" w:cs="Garamond"/>
          <w:color w:val="000000"/>
          <w:sz w:val="24"/>
          <w:szCs w:val="24"/>
        </w:rPr>
        <w:t>, 35(1), pp. 104-120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 xml:space="preserve">Cook, I., Crang, P. and Thorpe, M. (2004) ‘Tropics of consumption: “getting with the fetish” of “exotic” fruit?’, in Hughes, A. and Reimer, S. (eds.) </w:t>
      </w:r>
      <w:r w:rsidRPr="009B6D32">
        <w:rPr>
          <w:rFonts w:ascii="Garamond" w:hAnsi="Garamond" w:cs="Garamond"/>
          <w:i/>
          <w:iCs/>
          <w:sz w:val="24"/>
          <w:szCs w:val="24"/>
          <w:shd w:val="clear" w:color="auto" w:fill="FFFFFF"/>
        </w:rPr>
        <w:t xml:space="preserve">Geographies of Commodity Chains. </w:t>
      </w:r>
      <w:r w:rsidRPr="009B6D32">
        <w:rPr>
          <w:rFonts w:ascii="Garamond" w:hAnsi="Garamond" w:cs="Garamond"/>
          <w:sz w:val="24"/>
          <w:szCs w:val="24"/>
          <w:shd w:val="clear" w:color="auto" w:fill="FFFFFF"/>
        </w:rPr>
        <w:t>London: Routledge, pp. 173–92</w:t>
      </w:r>
    </w:p>
    <w:p w:rsidR="0001718F" w:rsidRPr="009B6D32" w:rsidRDefault="0001718F" w:rsidP="007437F5">
      <w:pPr>
        <w:autoSpaceDE w:val="0"/>
        <w:autoSpaceDN w:val="0"/>
        <w:adjustRightInd w:val="0"/>
        <w:spacing w:after="0" w:line="240" w:lineRule="auto"/>
        <w:ind w:hanging="720"/>
        <w:rPr>
          <w:rStyle w:val="apple-converted-space"/>
        </w:rPr>
      </w:pPr>
      <w:r w:rsidRPr="009B6D32">
        <w:rPr>
          <w:rFonts w:ascii="Garamond" w:hAnsi="Garamond" w:cs="Garamond"/>
          <w:sz w:val="24"/>
          <w:szCs w:val="24"/>
          <w:shd w:val="clear" w:color="auto" w:fill="FFFFFF"/>
        </w:rPr>
        <w:t xml:space="preserve">Corbridge, S. (1993) 'Marxisms, modernities, and moralities: development praxis and the claims of distant strangers. </w:t>
      </w:r>
      <w:r w:rsidRPr="009B6D32">
        <w:rPr>
          <w:rFonts w:ascii="Garamond" w:hAnsi="Garamond" w:cs="Arial"/>
          <w:i/>
          <w:iCs/>
          <w:color w:val="000000"/>
          <w:sz w:val="24"/>
          <w:szCs w:val="24"/>
        </w:rPr>
        <w:t>Environment and Planning D: Society and Space</w:t>
      </w:r>
      <w:r w:rsidRPr="009B6D32">
        <w:rPr>
          <w:rStyle w:val="apple-converted-space"/>
          <w:rFonts w:ascii="Garamond" w:hAnsi="Garamond" w:cs="Arial"/>
          <w:color w:val="000000"/>
          <w:sz w:val="24"/>
          <w:szCs w:val="24"/>
        </w:rPr>
        <w:t xml:space="preserve">, </w:t>
      </w:r>
      <w:r w:rsidRPr="009B6D32">
        <w:rPr>
          <w:rFonts w:ascii="Garamond" w:hAnsi="Garamond" w:cs="Arial"/>
          <w:bCs/>
          <w:color w:val="000000"/>
          <w:sz w:val="24"/>
          <w:szCs w:val="24"/>
        </w:rPr>
        <w:t>11</w:t>
      </w:r>
      <w:r w:rsidRPr="009B6D32">
        <w:rPr>
          <w:rFonts w:ascii="Garamond" w:hAnsi="Garamond" w:cs="Arial"/>
          <w:color w:val="000000"/>
          <w:sz w:val="24"/>
          <w:szCs w:val="24"/>
        </w:rPr>
        <w:t>(4), pp. 449 – 472</w:t>
      </w:r>
    </w:p>
    <w:p w:rsidR="0001718F" w:rsidRPr="009B6D32" w:rsidRDefault="0001718F" w:rsidP="007437F5">
      <w:pPr>
        <w:autoSpaceDE w:val="0"/>
        <w:autoSpaceDN w:val="0"/>
        <w:adjustRightInd w:val="0"/>
        <w:spacing w:after="0" w:line="240" w:lineRule="auto"/>
        <w:ind w:hanging="720"/>
        <w:rPr>
          <w:rFonts w:ascii="Garamond" w:hAnsi="Garamond" w:cs="Arial"/>
          <w:color w:val="000000"/>
          <w:sz w:val="24"/>
          <w:szCs w:val="24"/>
        </w:rPr>
      </w:pPr>
      <w:r w:rsidRPr="009B6D32">
        <w:rPr>
          <w:rFonts w:ascii="Garamond" w:hAnsi="Garamond" w:cs="Times New Roman"/>
          <w:sz w:val="24"/>
          <w:szCs w:val="24"/>
          <w:lang w:val="en-US"/>
        </w:rPr>
        <w:t xml:space="preserve">Cottingham, J. (2000) Partiality, Distance and Moral Obligation. </w:t>
      </w:r>
      <w:r w:rsidRPr="009B6D32">
        <w:rPr>
          <w:rFonts w:ascii="Garamond" w:hAnsi="Garamond" w:cs="Times New Roman"/>
          <w:i/>
          <w:iCs/>
          <w:sz w:val="24"/>
          <w:szCs w:val="24"/>
          <w:lang w:val="en-US"/>
        </w:rPr>
        <w:t xml:space="preserve">Ethics, Place and Environment. </w:t>
      </w:r>
      <w:r w:rsidRPr="009B6D32">
        <w:rPr>
          <w:rFonts w:ascii="Garamond" w:hAnsi="Garamond" w:cs="Times New Roman"/>
          <w:sz w:val="24"/>
          <w:szCs w:val="24"/>
          <w:lang w:val="en-US"/>
        </w:rPr>
        <w:t xml:space="preserve">3:3,309-321 </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Crang P., Dwyer, C. and Jackson, P. (2003) ‘Transnationalism and the spaces of commodity culture’, </w:t>
      </w:r>
      <w:r w:rsidRPr="009B6D32">
        <w:rPr>
          <w:rFonts w:ascii="Garamond" w:hAnsi="Garamond" w:cs="Garamond"/>
          <w:i/>
          <w:iCs/>
          <w:sz w:val="24"/>
          <w:szCs w:val="24"/>
        </w:rPr>
        <w:t xml:space="preserve">Progress in Human Geography, </w:t>
      </w:r>
      <w:r w:rsidRPr="009B6D32">
        <w:rPr>
          <w:rFonts w:ascii="Garamond" w:hAnsi="Garamond" w:cs="Garamond"/>
          <w:sz w:val="24"/>
          <w:szCs w:val="24"/>
        </w:rPr>
        <w:t>27(4), pp. 438-456</w:t>
      </w:r>
    </w:p>
    <w:p w:rsidR="0001718F" w:rsidRDefault="0001718F" w:rsidP="0001718F">
      <w:pPr>
        <w:spacing w:after="0" w:line="240" w:lineRule="auto"/>
        <w:ind w:hanging="720"/>
        <w:jc w:val="both"/>
        <w:rPr>
          <w:rFonts w:ascii="Garamond" w:hAnsi="Garamond" w:cs="F18"/>
          <w:sz w:val="24"/>
          <w:szCs w:val="24"/>
        </w:rPr>
      </w:pPr>
      <w:r>
        <w:rPr>
          <w:rFonts w:ascii="Garamond" w:hAnsi="Garamond" w:cs="F18"/>
          <w:sz w:val="24"/>
          <w:szCs w:val="24"/>
        </w:rPr>
        <w:t xml:space="preserve">Crang, M. (2003) 'Telling Materials' in Pryke, M. Rose, G. Whatmore, S. (eds.) </w:t>
      </w:r>
      <w:r>
        <w:rPr>
          <w:rFonts w:ascii="Garamond" w:hAnsi="Garamond" w:cs="F18"/>
          <w:i/>
          <w:sz w:val="24"/>
          <w:szCs w:val="24"/>
        </w:rPr>
        <w:t xml:space="preserve">Using Social Theory: Thinking Through Research. </w:t>
      </w:r>
      <w:r>
        <w:rPr>
          <w:rFonts w:ascii="Garamond" w:hAnsi="Garamond" w:cs="F18"/>
          <w:sz w:val="24"/>
          <w:szCs w:val="24"/>
        </w:rPr>
        <w:t>London: Sage, 127-145</w:t>
      </w:r>
    </w:p>
    <w:p w:rsidR="0001718F" w:rsidRDefault="0001718F" w:rsidP="0001718F">
      <w:pPr>
        <w:spacing w:after="0" w:line="240" w:lineRule="auto"/>
        <w:ind w:hanging="720"/>
        <w:jc w:val="both"/>
        <w:rPr>
          <w:rFonts w:ascii="Garamond" w:hAnsi="Garamond" w:cs="F18"/>
          <w:sz w:val="24"/>
          <w:szCs w:val="24"/>
        </w:rPr>
      </w:pPr>
      <w:r w:rsidRPr="0025716F">
        <w:rPr>
          <w:rFonts w:ascii="Garamond" w:hAnsi="Garamond" w:cs="F18"/>
          <w:sz w:val="24"/>
          <w:szCs w:val="24"/>
        </w:rPr>
        <w:t>Crang, M. (2005) 'Qualitative methods (part 3) : there is nothing ou</w:t>
      </w:r>
      <w:r>
        <w:rPr>
          <w:rFonts w:ascii="Garamond" w:hAnsi="Garamond" w:cs="F18"/>
          <w:sz w:val="24"/>
          <w:szCs w:val="24"/>
        </w:rPr>
        <w:t xml:space="preserve">tside the text ?', </w:t>
      </w:r>
      <w:r w:rsidRPr="00EC5723">
        <w:rPr>
          <w:rFonts w:ascii="Garamond" w:hAnsi="Garamond" w:cs="F18"/>
          <w:i/>
          <w:sz w:val="24"/>
          <w:szCs w:val="24"/>
        </w:rPr>
        <w:t>Progress in Human Geography.</w:t>
      </w:r>
      <w:r>
        <w:rPr>
          <w:rFonts w:ascii="Garamond" w:hAnsi="Garamond" w:cs="F18"/>
          <w:sz w:val="24"/>
          <w:szCs w:val="24"/>
        </w:rPr>
        <w:t xml:space="preserve"> 29 (2). pp, 225-233</w:t>
      </w:r>
    </w:p>
    <w:p w:rsidR="0001718F" w:rsidRPr="009B6D32" w:rsidRDefault="0001718F" w:rsidP="007437F5">
      <w:pPr>
        <w:autoSpaceDE w:val="0"/>
        <w:autoSpaceDN w:val="0"/>
        <w:adjustRightInd w:val="0"/>
        <w:spacing w:after="0" w:line="240" w:lineRule="auto"/>
        <w:ind w:hanging="720"/>
        <w:rPr>
          <w:rFonts w:ascii="Garamond" w:hAnsi="Garamond" w:cs="CMR10"/>
          <w:sz w:val="24"/>
          <w:szCs w:val="24"/>
        </w:rPr>
      </w:pPr>
      <w:r w:rsidRPr="009B6D32">
        <w:rPr>
          <w:rFonts w:ascii="Garamond" w:hAnsi="Garamond" w:cs="CMR10"/>
          <w:sz w:val="24"/>
          <w:szCs w:val="24"/>
        </w:rPr>
        <w:t xml:space="preserve">Crang, M. and Cook, I. (2008 [1995]) </w:t>
      </w:r>
      <w:r w:rsidRPr="009B6D32">
        <w:rPr>
          <w:rFonts w:ascii="Garamond" w:hAnsi="Garamond" w:cs="CMR10"/>
          <w:i/>
          <w:sz w:val="24"/>
          <w:szCs w:val="24"/>
        </w:rPr>
        <w:t>Doing ethnographies</w:t>
      </w:r>
      <w:r w:rsidRPr="009B6D32">
        <w:rPr>
          <w:rFonts w:ascii="Garamond" w:hAnsi="Garamond" w:cs="CMR10"/>
          <w:sz w:val="24"/>
          <w:szCs w:val="24"/>
        </w:rPr>
        <w:t xml:space="preserve"> Norwich: Geobooks</w:t>
      </w:r>
    </w:p>
    <w:p w:rsidR="0001718F" w:rsidRPr="009B6D32" w:rsidRDefault="0001718F" w:rsidP="007437F5">
      <w:pPr>
        <w:spacing w:after="0"/>
        <w:ind w:hanging="720"/>
        <w:rPr>
          <w:rFonts w:ascii="Garamond" w:hAnsi="Garamond" w:cs="Garamond"/>
          <w:sz w:val="24"/>
          <w:szCs w:val="24"/>
        </w:rPr>
      </w:pPr>
      <w:r w:rsidRPr="009B6D32">
        <w:rPr>
          <w:rStyle w:val="Emphasis"/>
          <w:rFonts w:ascii="Garamond" w:hAnsi="Garamond" w:cs="Arial"/>
          <w:bCs/>
          <w:sz w:val="24"/>
          <w:szCs w:val="24"/>
          <w:shd w:val="clear" w:color="auto" w:fill="FFFFFF"/>
        </w:rPr>
        <w:t>Crang</w:t>
      </w:r>
      <w:r w:rsidRPr="009B6D32">
        <w:rPr>
          <w:rFonts w:ascii="Garamond" w:hAnsi="Garamond" w:cs="Arial"/>
          <w:sz w:val="24"/>
          <w:szCs w:val="24"/>
          <w:shd w:val="clear" w:color="auto" w:fill="FFFFFF"/>
        </w:rPr>
        <w:t>, M.A. and</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Tolia</w:t>
      </w:r>
      <w:r w:rsidRPr="009B6D32">
        <w:rPr>
          <w:rFonts w:ascii="Garamond" w:hAnsi="Garamond" w:cs="Arial"/>
          <w:sz w:val="24"/>
          <w:szCs w:val="24"/>
          <w:shd w:val="clear" w:color="auto" w:fill="FFFFFF"/>
        </w:rPr>
        <w:t>-</w:t>
      </w:r>
      <w:r w:rsidRPr="009B6D32">
        <w:rPr>
          <w:rStyle w:val="Emphasis"/>
          <w:rFonts w:ascii="Garamond" w:hAnsi="Garamond" w:cs="Arial"/>
          <w:bCs/>
          <w:sz w:val="24"/>
          <w:szCs w:val="24"/>
          <w:shd w:val="clear" w:color="auto" w:fill="FFFFFF"/>
        </w:rPr>
        <w:t>Kelly</w:t>
      </w:r>
      <w:r w:rsidRPr="009B6D32">
        <w:rPr>
          <w:rFonts w:ascii="Garamond" w:hAnsi="Garamond" w:cs="Arial"/>
          <w:sz w:val="24"/>
          <w:szCs w:val="24"/>
          <w:shd w:val="clear" w:color="auto" w:fill="FFFFFF"/>
        </w:rPr>
        <w:t>, D.P. (2010) 'Nation, Race and Affect: Senses and Sensibilities at national heritage sites'. Environment and Planning A., 42(2), pp. 315 – 2331</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Crang, P. (1996) ‘Displacement, consumption, and identity’, </w:t>
      </w:r>
      <w:r w:rsidRPr="009B6D32">
        <w:rPr>
          <w:rFonts w:ascii="Garamond" w:hAnsi="Garamond" w:cs="Garamond"/>
          <w:i/>
          <w:iCs/>
          <w:sz w:val="24"/>
          <w:szCs w:val="24"/>
        </w:rPr>
        <w:t>Environment and Planning A</w:t>
      </w:r>
      <w:r w:rsidRPr="009B6D32">
        <w:rPr>
          <w:rFonts w:ascii="Garamond" w:hAnsi="Garamond" w:cs="Garamond"/>
          <w:sz w:val="24"/>
          <w:szCs w:val="24"/>
        </w:rPr>
        <w:t>, 28(1), pp. 47-67</w:t>
      </w:r>
      <w:r w:rsidRPr="009B6D32">
        <w:rPr>
          <w:rFonts w:ascii="Garamond" w:hAnsi="Garamond" w:cs="Garamond"/>
          <w:kern w:val="28"/>
          <w:sz w:val="24"/>
          <w:szCs w:val="24"/>
          <w:lang w:eastAsia="en-GB"/>
        </w:rPr>
        <w:t xml:space="preserve"> </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Crang, P. (2008) ‘Consumption and Its Geographies’, in Daniels P., Bradshaw, M., Shaw, D. and Sidaway, J. (eds.), </w:t>
      </w:r>
      <w:r w:rsidRPr="009B6D32">
        <w:rPr>
          <w:rFonts w:ascii="Garamond" w:hAnsi="Garamond" w:cs="Garamond"/>
          <w:i/>
          <w:iCs/>
          <w:sz w:val="24"/>
          <w:szCs w:val="24"/>
        </w:rPr>
        <w:t>An Introduction to Human Geography:</w:t>
      </w:r>
      <w:r w:rsidRPr="009B6D32">
        <w:rPr>
          <w:rFonts w:ascii="Garamond" w:hAnsi="Garamond" w:cs="Garamond"/>
          <w:sz w:val="24"/>
          <w:szCs w:val="24"/>
        </w:rPr>
        <w:t xml:space="preserve"> </w:t>
      </w:r>
      <w:r w:rsidRPr="009B6D32">
        <w:rPr>
          <w:rFonts w:ascii="Garamond" w:hAnsi="Garamond" w:cs="Garamond"/>
          <w:i/>
          <w:iCs/>
          <w:sz w:val="24"/>
          <w:szCs w:val="24"/>
        </w:rPr>
        <w:t xml:space="preserve">Issues for the 21st Century, </w:t>
      </w:r>
      <w:r w:rsidRPr="009B6D32">
        <w:rPr>
          <w:rFonts w:ascii="Garamond" w:hAnsi="Garamond" w:cs="Garamond"/>
          <w:sz w:val="24"/>
          <w:szCs w:val="24"/>
        </w:rPr>
        <w:t>Harlow: Pearson, pp. 376–398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Crang, P., Dwyer, C. and Jackson, P. (2003) ‘Transnationalism and the spaces of commodity culture’, </w:t>
      </w:r>
      <w:r w:rsidRPr="009B6D32">
        <w:rPr>
          <w:rFonts w:ascii="Garamond" w:hAnsi="Garamond" w:cs="Garamond"/>
          <w:i/>
          <w:iCs/>
          <w:sz w:val="24"/>
          <w:szCs w:val="24"/>
        </w:rPr>
        <w:t>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27(4), pp. 438-456</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Cresswell, T.  (2004) </w:t>
      </w:r>
      <w:r w:rsidRPr="009B6D32">
        <w:rPr>
          <w:rFonts w:ascii="Garamond" w:hAnsi="Garamond" w:cs="Garamond"/>
          <w:i/>
          <w:iCs/>
          <w:sz w:val="24"/>
          <w:szCs w:val="24"/>
        </w:rPr>
        <w:t>Place: A Short Introduction</w:t>
      </w:r>
      <w:r w:rsidRPr="009B6D32">
        <w:rPr>
          <w:rFonts w:ascii="Garamond" w:hAnsi="Garamond" w:cs="Garamond"/>
          <w:sz w:val="24"/>
          <w:szCs w:val="24"/>
        </w:rPr>
        <w:t>. Oxford: Blackwell</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Style w:val="Emphasis"/>
          <w:rFonts w:ascii="Garamond" w:hAnsi="Garamond" w:cs="Arial"/>
          <w:bCs/>
          <w:sz w:val="24"/>
          <w:szCs w:val="24"/>
          <w:shd w:val="clear" w:color="auto" w:fill="FFFFFF"/>
        </w:rPr>
        <w:t>Cresswell, T. (2003) 'Landscape and the obliteration of practice'</w:t>
      </w:r>
      <w:r w:rsidRPr="009B6D32">
        <w:rPr>
          <w:rFonts w:ascii="Garamond" w:hAnsi="Garamond" w:cs="Arial"/>
          <w:sz w:val="24"/>
          <w:szCs w:val="24"/>
          <w:shd w:val="clear" w:color="auto" w:fill="FFFFFF"/>
        </w:rPr>
        <w:t xml:space="preserve">, In Anderson K., Domosh, M., Pile,  S., and Thrift, N. (eds.), </w:t>
      </w:r>
      <w:r w:rsidRPr="009B6D32">
        <w:rPr>
          <w:rFonts w:ascii="Garamond" w:hAnsi="Garamond" w:cs="Arial"/>
          <w:i/>
          <w:sz w:val="24"/>
          <w:szCs w:val="24"/>
          <w:shd w:val="clear" w:color="auto" w:fill="FFFFFF"/>
        </w:rPr>
        <w:t>Handbook of Cultural Geography</w:t>
      </w:r>
      <w:r w:rsidRPr="009B6D32">
        <w:rPr>
          <w:rFonts w:ascii="Garamond" w:hAnsi="Garamond" w:cs="Arial"/>
          <w:sz w:val="24"/>
          <w:szCs w:val="24"/>
          <w:shd w:val="clear" w:color="auto" w:fill="FFFFFF"/>
        </w:rPr>
        <w:t>. London: Sage, pp. 269-283</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Cresswell, T. (2006) </w:t>
      </w:r>
      <w:r w:rsidRPr="009B6D32">
        <w:rPr>
          <w:rFonts w:ascii="Garamond" w:hAnsi="Garamond" w:cs="Garamond"/>
          <w:i/>
          <w:iCs/>
          <w:sz w:val="24"/>
          <w:szCs w:val="24"/>
        </w:rPr>
        <w:t xml:space="preserve">On the Move: Mobility in the Modern Western World.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Crosfield, H. (2008) </w:t>
      </w:r>
      <w:r w:rsidRPr="009B6D32">
        <w:rPr>
          <w:rFonts w:ascii="Garamond" w:hAnsi="Garamond" w:cs="Garamond"/>
          <w:i/>
          <w:iCs/>
          <w:color w:val="000000"/>
          <w:sz w:val="24"/>
          <w:szCs w:val="24"/>
          <w:shd w:val="clear" w:color="auto" w:fill="FFFFFF"/>
        </w:rPr>
        <w:t>'Can you spare me a minute?' How do face to face charity fundraisers contest place and perform passion and suffering?</w:t>
      </w:r>
      <w:r w:rsidRPr="009B6D32">
        <w:rPr>
          <w:rFonts w:ascii="Garamond" w:hAnsi="Garamond" w:cs="Garamond"/>
          <w:iCs/>
          <w:color w:val="000000"/>
          <w:sz w:val="24"/>
          <w:szCs w:val="24"/>
          <w:shd w:val="clear" w:color="auto" w:fill="FFFFFF"/>
        </w:rPr>
        <w:t>.</w:t>
      </w:r>
      <w:r w:rsidRPr="009B6D32">
        <w:rPr>
          <w:rFonts w:ascii="Garamond" w:hAnsi="Garamond" w:cs="Garamond"/>
          <w:color w:val="000000"/>
          <w:sz w:val="24"/>
          <w:szCs w:val="24"/>
          <w:shd w:val="clear" w:color="auto" w:fill="FFFFFF"/>
        </w:rPr>
        <w:t xml:space="preserve">  Unpublished MA Thesis.</w:t>
      </w:r>
      <w:r w:rsidRPr="009B6D32">
        <w:rPr>
          <w:rFonts w:ascii="Garamond" w:hAnsi="Garamond" w:cs="Garamond"/>
          <w:i/>
          <w:iCs/>
          <w:color w:val="000000"/>
          <w:sz w:val="24"/>
          <w:szCs w:val="24"/>
          <w:shd w:val="clear" w:color="auto" w:fill="FFFFFF"/>
        </w:rPr>
        <w:t xml:space="preserve"> </w:t>
      </w:r>
      <w:r w:rsidRPr="009B6D32">
        <w:rPr>
          <w:rFonts w:ascii="Garamond" w:hAnsi="Garamond" w:cs="Garamond"/>
          <w:color w:val="000000"/>
          <w:sz w:val="24"/>
          <w:szCs w:val="24"/>
          <w:shd w:val="clear" w:color="auto" w:fill="FFFFFF"/>
        </w:rPr>
        <w:t>Royal Holloway University of London</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t xml:space="preserve">Crosfield, H. (2013) ‘Review of Michael Carolan’s </w:t>
      </w:r>
      <w:r w:rsidRPr="009B6D32">
        <w:rPr>
          <w:rFonts w:ascii="Garamond" w:hAnsi="Garamond" w:cs="Garamond"/>
          <w:i/>
          <w:sz w:val="24"/>
          <w:szCs w:val="24"/>
        </w:rPr>
        <w:t>Embodied Food Politics</w:t>
      </w:r>
      <w:r w:rsidRPr="009B6D32">
        <w:rPr>
          <w:rFonts w:ascii="Garamond" w:hAnsi="Garamond" w:cs="Garamond"/>
          <w:sz w:val="24"/>
          <w:szCs w:val="24"/>
        </w:rPr>
        <w:t xml:space="preserve">’, </w:t>
      </w:r>
      <w:r w:rsidRPr="009B6D32">
        <w:rPr>
          <w:rFonts w:ascii="Garamond" w:hAnsi="Garamond" w:cs="Garamond"/>
          <w:i/>
          <w:iCs/>
          <w:sz w:val="24"/>
          <w:szCs w:val="24"/>
        </w:rPr>
        <w:t xml:space="preserve">Social </w:t>
      </w:r>
      <w:r w:rsidR="00F152DB">
        <w:rPr>
          <w:rFonts w:ascii="Garamond" w:hAnsi="Garamond" w:cs="Garamond"/>
          <w:i/>
          <w:iCs/>
          <w:sz w:val="24"/>
          <w:szCs w:val="24"/>
        </w:rPr>
        <w:t>and</w:t>
      </w:r>
      <w:r w:rsidRPr="009B6D32">
        <w:rPr>
          <w:rFonts w:ascii="Garamond" w:hAnsi="Garamond" w:cs="Garamond"/>
          <w:i/>
          <w:iCs/>
          <w:sz w:val="24"/>
          <w:szCs w:val="24"/>
        </w:rPr>
        <w:t xml:space="preserve"> Cultural Geography</w:t>
      </w:r>
      <w:r w:rsidRPr="009B6D32">
        <w:rPr>
          <w:rFonts w:ascii="Garamond" w:hAnsi="Garamond" w:cs="Garamond"/>
          <w:sz w:val="24"/>
          <w:szCs w:val="24"/>
        </w:rPr>
        <w:t>, 14(2), pp. 234-241</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rPr>
        <w:lastRenderedPageBreak/>
        <w:t xml:space="preserve">Crush, J. (1993) ‘The long-averted clash: Farm labour competition in the South African countryside’, </w:t>
      </w:r>
      <w:r w:rsidRPr="009B6D32">
        <w:rPr>
          <w:rFonts w:ascii="Garamond" w:hAnsi="Garamond" w:cs="Garamond"/>
          <w:i/>
          <w:iCs/>
          <w:sz w:val="24"/>
          <w:szCs w:val="24"/>
        </w:rPr>
        <w:t>Canadian Journal of African Studies</w:t>
      </w:r>
      <w:r w:rsidRPr="009B6D32">
        <w:rPr>
          <w:rFonts w:ascii="Garamond" w:hAnsi="Garamond" w:cs="Garamond"/>
          <w:sz w:val="24"/>
          <w:szCs w:val="24"/>
        </w:rPr>
        <w:t>, 27(3), pp. 404-423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Crush, J. (2000a) ‘The dark side of democracy: migration, xenophobia and human rights in South Africa’, </w:t>
      </w:r>
      <w:r w:rsidRPr="009B6D32">
        <w:rPr>
          <w:rFonts w:ascii="Garamond" w:hAnsi="Garamond" w:cs="Garamond"/>
          <w:i/>
          <w:iCs/>
          <w:sz w:val="24"/>
          <w:szCs w:val="24"/>
        </w:rPr>
        <w:t xml:space="preserve">International Migration, </w:t>
      </w:r>
      <w:r w:rsidRPr="009B6D32">
        <w:rPr>
          <w:rFonts w:ascii="Garamond" w:hAnsi="Garamond" w:cs="Garamond"/>
          <w:sz w:val="24"/>
          <w:szCs w:val="24"/>
        </w:rPr>
        <w:t>38(6), pp. 103-135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Crush, J. (2000b) 'Relating migration in the 21st century: A South African perspective', </w:t>
      </w:r>
      <w:r w:rsidRPr="009B6D32">
        <w:rPr>
          <w:rFonts w:ascii="Garamond" w:hAnsi="Garamond" w:cs="Garamond"/>
          <w:i/>
          <w:sz w:val="24"/>
          <w:szCs w:val="24"/>
        </w:rPr>
        <w:t xml:space="preserve">Panel Discussion on the 21st Century Challenges of Migration, </w:t>
      </w:r>
      <w:r w:rsidRPr="009B6D32">
        <w:rPr>
          <w:rFonts w:ascii="Garamond" w:hAnsi="Garamond" w:cs="Garamond"/>
          <w:sz w:val="24"/>
          <w:szCs w:val="24"/>
        </w:rPr>
        <w:t xml:space="preserve">Queens University, Ontario. Available online at, </w:t>
      </w:r>
      <w:r w:rsidRPr="009B6D32">
        <w:rPr>
          <w:rFonts w:ascii="Garamond" w:hAnsi="Garamond"/>
          <w:sz w:val="24"/>
          <w:szCs w:val="24"/>
        </w:rPr>
        <w:t>http://www.queensu.ca/samp/sampresources/migrationdocuments/speeches/2000/crush.htm. Accessed 15 April 2012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Crush, J. and McDonald, D. (2001) ‘Introduction to special issue: Evaluating South African immigration policy after apartheid’, </w:t>
      </w:r>
      <w:r w:rsidRPr="009B6D32">
        <w:rPr>
          <w:rFonts w:ascii="Garamond" w:hAnsi="Garamond" w:cs="Garamond"/>
          <w:i/>
          <w:iCs/>
          <w:sz w:val="24"/>
          <w:szCs w:val="24"/>
        </w:rPr>
        <w:t xml:space="preserve">Africa Today, </w:t>
      </w:r>
      <w:r w:rsidRPr="009B6D32">
        <w:rPr>
          <w:rFonts w:ascii="Garamond" w:hAnsi="Garamond" w:cs="Garamond"/>
          <w:sz w:val="24"/>
          <w:szCs w:val="24"/>
        </w:rPr>
        <w:t>48(3), pp. 1-13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Crush, J. and Wellings, P. (1983) ‘The South African pleasure periphery, 1966-83’, </w:t>
      </w:r>
      <w:r w:rsidRPr="009B6D32">
        <w:rPr>
          <w:rFonts w:ascii="Garamond" w:hAnsi="Garamond" w:cs="Garamond"/>
          <w:i/>
          <w:iCs/>
          <w:sz w:val="24"/>
          <w:szCs w:val="24"/>
        </w:rPr>
        <w:t xml:space="preserve">The Journal of Modern African Studies, </w:t>
      </w:r>
      <w:r w:rsidRPr="009B6D32">
        <w:rPr>
          <w:rFonts w:ascii="Garamond" w:hAnsi="Garamond" w:cs="Garamond"/>
          <w:sz w:val="24"/>
          <w:szCs w:val="24"/>
        </w:rPr>
        <w:t>21(4), pp. 673-698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Crush, J., Williams, V. and Perberdy, S. (2005) ‘Migration in Southern Africa’, </w:t>
      </w:r>
      <w:r w:rsidRPr="009B6D32">
        <w:rPr>
          <w:rFonts w:ascii="Garamond" w:hAnsi="Garamond" w:cs="Garamond"/>
          <w:i/>
          <w:iCs/>
          <w:sz w:val="24"/>
          <w:szCs w:val="24"/>
        </w:rPr>
        <w:t>A paper prepared for the Policy Analysis and Research Programme of the Global Commission on International Migration</w:t>
      </w:r>
      <w:r w:rsidRPr="009B6D32">
        <w:rPr>
          <w:rFonts w:ascii="Garamond" w:hAnsi="Garamond" w:cs="Garamond"/>
          <w:iCs/>
          <w:sz w:val="24"/>
          <w:szCs w:val="24"/>
        </w:rPr>
        <w:t>, pp. 1-39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Dalcanton, C.D. (1976) ‘Vorster and the Politics of Confidence 1966-1974’, </w:t>
      </w:r>
      <w:r w:rsidRPr="009B6D32">
        <w:rPr>
          <w:rFonts w:ascii="Garamond" w:hAnsi="Garamond" w:cs="Garamond"/>
          <w:i/>
          <w:iCs/>
          <w:sz w:val="24"/>
          <w:szCs w:val="24"/>
        </w:rPr>
        <w:t>The Royal African Society: African Affairs</w:t>
      </w:r>
      <w:r w:rsidRPr="009B6D32">
        <w:rPr>
          <w:rFonts w:ascii="Garamond" w:hAnsi="Garamond" w:cs="Garamond"/>
          <w:sz w:val="24"/>
          <w:szCs w:val="24"/>
        </w:rPr>
        <w:t>, 75(299), pp. 163-181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Darling, J. (2010) ‘Teaching and Learning Guide for: Thinking Beyond Place: The Responsibilities of a Relational Spatial Politics’, </w:t>
      </w:r>
      <w:r w:rsidRPr="009B6D32">
        <w:rPr>
          <w:rFonts w:ascii="Garamond" w:hAnsi="Garamond" w:cs="Garamond"/>
          <w:i/>
          <w:iCs/>
          <w:color w:val="000000"/>
          <w:sz w:val="24"/>
          <w:szCs w:val="24"/>
          <w:shd w:val="clear" w:color="auto" w:fill="FFFFFF"/>
        </w:rPr>
        <w:t xml:space="preserve">Geography Compass, </w:t>
      </w:r>
      <w:r w:rsidRPr="009B6D32">
        <w:rPr>
          <w:rFonts w:ascii="Garamond" w:hAnsi="Garamond" w:cs="Garamond"/>
          <w:color w:val="000000"/>
          <w:sz w:val="24"/>
          <w:szCs w:val="24"/>
          <w:shd w:val="clear" w:color="auto" w:fill="FFFFFF"/>
        </w:rPr>
        <w:t>4(6), pp. 676-681</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David, F. (1999) ‘New Threats or Old Stereotypes? The revival of ‘trafficking’ as a discourse’, </w:t>
      </w:r>
      <w:r w:rsidRPr="009B6D32">
        <w:rPr>
          <w:rFonts w:ascii="Garamond" w:hAnsi="Garamond" w:cs="Garamond"/>
          <w:iCs/>
          <w:sz w:val="24"/>
          <w:szCs w:val="24"/>
          <w:lang w:val="en-US"/>
        </w:rPr>
        <w:t>History of Crime, Policing and Punishment Conference. Charles Stuart University, 9-10 December</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David, F. (2010) </w:t>
      </w:r>
      <w:r w:rsidRPr="009B6D32">
        <w:rPr>
          <w:rFonts w:ascii="Garamond" w:hAnsi="Garamond"/>
          <w:i/>
          <w:sz w:val="24"/>
          <w:szCs w:val="24"/>
        </w:rPr>
        <w:t>Labour trafficking</w:t>
      </w:r>
      <w:r w:rsidRPr="009B6D32">
        <w:rPr>
          <w:rFonts w:ascii="Garamond" w:hAnsi="Garamond"/>
          <w:sz w:val="24"/>
          <w:szCs w:val="24"/>
        </w:rPr>
        <w:t xml:space="preserve"> [Online]</w:t>
      </w:r>
      <w:r w:rsidRPr="009B6D32">
        <w:rPr>
          <w:rFonts w:ascii="Garamond" w:hAnsi="Garamond"/>
          <w:i/>
          <w:sz w:val="24"/>
          <w:szCs w:val="24"/>
        </w:rPr>
        <w:t>.</w:t>
      </w:r>
      <w:r w:rsidRPr="009B6D32">
        <w:rPr>
          <w:rFonts w:ascii="Garamond" w:hAnsi="Garamond"/>
          <w:sz w:val="24"/>
          <w:szCs w:val="24"/>
        </w:rPr>
        <w:t xml:space="preserve"> Australian Institute of Criminology. Available at: http://www.aic.gov.au/document s/A/9/0/%7BA90867A2-1558-4B01-A233-34B3381D2F6D%7Drp p108.pdf (Accessed 14 September 2013)</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Arial"/>
          <w:color w:val="000000"/>
          <w:sz w:val="24"/>
          <w:szCs w:val="24"/>
          <w:shd w:val="clear" w:color="auto" w:fill="FFFFFF"/>
        </w:rPr>
        <w:t xml:space="preserve">David, H. T. (2007) 'Transnational advocacy in the eighteenth century: transatlantic activism and the anti-slavery movement', </w:t>
      </w:r>
      <w:r w:rsidRPr="009B6D32">
        <w:rPr>
          <w:rFonts w:ascii="Garamond" w:hAnsi="Garamond" w:cs="Arial"/>
          <w:i/>
          <w:color w:val="000000"/>
          <w:sz w:val="24"/>
          <w:szCs w:val="24"/>
          <w:shd w:val="clear" w:color="auto" w:fill="FFFFFF"/>
        </w:rPr>
        <w:t>Global Networks</w:t>
      </w:r>
      <w:r w:rsidRPr="009B6D32">
        <w:rPr>
          <w:rFonts w:ascii="Garamond" w:hAnsi="Garamond" w:cs="Arial"/>
          <w:color w:val="000000"/>
          <w:sz w:val="24"/>
          <w:szCs w:val="24"/>
          <w:shd w:val="clear" w:color="auto" w:fill="FFFFFF"/>
        </w:rPr>
        <w:t>, (7), pp. 367–382</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Davidson, D.K. (1995) ‘Ten tips for boycott targets’, </w:t>
      </w:r>
      <w:r w:rsidRPr="009B6D32">
        <w:rPr>
          <w:rFonts w:ascii="Garamond" w:hAnsi="Garamond" w:cs="Garamond"/>
          <w:i/>
          <w:iCs/>
          <w:sz w:val="24"/>
          <w:szCs w:val="24"/>
          <w:lang w:val="en-US"/>
        </w:rPr>
        <w:t xml:space="preserve">Business Horizons, </w:t>
      </w:r>
      <w:r w:rsidRPr="009B6D32">
        <w:rPr>
          <w:rFonts w:ascii="Garamond" w:hAnsi="Garamond" w:cs="Garamond"/>
          <w:sz w:val="24"/>
          <w:szCs w:val="24"/>
          <w:lang w:val="en-US"/>
        </w:rPr>
        <w:t>38(2), pp. 77-80</w:t>
      </w:r>
    </w:p>
    <w:p w:rsidR="0001718F" w:rsidRPr="009B6D32" w:rsidRDefault="0001718F" w:rsidP="007437F5">
      <w:pPr>
        <w:spacing w:after="0"/>
        <w:ind w:hanging="720"/>
        <w:rPr>
          <w:rFonts w:ascii="Garamond" w:hAnsi="Garamond" w:cs="Garamond"/>
          <w:sz w:val="24"/>
          <w:szCs w:val="24"/>
        </w:rPr>
      </w:pPr>
      <w:r w:rsidRPr="009B6D32">
        <w:rPr>
          <w:rFonts w:ascii="Garamond" w:hAnsi="Garamond" w:cs="Garamond"/>
          <w:sz w:val="24"/>
          <w:szCs w:val="24"/>
          <w:lang w:val="en-US"/>
        </w:rPr>
        <w:t xml:space="preserve">Davis, B. (1975) </w:t>
      </w:r>
      <w:r w:rsidRPr="009B6D32">
        <w:rPr>
          <w:rFonts w:ascii="Garamond" w:hAnsi="Garamond" w:cs="Garamond"/>
          <w:i/>
          <w:sz w:val="24"/>
          <w:szCs w:val="24"/>
          <w:lang w:val="en-US"/>
        </w:rPr>
        <w:t>The Problem of Slavery in the Age of Revolution</w:t>
      </w:r>
      <w:r w:rsidRPr="009B6D32">
        <w:rPr>
          <w:rFonts w:ascii="Garamond" w:hAnsi="Garamond" w:cs="Garamond"/>
          <w:sz w:val="24"/>
          <w:szCs w:val="24"/>
          <w:lang w:val="en-US"/>
        </w:rPr>
        <w:t xml:space="preserve">, </w:t>
      </w:r>
      <w:r w:rsidRPr="009B6D32">
        <w:rPr>
          <w:rFonts w:ascii="Garamond" w:hAnsi="Garamond" w:cs="Garamond"/>
          <w:i/>
          <w:sz w:val="24"/>
          <w:szCs w:val="24"/>
          <w:lang w:val="en-US"/>
        </w:rPr>
        <w:t>1770-1823</w:t>
      </w:r>
      <w:r w:rsidRPr="009B6D32">
        <w:rPr>
          <w:rFonts w:ascii="Garamond" w:hAnsi="Garamond" w:cs="Garamond"/>
          <w:sz w:val="24"/>
          <w:szCs w:val="24"/>
          <w:lang w:val="en-US"/>
        </w:rPr>
        <w:t>. Ithaca: Cornell University Press</w:t>
      </w:r>
    </w:p>
    <w:p w:rsidR="00AE09DA"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cs="Garamond"/>
          <w:sz w:val="24"/>
          <w:szCs w:val="24"/>
          <w:lang w:val="en-US"/>
        </w:rPr>
        <w:t>Dayan, D. ‘</w:t>
      </w:r>
      <w:r w:rsidRPr="009B6D32">
        <w:rPr>
          <w:rFonts w:ascii="Garamond" w:hAnsi="Garamond"/>
          <w:sz w:val="24"/>
          <w:szCs w:val="24"/>
        </w:rPr>
        <w:t xml:space="preserve">On Morality, Distance and the Other. Roger Silverstone's </w:t>
      </w:r>
      <w:r w:rsidRPr="009B6D32">
        <w:rPr>
          <w:rFonts w:ascii="Garamond" w:hAnsi="Garamond"/>
          <w:i/>
          <w:sz w:val="24"/>
          <w:szCs w:val="24"/>
        </w:rPr>
        <w:t>Media and Morality</w:t>
      </w:r>
      <w:r w:rsidRPr="009B6D32">
        <w:rPr>
          <w:rFonts w:ascii="Garamond" w:hAnsi="Garamond"/>
          <w:sz w:val="24"/>
          <w:szCs w:val="24"/>
        </w:rPr>
        <w:t>’,</w:t>
      </w:r>
      <w:r w:rsidRPr="009B6D32">
        <w:rPr>
          <w:rFonts w:ascii="Garamond" w:hAnsi="Garamond"/>
          <w:i/>
          <w:sz w:val="24"/>
          <w:szCs w:val="24"/>
        </w:rPr>
        <w:t xml:space="preserve"> </w:t>
      </w:r>
      <w:r w:rsidRPr="009B6D32">
        <w:rPr>
          <w:rFonts w:ascii="Garamond" w:hAnsi="Garamond" w:cs="Verdana"/>
          <w:i/>
          <w:sz w:val="24"/>
          <w:szCs w:val="24"/>
        </w:rPr>
        <w:t>International Journal of Communication</w:t>
      </w:r>
      <w:r w:rsidRPr="009B6D32">
        <w:rPr>
          <w:rFonts w:ascii="Garamond" w:hAnsi="Garamond" w:cs="Verdana"/>
          <w:sz w:val="24"/>
          <w:szCs w:val="24"/>
        </w:rPr>
        <w:t>, 1, pp. 113-122</w:t>
      </w:r>
    </w:p>
    <w:p w:rsidR="0001718F" w:rsidRPr="00AE09DA" w:rsidRDefault="00AE09DA" w:rsidP="007437F5">
      <w:pPr>
        <w:autoSpaceDE w:val="0"/>
        <w:autoSpaceDN w:val="0"/>
        <w:adjustRightInd w:val="0"/>
        <w:spacing w:after="0" w:line="240" w:lineRule="auto"/>
        <w:ind w:hanging="720"/>
        <w:rPr>
          <w:rFonts w:ascii="Garamond" w:hAnsi="Garamond" w:cs="Verdana"/>
          <w:sz w:val="24"/>
          <w:szCs w:val="24"/>
        </w:rPr>
      </w:pPr>
      <w:r>
        <w:rPr>
          <w:rFonts w:ascii="Garamond" w:hAnsi="Garamond" w:cs="Verdana"/>
          <w:sz w:val="24"/>
          <w:szCs w:val="24"/>
        </w:rPr>
        <w:t xml:space="preserve">De Certeau, M. (1984) </w:t>
      </w:r>
      <w:r>
        <w:rPr>
          <w:rFonts w:ascii="Garamond" w:hAnsi="Garamond" w:cs="Verdana"/>
          <w:i/>
          <w:sz w:val="24"/>
          <w:szCs w:val="24"/>
        </w:rPr>
        <w:t>The Practice of Everyday Life</w:t>
      </w:r>
      <w:r>
        <w:rPr>
          <w:rFonts w:ascii="Garamond" w:hAnsi="Garamond" w:cs="Verdana"/>
          <w:sz w:val="24"/>
          <w:szCs w:val="24"/>
        </w:rPr>
        <w:t>, trans by. Steven Rendall, Berkley: University of California Press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De Marchi, N. (1999) ‘Adam Smith</w:t>
      </w:r>
      <w:r w:rsidRPr="009B6D32">
        <w:rPr>
          <w:rFonts w:ascii="Garamond" w:hAnsi="Garamond" w:cs="Garamond"/>
          <w:sz w:val="24"/>
          <w:szCs w:val="24"/>
        </w:rPr>
        <w:t>’</w:t>
      </w:r>
      <w:r w:rsidRPr="009B6D32">
        <w:rPr>
          <w:rFonts w:ascii="Garamond" w:hAnsi="Garamond" w:cs="Garamond"/>
          <w:sz w:val="24"/>
          <w:szCs w:val="24"/>
          <w:lang w:val="en-US"/>
        </w:rPr>
        <w:t xml:space="preserve">s accommodation of </w:t>
      </w:r>
      <w:r w:rsidRPr="009B6D32">
        <w:rPr>
          <w:rFonts w:ascii="Garamond" w:hAnsi="Garamond" w:cs="Garamond"/>
          <w:sz w:val="24"/>
          <w:szCs w:val="24"/>
        </w:rPr>
        <w:t>‘</w:t>
      </w:r>
      <w:r w:rsidRPr="009B6D32">
        <w:rPr>
          <w:rFonts w:ascii="Garamond" w:hAnsi="Garamond" w:cs="Garamond"/>
          <w:sz w:val="24"/>
          <w:szCs w:val="24"/>
          <w:lang w:val="en-US"/>
        </w:rPr>
        <w:t>altogether endless</w:t>
      </w:r>
      <w:r w:rsidRPr="009B6D32">
        <w:rPr>
          <w:rFonts w:ascii="Garamond" w:hAnsi="Garamond" w:cs="Garamond"/>
          <w:sz w:val="24"/>
          <w:szCs w:val="24"/>
        </w:rPr>
        <w:t>’</w:t>
      </w:r>
      <w:r w:rsidRPr="009B6D32">
        <w:rPr>
          <w:rFonts w:ascii="Garamond" w:hAnsi="Garamond" w:cs="Garamond"/>
          <w:sz w:val="24"/>
          <w:szCs w:val="24"/>
          <w:lang w:val="en-US"/>
        </w:rPr>
        <w:t xml:space="preserve"> desires’, in</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 xml:space="preserve">Berg, M. and Clifford, H. (eds.) </w:t>
      </w:r>
      <w:r w:rsidRPr="009B6D32">
        <w:rPr>
          <w:rFonts w:ascii="Garamond" w:hAnsi="Garamond" w:cs="Garamond"/>
          <w:i/>
          <w:sz w:val="24"/>
          <w:szCs w:val="24"/>
          <w:lang w:val="en-US"/>
        </w:rPr>
        <w:t>Consumers and Luxury: Consumer Culture in Europe 1650-1850</w:t>
      </w:r>
      <w:r w:rsidRPr="009B6D32">
        <w:rPr>
          <w:rFonts w:ascii="Garamond" w:hAnsi="Garamond" w:cs="Garamond"/>
          <w:sz w:val="24"/>
          <w:szCs w:val="24"/>
          <w:lang w:val="en-US"/>
        </w:rPr>
        <w:t>. Manchester: Manchester University Press</w:t>
      </w:r>
      <w:r w:rsidRPr="009B6D32">
        <w:rPr>
          <w:rFonts w:ascii="Garamond" w:hAnsi="Garamond" w:cs="Garamond"/>
          <w:i/>
          <w:sz w:val="24"/>
          <w:szCs w:val="24"/>
          <w:lang w:val="en-US"/>
        </w:rPr>
        <w:t xml:space="preserve">, </w:t>
      </w:r>
      <w:r w:rsidRPr="009B6D32">
        <w:rPr>
          <w:rFonts w:ascii="Garamond" w:hAnsi="Garamond" w:cs="Garamond"/>
          <w:sz w:val="24"/>
          <w:szCs w:val="24"/>
          <w:lang w:val="en-US"/>
        </w:rPr>
        <w:t>pp. 18-36</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cs="Verdana"/>
          <w:sz w:val="24"/>
          <w:szCs w:val="24"/>
        </w:rPr>
        <w:t xml:space="preserve">Dean, J. (2005) 'Communicative capitalism: Circulation and the foreclosure of politics', </w:t>
      </w:r>
      <w:r w:rsidRPr="009B6D32">
        <w:rPr>
          <w:rFonts w:ascii="Garamond" w:hAnsi="Garamond" w:cs="Verdana"/>
          <w:i/>
          <w:sz w:val="24"/>
          <w:szCs w:val="24"/>
        </w:rPr>
        <w:t xml:space="preserve">Cultural Politics, </w:t>
      </w:r>
      <w:r w:rsidRPr="009B6D32">
        <w:rPr>
          <w:rFonts w:ascii="Garamond" w:hAnsi="Garamond" w:cs="Verdana"/>
          <w:sz w:val="24"/>
          <w:szCs w:val="24"/>
        </w:rPr>
        <w:t>1(1), pp.51-74</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sz w:val="24"/>
          <w:szCs w:val="24"/>
        </w:rPr>
        <w:t xml:space="preserve"> </w:t>
      </w:r>
      <w:r w:rsidRPr="009B6D32">
        <w:rPr>
          <w:rFonts w:ascii="Garamond" w:hAnsi="Garamond" w:cs="Verdana"/>
          <w:sz w:val="24"/>
          <w:szCs w:val="24"/>
        </w:rPr>
        <w:t>Dean, J. (2009)</w:t>
      </w:r>
      <w:r w:rsidRPr="009B6D32">
        <w:rPr>
          <w:rFonts w:ascii="Garamond" w:hAnsi="Garamond" w:cs="Verdana"/>
          <w:i/>
          <w:sz w:val="24"/>
          <w:szCs w:val="24"/>
        </w:rPr>
        <w:t xml:space="preserve">Democracy and other neoliberal fantasies: Communicative capitalism and left politics. </w:t>
      </w:r>
      <w:r w:rsidRPr="009B6D32">
        <w:rPr>
          <w:rFonts w:ascii="Garamond" w:hAnsi="Garamond" w:cs="Verdana"/>
          <w:sz w:val="24"/>
          <w:szCs w:val="24"/>
        </w:rPr>
        <w:t xml:space="preserve">Durham: Duke University Press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Delaney, D. (2002) ‘The space that race makes’, </w:t>
      </w:r>
      <w:r w:rsidRPr="009B6D32">
        <w:rPr>
          <w:rFonts w:ascii="Garamond" w:hAnsi="Garamond" w:cs="Garamond"/>
          <w:i/>
          <w:iCs/>
          <w:sz w:val="24"/>
          <w:szCs w:val="24"/>
        </w:rPr>
        <w:t>The Professional Geographer</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54(1), pp. 6-14</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Deleuze, G.  (1990 [1968]) </w:t>
      </w:r>
      <w:r w:rsidRPr="009B6D32">
        <w:rPr>
          <w:rFonts w:ascii="Garamond" w:hAnsi="Garamond" w:cs="Garamond"/>
          <w:i/>
          <w:iCs/>
          <w:sz w:val="24"/>
          <w:szCs w:val="24"/>
        </w:rPr>
        <w:t xml:space="preserve">Expressionism in Philosophy: Spinoza, </w:t>
      </w:r>
      <w:r w:rsidRPr="009B6D32">
        <w:rPr>
          <w:rFonts w:ascii="Garamond" w:hAnsi="Garamond" w:cs="Garamond"/>
          <w:sz w:val="24"/>
          <w:szCs w:val="24"/>
        </w:rPr>
        <w:t>translated by Joughin, M.</w:t>
      </w:r>
      <w:r w:rsidRPr="009B6D32">
        <w:rPr>
          <w:rFonts w:ascii="Garamond" w:hAnsi="Garamond" w:cs="Garamond"/>
          <w:i/>
          <w:iCs/>
          <w:sz w:val="24"/>
          <w:szCs w:val="24"/>
        </w:rPr>
        <w:t xml:space="preserve"> </w:t>
      </w:r>
      <w:r w:rsidRPr="009B6D32">
        <w:rPr>
          <w:rFonts w:ascii="Garamond" w:hAnsi="Garamond" w:cs="Garamond"/>
          <w:sz w:val="24"/>
          <w:szCs w:val="24"/>
        </w:rPr>
        <w:t>New York: Zone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rPr>
        <w:t xml:space="preserve">Deleuze, G. (2004 [1969]) </w:t>
      </w:r>
      <w:r w:rsidRPr="009B6D32">
        <w:rPr>
          <w:rFonts w:ascii="Garamond" w:hAnsi="Garamond" w:cs="Garamond"/>
          <w:i/>
          <w:iCs/>
          <w:sz w:val="24"/>
          <w:szCs w:val="24"/>
        </w:rPr>
        <w:t xml:space="preserve">The Logic of Sens. </w:t>
      </w:r>
      <w:r w:rsidRPr="009B6D32">
        <w:rPr>
          <w:rFonts w:ascii="Garamond" w:hAnsi="Garamond" w:cs="Garamond"/>
          <w:sz w:val="24"/>
          <w:szCs w:val="24"/>
        </w:rPr>
        <w:t>London: Continuum</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rPr>
        <w:t xml:space="preserve">Deleuze, G. and Guattari, F. (1977 [1972]) </w:t>
      </w:r>
      <w:r w:rsidRPr="009B6D32">
        <w:rPr>
          <w:rFonts w:ascii="Garamond" w:hAnsi="Garamond" w:cs="Garamond"/>
          <w:i/>
          <w:iCs/>
          <w:sz w:val="24"/>
          <w:szCs w:val="24"/>
        </w:rPr>
        <w:t xml:space="preserve">A Thousand Plateaus: Capitalism and Schizophrenia, </w:t>
      </w:r>
      <w:r w:rsidRPr="009B6D32">
        <w:rPr>
          <w:rFonts w:ascii="Garamond" w:hAnsi="Garamond" w:cs="Garamond"/>
          <w:sz w:val="24"/>
          <w:szCs w:val="24"/>
        </w:rPr>
        <w:t>translated by Hurley, R., Seem, M. and Lane</w:t>
      </w:r>
      <w:r w:rsidRPr="009B6D32">
        <w:rPr>
          <w:rFonts w:ascii="Garamond" w:hAnsi="Garamond" w:cs="Garamond"/>
          <w:i/>
          <w:iCs/>
          <w:sz w:val="24"/>
          <w:szCs w:val="24"/>
        </w:rPr>
        <w:t xml:space="preserve">, </w:t>
      </w:r>
      <w:r w:rsidRPr="009B6D32">
        <w:rPr>
          <w:rFonts w:ascii="Garamond" w:hAnsi="Garamond" w:cs="Garamond"/>
          <w:iCs/>
          <w:sz w:val="24"/>
          <w:szCs w:val="24"/>
        </w:rPr>
        <w:t>H. R.,</w:t>
      </w:r>
      <w:r w:rsidRPr="009B6D32">
        <w:rPr>
          <w:rFonts w:ascii="Garamond" w:hAnsi="Garamond" w:cs="Garamond"/>
          <w:i/>
          <w:iCs/>
          <w:sz w:val="24"/>
          <w:szCs w:val="24"/>
        </w:rPr>
        <w:t xml:space="preserve"> </w:t>
      </w:r>
      <w:r w:rsidRPr="009B6D32">
        <w:rPr>
          <w:rFonts w:ascii="Garamond" w:hAnsi="Garamond" w:cs="Garamond"/>
          <w:sz w:val="24"/>
          <w:szCs w:val="24"/>
        </w:rPr>
        <w:t>Minneapolis: University of Minnesota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eastAsia="Times New Roman" w:hAnsi="Garamond" w:cs="Arial"/>
          <w:sz w:val="24"/>
          <w:szCs w:val="24"/>
          <w:lang w:eastAsia="en-GB"/>
        </w:rPr>
        <w:t>Deleuze, G. (1983 [1962]) </w:t>
      </w:r>
      <w:r w:rsidRPr="009B6D32">
        <w:rPr>
          <w:rFonts w:ascii="Garamond" w:eastAsia="Times New Roman" w:hAnsi="Garamond" w:cs="Arial"/>
          <w:i/>
          <w:iCs/>
          <w:sz w:val="24"/>
          <w:szCs w:val="24"/>
          <w:lang w:eastAsia="en-GB"/>
        </w:rPr>
        <w:t>Nietzsche and Philosophy</w:t>
      </w:r>
      <w:r w:rsidRPr="009B6D32">
        <w:rPr>
          <w:rFonts w:ascii="Garamond" w:eastAsia="Times New Roman" w:hAnsi="Garamond" w:cs="Arial"/>
          <w:sz w:val="24"/>
          <w:szCs w:val="24"/>
          <w:lang w:eastAsia="en-GB"/>
        </w:rPr>
        <w:t>. London: Athlone Press</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rPr>
        <w:t xml:space="preserve">Descartes, R. (2005 [1641]) </w:t>
      </w:r>
      <w:r w:rsidRPr="009B6D32">
        <w:rPr>
          <w:rFonts w:ascii="Garamond" w:hAnsi="Garamond" w:cs="Garamond"/>
          <w:i/>
          <w:iCs/>
          <w:sz w:val="24"/>
          <w:szCs w:val="24"/>
        </w:rPr>
        <w:t>Meditations of First Philosophy</w:t>
      </w:r>
      <w:r w:rsidRPr="009B6D32">
        <w:rPr>
          <w:rFonts w:ascii="Garamond" w:hAnsi="Garamond" w:cs="Garamond"/>
          <w:sz w:val="24"/>
          <w:szCs w:val="24"/>
        </w:rPr>
        <w:t>. Objective Systems Pty Ltd</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rPr>
        <w:lastRenderedPageBreak/>
        <w:t xml:space="preserve">DeVerteuil, G. (2004) ‘Systematic inquiry into barriers of research access: Evidence from a homeless shelter’, </w:t>
      </w:r>
      <w:r w:rsidRPr="009B6D32">
        <w:rPr>
          <w:rFonts w:ascii="Garamond" w:hAnsi="Garamond" w:cs="Garamond"/>
          <w:i/>
          <w:iCs/>
          <w:sz w:val="24"/>
          <w:szCs w:val="24"/>
        </w:rPr>
        <w:t>Professional Geographer</w:t>
      </w:r>
      <w:r w:rsidRPr="009B6D32">
        <w:rPr>
          <w:rFonts w:ascii="Garamond" w:hAnsi="Garamond" w:cs="Garamond"/>
          <w:sz w:val="24"/>
          <w:szCs w:val="24"/>
        </w:rPr>
        <w:t>, 56(3), pp. 372-380</w:t>
      </w:r>
    </w:p>
    <w:p w:rsidR="0001718F" w:rsidRPr="009B6D32" w:rsidRDefault="0001718F" w:rsidP="007437F5">
      <w:pPr>
        <w:autoSpaceDE w:val="0"/>
        <w:autoSpaceDN w:val="0"/>
        <w:adjustRightInd w:val="0"/>
        <w:spacing w:after="0" w:line="240" w:lineRule="auto"/>
        <w:ind w:left="-720"/>
        <w:rPr>
          <w:rFonts w:ascii="Garamond" w:hAnsi="Garamond" w:cs="Garamond"/>
          <w:sz w:val="24"/>
          <w:szCs w:val="24"/>
        </w:rPr>
      </w:pPr>
      <w:r w:rsidRPr="009B6D32">
        <w:rPr>
          <w:rFonts w:ascii="Garamond" w:hAnsi="Garamond" w:cs="Garamond"/>
          <w:sz w:val="24"/>
          <w:szCs w:val="24"/>
        </w:rPr>
        <w:t xml:space="preserve">Dhlamini, N., Kajee, Y., Miji, S., Nzo, A., Tambo, O. (1977) </w:t>
      </w:r>
      <w:r w:rsidRPr="009B6D32">
        <w:rPr>
          <w:rFonts w:ascii="Garamond" w:hAnsi="Garamond" w:cs="Garamond"/>
          <w:i/>
          <w:iCs/>
          <w:sz w:val="24"/>
          <w:szCs w:val="24"/>
        </w:rPr>
        <w:t>Het zwarte verzet voor en na Soweto De vuist van</w:t>
      </w:r>
    </w:p>
    <w:p w:rsidR="0001718F" w:rsidRPr="009B6D32" w:rsidRDefault="0001718F" w:rsidP="007437F5">
      <w:pPr>
        <w:spacing w:after="0"/>
        <w:ind w:hanging="720"/>
        <w:rPr>
          <w:rFonts w:ascii="Garamond" w:hAnsi="Garamond" w:cs="Garamond"/>
          <w:sz w:val="24"/>
          <w:szCs w:val="24"/>
          <w:lang w:val="en-US"/>
        </w:rPr>
      </w:pPr>
      <w:r w:rsidRPr="009B6D32">
        <w:rPr>
          <w:rFonts w:ascii="Garamond" w:hAnsi="Garamond" w:cs="Garamond"/>
          <w:sz w:val="24"/>
          <w:szCs w:val="24"/>
          <w:lang w:val="en-US"/>
        </w:rPr>
        <w:t xml:space="preserve">Dickinson, R., and Carsky, M. (2005) ‘The Consumer as Economic Voter’, in Harrison, R., Newholm, T. and Shaw, D. (eds.)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 pp. 25-36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Dillinger, T., Escarcega, S., Jiminez, M., Lowe, D. M. and Grivetti, L. (2000) ‘Food of the Gods: Cure for Humanity? A Cultural History of the Medicinal and Ritual use of Chocolate’, </w:t>
      </w:r>
      <w:r w:rsidRPr="009B6D32">
        <w:rPr>
          <w:rFonts w:ascii="Garamond" w:hAnsi="Garamond" w:cs="Garamond"/>
          <w:i/>
          <w:iCs/>
          <w:color w:val="000000"/>
          <w:sz w:val="24"/>
          <w:szCs w:val="24"/>
          <w:shd w:val="clear" w:color="auto" w:fill="FFFFFF"/>
        </w:rPr>
        <w:t>American</w:t>
      </w:r>
      <w:r w:rsidRPr="009B6D32">
        <w:rPr>
          <w:rFonts w:ascii="Garamond" w:hAnsi="Garamond" w:cs="Garamond"/>
          <w:color w:val="000000"/>
          <w:sz w:val="24"/>
          <w:szCs w:val="24"/>
          <w:shd w:val="clear" w:color="auto" w:fill="FFFFFF"/>
        </w:rPr>
        <w:t xml:space="preserve"> </w:t>
      </w:r>
      <w:r w:rsidRPr="009B6D32">
        <w:rPr>
          <w:rFonts w:ascii="Garamond" w:hAnsi="Garamond" w:cs="Garamond"/>
          <w:i/>
          <w:iCs/>
          <w:color w:val="000000"/>
          <w:sz w:val="24"/>
          <w:szCs w:val="24"/>
          <w:shd w:val="clear" w:color="auto" w:fill="FFFFFF"/>
        </w:rPr>
        <w:t>Journal of Nutrition</w:t>
      </w:r>
      <w:r w:rsidRPr="009B6D32">
        <w:rPr>
          <w:rFonts w:ascii="Garamond" w:hAnsi="Garamond" w:cs="Garamond"/>
          <w:iCs/>
          <w:color w:val="000000"/>
          <w:sz w:val="24"/>
          <w:szCs w:val="24"/>
          <w:shd w:val="clear" w:color="auto" w:fill="FFFFFF"/>
        </w:rPr>
        <w:t xml:space="preserve">, </w:t>
      </w:r>
      <w:r w:rsidRPr="009B6D32">
        <w:rPr>
          <w:rFonts w:ascii="Garamond" w:hAnsi="Garamond" w:cs="Garamond"/>
          <w:color w:val="000000"/>
          <w:sz w:val="24"/>
          <w:szCs w:val="24"/>
          <w:shd w:val="clear" w:color="auto" w:fill="FFFFFF"/>
        </w:rPr>
        <w:t>130(8), pp. 20575-20725</w:t>
      </w:r>
    </w:p>
    <w:p w:rsidR="0001718F" w:rsidRDefault="0001718F" w:rsidP="0001718F">
      <w:pPr>
        <w:spacing w:after="0" w:line="240" w:lineRule="auto"/>
        <w:ind w:hanging="720"/>
        <w:jc w:val="both"/>
        <w:rPr>
          <w:rFonts w:ascii="Garamond" w:hAnsi="Garamond" w:cs="Melior"/>
          <w:sz w:val="24"/>
          <w:szCs w:val="24"/>
        </w:rPr>
      </w:pPr>
      <w:r w:rsidRPr="00537AEF">
        <w:rPr>
          <w:rFonts w:ascii="Garamond" w:hAnsi="Garamond" w:cs="Melior"/>
          <w:sz w:val="24"/>
          <w:szCs w:val="24"/>
        </w:rPr>
        <w:t xml:space="preserve">Diprose, R. (2002) </w:t>
      </w:r>
      <w:r w:rsidRPr="00537AEF">
        <w:rPr>
          <w:rFonts w:ascii="Garamond" w:hAnsi="Garamond" w:cs="Melior-Italic"/>
          <w:i/>
          <w:iCs/>
          <w:sz w:val="24"/>
          <w:szCs w:val="24"/>
        </w:rPr>
        <w:t>Corporeal Generosity: On Giving with Nietzsche,</w:t>
      </w:r>
      <w:r w:rsidRPr="00537AEF">
        <w:rPr>
          <w:rFonts w:ascii="Garamond" w:hAnsi="Garamond" w:cs="F18"/>
          <w:sz w:val="24"/>
          <w:szCs w:val="24"/>
        </w:rPr>
        <w:t xml:space="preserve"> </w:t>
      </w:r>
      <w:r w:rsidRPr="00537AEF">
        <w:rPr>
          <w:rFonts w:ascii="Garamond" w:hAnsi="Garamond" w:cs="Melior-Italic"/>
          <w:i/>
          <w:iCs/>
          <w:sz w:val="24"/>
          <w:szCs w:val="24"/>
        </w:rPr>
        <w:t>Merleau-Ponty, and Levinas</w:t>
      </w:r>
      <w:r w:rsidRPr="00537AEF">
        <w:rPr>
          <w:rFonts w:ascii="Garamond" w:hAnsi="Garamond" w:cs="Melior"/>
          <w:sz w:val="24"/>
          <w:szCs w:val="24"/>
        </w:rPr>
        <w:t>. New York: Sta</w:t>
      </w:r>
      <w:r>
        <w:rPr>
          <w:rFonts w:ascii="Garamond" w:hAnsi="Garamond" w:cs="Melior"/>
          <w:sz w:val="24"/>
          <w:szCs w:val="24"/>
        </w:rPr>
        <w:t>te University of New York Press</w:t>
      </w:r>
    </w:p>
    <w:p w:rsidR="0001718F" w:rsidRPr="009B6D32" w:rsidRDefault="0001718F" w:rsidP="007437F5">
      <w:pPr>
        <w:autoSpaceDE w:val="0"/>
        <w:autoSpaceDN w:val="0"/>
        <w:adjustRightInd w:val="0"/>
        <w:spacing w:after="0" w:line="240" w:lineRule="auto"/>
        <w:ind w:left="-720"/>
        <w:rPr>
          <w:rFonts w:ascii="Garamond" w:hAnsi="Garamond" w:cs="Garamond"/>
          <w:sz w:val="24"/>
          <w:szCs w:val="24"/>
        </w:rPr>
      </w:pPr>
      <w:r w:rsidRPr="009B6D32">
        <w:rPr>
          <w:rFonts w:ascii="Garamond" w:hAnsi="Garamond" w:cs="Garamond"/>
          <w:sz w:val="24"/>
          <w:szCs w:val="24"/>
        </w:rPr>
        <w:t xml:space="preserve">Dittmer, J. (2010) </w:t>
      </w:r>
      <w:r w:rsidRPr="009B6D32">
        <w:rPr>
          <w:rFonts w:ascii="Garamond" w:hAnsi="Garamond" w:cs="Garamond"/>
          <w:i/>
          <w:iCs/>
          <w:sz w:val="24"/>
          <w:szCs w:val="24"/>
        </w:rPr>
        <w:t xml:space="preserve">Popular Culture, Geopolitics &amp; Identity. </w:t>
      </w:r>
      <w:r w:rsidRPr="009B6D32">
        <w:rPr>
          <w:rFonts w:ascii="Garamond" w:hAnsi="Garamond" w:cs="Garamond"/>
          <w:sz w:val="24"/>
          <w:szCs w:val="24"/>
        </w:rPr>
        <w:t>Lanham: Rowman &amp; Littlefield Publishers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Doezema, J. (2000) ‘Loose Women or Lost Women? The re-emergence of the Myth of White Slavery in Contemporary Discourses of Trafficking in Women’, </w:t>
      </w:r>
      <w:r w:rsidRPr="009B6D32">
        <w:rPr>
          <w:rFonts w:ascii="Garamond" w:hAnsi="Garamond" w:cs="Garamond"/>
          <w:i/>
          <w:sz w:val="24"/>
          <w:szCs w:val="24"/>
          <w:lang w:val="en-US"/>
        </w:rPr>
        <w:t>Gender Issues</w:t>
      </w:r>
      <w:r w:rsidRPr="009B6D32">
        <w:rPr>
          <w:rFonts w:ascii="Garamond" w:hAnsi="Garamond" w:cs="Garamond"/>
          <w:sz w:val="24"/>
          <w:szCs w:val="24"/>
          <w:lang w:val="en-US"/>
        </w:rPr>
        <w:t>, 18(1), pp. 23-50</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Douglas, M. (1996) </w:t>
      </w:r>
      <w:r w:rsidRPr="009B6D32">
        <w:rPr>
          <w:rFonts w:ascii="Garamond" w:hAnsi="Garamond" w:cs="Garamond"/>
          <w:i/>
          <w:iCs/>
          <w:sz w:val="24"/>
          <w:szCs w:val="24"/>
          <w:lang w:val="en-US"/>
        </w:rPr>
        <w:t>Thought Styles: Critical Essays on Good Taste</w:t>
      </w:r>
      <w:r w:rsidRPr="009B6D32">
        <w:rPr>
          <w:rFonts w:ascii="Garamond" w:hAnsi="Garamond" w:cs="Garamond"/>
          <w:sz w:val="24"/>
          <w:szCs w:val="24"/>
          <w:lang w:val="en-US"/>
        </w:rPr>
        <w:t>. London: Sage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Douglas, M. (2002 [1960]) </w:t>
      </w:r>
      <w:r w:rsidRPr="009B6D32">
        <w:rPr>
          <w:rFonts w:ascii="Garamond" w:hAnsi="Garamond" w:cs="Garamond"/>
          <w:i/>
          <w:iCs/>
          <w:sz w:val="24"/>
          <w:szCs w:val="24"/>
          <w:lang w:val="en-US"/>
        </w:rPr>
        <w:t xml:space="preserve">Purity and Danger: An Analysis of Concept of Pollution and Taboo.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rPr>
        <w:t xml:space="preserve">Douglas, M., and Isherwood, B. (1979) </w:t>
      </w:r>
      <w:r w:rsidRPr="009B6D32">
        <w:rPr>
          <w:rFonts w:ascii="Garamond" w:hAnsi="Garamond" w:cs="Garamond"/>
          <w:i/>
          <w:iCs/>
          <w:sz w:val="24"/>
          <w:szCs w:val="24"/>
        </w:rPr>
        <w:t xml:space="preserve">The World of Goods: Towards an Anthropology of Consumption, </w:t>
      </w:r>
      <w:r w:rsidRPr="009B6D32">
        <w:rPr>
          <w:rFonts w:ascii="Garamond" w:hAnsi="Garamond" w:cs="Garamond"/>
          <w:sz w:val="24"/>
          <w:szCs w:val="24"/>
        </w:rPr>
        <w:t>Harmondsworth: Penguin</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Dragiewicz, M. (2008) ‘Teaching About Trafficking: Opportunities and Challenges for Critical Engagement’, </w:t>
      </w:r>
      <w:r w:rsidRPr="009B6D32">
        <w:rPr>
          <w:rFonts w:ascii="Garamond" w:hAnsi="Garamond" w:cs="Garamond"/>
          <w:i/>
          <w:iCs/>
          <w:sz w:val="24"/>
          <w:szCs w:val="24"/>
        </w:rPr>
        <w:t>Feminist Teacher,</w:t>
      </w:r>
      <w:r w:rsidRPr="009B6D32">
        <w:rPr>
          <w:rFonts w:ascii="Garamond" w:hAnsi="Garamond" w:cs="Garamond"/>
          <w:sz w:val="24"/>
          <w:szCs w:val="24"/>
        </w:rPr>
        <w:t xml:space="preserve"> 18(3), pp. 185-201</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Drescher, S. (1987) </w:t>
      </w:r>
      <w:r w:rsidRPr="009B6D32">
        <w:rPr>
          <w:rFonts w:ascii="Garamond" w:hAnsi="Garamond" w:cs="Garamond"/>
          <w:i/>
          <w:iCs/>
          <w:sz w:val="24"/>
          <w:szCs w:val="24"/>
        </w:rPr>
        <w:t>Capitalism and Antislavery: British Mobilization in Comparative Perspective.</w:t>
      </w:r>
      <w:r w:rsidRPr="009B6D32">
        <w:rPr>
          <w:rFonts w:ascii="Garamond" w:hAnsi="Garamond" w:cs="Garamond"/>
          <w:sz w:val="24"/>
          <w:szCs w:val="24"/>
        </w:rPr>
        <w:t xml:space="preserve"> Oxford: Oxford University Press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Drescher, S. (2001a) ‘Sisterhood and Slavery: Transatlantic Antislavery and Women</w:t>
      </w:r>
      <w:r w:rsidRPr="009B6D32">
        <w:rPr>
          <w:rFonts w:ascii="Garamond" w:hAnsi="Garamond" w:cs="Garamond"/>
          <w:sz w:val="24"/>
          <w:szCs w:val="24"/>
        </w:rPr>
        <w:t>’</w:t>
      </w:r>
      <w:r w:rsidRPr="009B6D32">
        <w:rPr>
          <w:rFonts w:ascii="Garamond" w:hAnsi="Garamond" w:cs="Garamond"/>
          <w:sz w:val="24"/>
          <w:szCs w:val="24"/>
          <w:lang w:val="en-US"/>
        </w:rPr>
        <w:t>s Rights’,</w:t>
      </w:r>
      <w:r w:rsidRPr="009B6D32">
        <w:rPr>
          <w:rFonts w:ascii="Garamond" w:hAnsi="Garamond" w:cs="Garamond"/>
          <w:i/>
          <w:iCs/>
          <w:sz w:val="24"/>
          <w:szCs w:val="24"/>
          <w:lang w:val="en-US"/>
        </w:rPr>
        <w:t xml:space="preserve"> Proceedings of the Third Annual Gilder Lehrman Centre International Conference at Yale University. Unpublished</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Drescher, S. (2001b) ‘Women</w:t>
      </w:r>
      <w:r w:rsidRPr="009B6D32">
        <w:rPr>
          <w:rFonts w:ascii="Garamond" w:hAnsi="Garamond" w:cs="Garamond"/>
          <w:sz w:val="24"/>
          <w:szCs w:val="24"/>
        </w:rPr>
        <w:t>’</w:t>
      </w:r>
      <w:r w:rsidRPr="009B6D32">
        <w:rPr>
          <w:rFonts w:ascii="Garamond" w:hAnsi="Garamond" w:cs="Garamond"/>
          <w:sz w:val="24"/>
          <w:szCs w:val="24"/>
          <w:lang w:val="en-US"/>
        </w:rPr>
        <w:t xml:space="preserve">s Mobilization in the Era of Slave Emancipation: Some Anglo- French Comparisons’, </w:t>
      </w:r>
      <w:r w:rsidRPr="009B6D32">
        <w:rPr>
          <w:rFonts w:ascii="Garamond" w:hAnsi="Garamond" w:cs="Garamond"/>
          <w:iCs/>
          <w:sz w:val="24"/>
          <w:szCs w:val="24"/>
          <w:lang w:val="en-US"/>
        </w:rPr>
        <w:t>Proceedings of Third Annual Gilder Lehman Centre International Conference. Yale University, 25-28 October</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Driver, F. and Gilbert, D.</w:t>
      </w:r>
      <w:r w:rsidRPr="009B6D32">
        <w:rPr>
          <w:rStyle w:val="apple-converted-space"/>
          <w:rFonts w:ascii="Garamond" w:hAnsi="Garamond" w:cs="Garamond"/>
          <w:iCs/>
          <w:sz w:val="24"/>
          <w:szCs w:val="24"/>
          <w:bdr w:val="none" w:sz="0" w:space="0" w:color="auto" w:frame="1"/>
        </w:rPr>
        <w:t> </w:t>
      </w:r>
      <w:r w:rsidRPr="009B6D32">
        <w:rPr>
          <w:rStyle w:val="Emphasis"/>
          <w:rFonts w:ascii="Garamond" w:hAnsi="Garamond" w:cs="Garamond"/>
          <w:sz w:val="24"/>
          <w:szCs w:val="24"/>
          <w:bdr w:val="none" w:sz="0" w:space="0" w:color="auto" w:frame="1"/>
        </w:rPr>
        <w:t>(2003) Imperial Cities</w:t>
      </w:r>
      <w:r w:rsidRPr="009B6D32">
        <w:rPr>
          <w:rFonts w:ascii="Garamond" w:hAnsi="Garamond" w:cs="Garamond"/>
          <w:sz w:val="24"/>
          <w:szCs w:val="24"/>
        </w:rPr>
        <w:t xml:space="preserve">: </w:t>
      </w:r>
      <w:r w:rsidRPr="009B6D32">
        <w:rPr>
          <w:rFonts w:ascii="Garamond" w:hAnsi="Garamond" w:cs="Garamond"/>
          <w:i/>
          <w:sz w:val="24"/>
          <w:szCs w:val="24"/>
        </w:rPr>
        <w:t xml:space="preserve">Landscape, Display and Identity. </w:t>
      </w:r>
      <w:r w:rsidRPr="009B6D32">
        <w:rPr>
          <w:rFonts w:ascii="Garamond" w:hAnsi="Garamond" w:cs="Garamond"/>
          <w:sz w:val="24"/>
          <w:szCs w:val="24"/>
        </w:rPr>
        <w:t>Manchester: Manchester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 xml:space="preserve">Drucker, J. (2008) ‘Making Space: Image Events in an Extreme State’, </w:t>
      </w:r>
      <w:r w:rsidRPr="009B6D32">
        <w:rPr>
          <w:rFonts w:ascii="Garamond" w:hAnsi="Garamond" w:cs="Garamond"/>
          <w:i/>
          <w:iCs/>
          <w:sz w:val="24"/>
          <w:szCs w:val="24"/>
          <w:shd w:val="clear" w:color="auto" w:fill="FFFFFF"/>
        </w:rPr>
        <w:t>Cultural Politics,</w:t>
      </w:r>
      <w:r w:rsidRPr="009B6D32">
        <w:rPr>
          <w:rFonts w:ascii="Garamond" w:hAnsi="Garamond" w:cs="Garamond"/>
          <w:sz w:val="24"/>
          <w:szCs w:val="24"/>
          <w:shd w:val="clear" w:color="auto" w:fill="FFFFFF"/>
        </w:rPr>
        <w:t xml:space="preserve"> 4(1), pp. 25-45</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shd w:val="clear" w:color="auto" w:fill="FFFFFF"/>
        </w:rPr>
      </w:pPr>
      <w:r w:rsidRPr="009B6D32">
        <w:rPr>
          <w:rFonts w:ascii="Garamond" w:hAnsi="Garamond" w:cs="Garamond"/>
          <w:sz w:val="24"/>
          <w:szCs w:val="24"/>
          <w:shd w:val="clear" w:color="auto" w:fill="FFFFFF"/>
        </w:rPr>
        <w:t xml:space="preserve">Du Bois, W.E.B. (1990 [1903]) </w:t>
      </w:r>
      <w:r w:rsidRPr="009B6D32">
        <w:rPr>
          <w:rFonts w:ascii="Garamond" w:hAnsi="Garamond" w:cs="Garamond"/>
          <w:i/>
          <w:sz w:val="24"/>
          <w:szCs w:val="24"/>
          <w:shd w:val="clear" w:color="auto" w:fill="FFFFFF"/>
        </w:rPr>
        <w:t xml:space="preserve">The Souls of Black Folk. </w:t>
      </w:r>
      <w:r w:rsidRPr="009B6D32">
        <w:rPr>
          <w:rFonts w:ascii="Garamond" w:hAnsi="Garamond" w:cs="Garamond"/>
          <w:sz w:val="24"/>
          <w:szCs w:val="24"/>
          <w:shd w:val="clear" w:color="auto" w:fill="FFFFFF"/>
        </w:rPr>
        <w:t>New York: Vintage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du Gay, P. (1996) </w:t>
      </w:r>
      <w:r w:rsidRPr="009B6D32">
        <w:rPr>
          <w:rFonts w:ascii="Garamond" w:hAnsi="Garamond" w:cs="Garamond"/>
          <w:i/>
          <w:iCs/>
          <w:color w:val="000000"/>
          <w:sz w:val="24"/>
          <w:szCs w:val="24"/>
          <w:shd w:val="clear" w:color="auto" w:fill="FFFFFF"/>
        </w:rPr>
        <w:t>Consumption and Identity at Work</w:t>
      </w:r>
      <w:r w:rsidRPr="009B6D32">
        <w:rPr>
          <w:rFonts w:ascii="Garamond" w:hAnsi="Garamond" w:cs="Garamond"/>
          <w:color w:val="000000"/>
          <w:sz w:val="24"/>
          <w:szCs w:val="24"/>
          <w:shd w:val="clear" w:color="auto" w:fill="FFFFFF"/>
        </w:rPr>
        <w:t>. London: Sage Publications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du Gay, P. and Pryke, M. (2002) </w:t>
      </w:r>
      <w:r w:rsidRPr="009B6D32">
        <w:rPr>
          <w:rFonts w:ascii="Garamond" w:hAnsi="Garamond" w:cs="Garamond"/>
          <w:i/>
          <w:sz w:val="24"/>
          <w:szCs w:val="24"/>
        </w:rPr>
        <w:t>Cultural Economy</w:t>
      </w:r>
      <w:r w:rsidRPr="009B6D32">
        <w:rPr>
          <w:rFonts w:ascii="Garamond" w:hAnsi="Garamond" w:cs="Garamond"/>
          <w:sz w:val="24"/>
          <w:szCs w:val="24"/>
        </w:rPr>
        <w:t>. London: Sage</w:t>
      </w:r>
    </w:p>
    <w:p w:rsidR="0001718F" w:rsidRDefault="0001718F" w:rsidP="007437F5">
      <w:pPr>
        <w:spacing w:after="0" w:line="240" w:lineRule="auto"/>
        <w:ind w:hanging="720"/>
        <w:rPr>
          <w:rFonts w:ascii="Garamond" w:hAnsi="Garamond" w:cs="Garamond"/>
          <w:iCs/>
          <w:sz w:val="24"/>
          <w:szCs w:val="24"/>
        </w:rPr>
      </w:pPr>
      <w:r w:rsidRPr="003064A9">
        <w:rPr>
          <w:rFonts w:ascii="Garamond" w:hAnsi="Garamond" w:cs="Garamond"/>
          <w:sz w:val="24"/>
          <w:szCs w:val="24"/>
        </w:rPr>
        <w:t>du Pl</w:t>
      </w:r>
      <w:r>
        <w:rPr>
          <w:rFonts w:ascii="Garamond" w:hAnsi="Garamond" w:cs="Garamond"/>
          <w:sz w:val="24"/>
          <w:szCs w:val="24"/>
        </w:rPr>
        <w:t>essis, E (1988b) R</w:t>
      </w:r>
      <w:r w:rsidRPr="003064A9">
        <w:rPr>
          <w:rFonts w:ascii="Garamond" w:hAnsi="Garamond" w:cs="Garamond"/>
          <w:sz w:val="24"/>
          <w:szCs w:val="24"/>
        </w:rPr>
        <w:t>acism</w:t>
      </w:r>
      <w:r>
        <w:rPr>
          <w:rFonts w:ascii="Garamond" w:hAnsi="Garamond" w:cs="Garamond"/>
          <w:sz w:val="24"/>
          <w:szCs w:val="24"/>
        </w:rPr>
        <w:t xml:space="preserve"> here, apartheid</w:t>
      </w:r>
      <w:r w:rsidRPr="003064A9">
        <w:rPr>
          <w:rFonts w:ascii="Garamond" w:hAnsi="Garamond" w:cs="Garamond"/>
          <w:sz w:val="24"/>
          <w:szCs w:val="24"/>
        </w:rPr>
        <w:t xml:space="preserve"> there</w:t>
      </w:r>
      <w:r>
        <w:rPr>
          <w:rFonts w:ascii="Garamond" w:hAnsi="Garamond" w:cs="Garamond"/>
          <w:sz w:val="24"/>
          <w:szCs w:val="24"/>
        </w:rPr>
        <w:t xml:space="preserve">. Dordrecht lecture. </w:t>
      </w:r>
      <w:r w:rsidRPr="00B1495D">
        <w:rPr>
          <w:rFonts w:ascii="Garamond" w:hAnsi="Garamond" w:cs="Garamond"/>
          <w:iCs/>
          <w:sz w:val="24"/>
          <w:szCs w:val="24"/>
        </w:rPr>
        <w:t>Private Archive</w:t>
      </w:r>
      <w:r>
        <w:rPr>
          <w:rFonts w:ascii="Garamond" w:hAnsi="Garamond" w:cs="Garamond"/>
          <w:iCs/>
          <w:sz w:val="24"/>
          <w:szCs w:val="24"/>
        </w:rPr>
        <w:t>,</w:t>
      </w:r>
      <w:r w:rsidRPr="00B1495D">
        <w:rPr>
          <w:rFonts w:ascii="Garamond" w:hAnsi="Garamond" w:cs="Garamond"/>
          <w:iCs/>
          <w:sz w:val="24"/>
          <w:szCs w:val="24"/>
        </w:rPr>
        <w:t xml:space="preserve"> du Plessis</w:t>
      </w:r>
      <w:r>
        <w:rPr>
          <w:rFonts w:ascii="Garamond" w:hAnsi="Garamond" w:cs="Garamond"/>
          <w:iCs/>
          <w:sz w:val="24"/>
          <w:szCs w:val="24"/>
        </w:rPr>
        <w:t>, E</w:t>
      </w:r>
    </w:p>
    <w:p w:rsidR="0001718F" w:rsidRPr="00B1495D" w:rsidRDefault="0001718F" w:rsidP="007437F5">
      <w:pPr>
        <w:spacing w:after="0" w:line="240" w:lineRule="auto"/>
        <w:ind w:hanging="720"/>
        <w:rPr>
          <w:rFonts w:ascii="Garamond" w:hAnsi="Garamond" w:cs="Garamond"/>
          <w:iCs/>
          <w:sz w:val="24"/>
          <w:szCs w:val="24"/>
        </w:rPr>
      </w:pPr>
      <w:r w:rsidRPr="003064A9">
        <w:rPr>
          <w:rFonts w:ascii="Garamond" w:hAnsi="Garamond" w:cs="Garamond"/>
          <w:sz w:val="24"/>
          <w:szCs w:val="24"/>
        </w:rPr>
        <w:t xml:space="preserve">du Plessis, E (1989) BOA and antiracist education. </w:t>
      </w:r>
      <w:r w:rsidRPr="00B1495D">
        <w:rPr>
          <w:rFonts w:ascii="Garamond" w:hAnsi="Garamond" w:cs="Garamond"/>
          <w:iCs/>
          <w:sz w:val="24"/>
          <w:szCs w:val="24"/>
        </w:rPr>
        <w:t>Private Archive du Plessis, E</w:t>
      </w:r>
    </w:p>
    <w:p w:rsidR="0001718F" w:rsidRDefault="0001718F" w:rsidP="007437F5">
      <w:pPr>
        <w:spacing w:after="0" w:line="240" w:lineRule="auto"/>
        <w:ind w:hanging="720"/>
        <w:rPr>
          <w:rFonts w:ascii="Garamond" w:hAnsi="Garamond"/>
          <w:sz w:val="24"/>
          <w:szCs w:val="24"/>
          <w:lang w:val="de-CH"/>
        </w:rPr>
      </w:pPr>
      <w:r w:rsidRPr="003064A9">
        <w:rPr>
          <w:rFonts w:ascii="Garamond" w:hAnsi="Garamond" w:cs="Garamond"/>
          <w:sz w:val="24"/>
          <w:szCs w:val="24"/>
        </w:rPr>
        <w:t>du Plessis, E</w:t>
      </w:r>
      <w:r>
        <w:rPr>
          <w:rFonts w:ascii="Garamond" w:hAnsi="Garamond" w:cs="Garamond"/>
          <w:sz w:val="24"/>
          <w:szCs w:val="24"/>
        </w:rPr>
        <w:t>.</w:t>
      </w:r>
      <w:r w:rsidRPr="003064A9">
        <w:rPr>
          <w:rFonts w:ascii="Garamond" w:hAnsi="Garamond" w:cs="Garamond"/>
          <w:sz w:val="24"/>
          <w:szCs w:val="24"/>
        </w:rPr>
        <w:t xml:space="preserve"> (1972) </w:t>
      </w:r>
      <w:r w:rsidRPr="003064A9">
        <w:rPr>
          <w:rFonts w:ascii="Garamond" w:hAnsi="Garamond" w:cs="Garamond"/>
          <w:i/>
          <w:iCs/>
          <w:sz w:val="24"/>
          <w:szCs w:val="24"/>
        </w:rPr>
        <w:t>Outspan: Bouwstenen voor Apartheid</w:t>
      </w:r>
      <w:r w:rsidRPr="003064A9">
        <w:rPr>
          <w:rFonts w:ascii="Garamond" w:hAnsi="Garamond" w:cs="Garamond"/>
          <w:sz w:val="24"/>
          <w:szCs w:val="24"/>
        </w:rPr>
        <w:t>. Rotterdam: BOA</w:t>
      </w:r>
    </w:p>
    <w:p w:rsidR="0001718F" w:rsidRPr="00B1495D" w:rsidRDefault="0001718F" w:rsidP="007437F5">
      <w:pPr>
        <w:spacing w:after="0" w:line="240" w:lineRule="auto"/>
        <w:ind w:hanging="720"/>
        <w:rPr>
          <w:rFonts w:ascii="Garamond" w:hAnsi="Garamond"/>
          <w:sz w:val="24"/>
          <w:szCs w:val="24"/>
          <w:lang w:val="de-CH"/>
        </w:rPr>
      </w:pPr>
      <w:r w:rsidRPr="003064A9">
        <w:rPr>
          <w:rFonts w:ascii="Garamond" w:hAnsi="Garamond" w:cs="Garamond"/>
          <w:sz w:val="24"/>
          <w:szCs w:val="24"/>
          <w:lang w:val="en-US"/>
        </w:rPr>
        <w:t>du Plessis, E</w:t>
      </w:r>
      <w:r>
        <w:rPr>
          <w:rFonts w:ascii="Garamond" w:hAnsi="Garamond" w:cs="Garamond"/>
          <w:sz w:val="24"/>
          <w:szCs w:val="24"/>
          <w:lang w:val="en-US"/>
        </w:rPr>
        <w:t>.</w:t>
      </w:r>
      <w:r w:rsidRPr="003064A9">
        <w:rPr>
          <w:rFonts w:ascii="Garamond" w:hAnsi="Garamond" w:cs="Garamond"/>
          <w:sz w:val="24"/>
          <w:szCs w:val="24"/>
          <w:lang w:val="en-US"/>
        </w:rPr>
        <w:t xml:space="preserve"> (1974) Don’t Squeeze a South African Dry. </w:t>
      </w:r>
      <w:r w:rsidRPr="003064A9">
        <w:rPr>
          <w:rFonts w:ascii="Garamond" w:hAnsi="Garamond" w:cs="Garamond"/>
          <w:i/>
          <w:iCs/>
          <w:sz w:val="24"/>
          <w:szCs w:val="24"/>
          <w:lang w:val="en-US"/>
        </w:rPr>
        <w:t xml:space="preserve">Africa Today. </w:t>
      </w:r>
      <w:r>
        <w:rPr>
          <w:rFonts w:ascii="Garamond" w:hAnsi="Garamond" w:cs="Garamond"/>
          <w:sz w:val="24"/>
          <w:szCs w:val="24"/>
          <w:lang w:val="en-US"/>
        </w:rPr>
        <w:t>Spring, pp.</w:t>
      </w:r>
      <w:r w:rsidRPr="003064A9">
        <w:rPr>
          <w:rFonts w:ascii="Garamond" w:hAnsi="Garamond" w:cs="Garamond"/>
          <w:sz w:val="24"/>
          <w:szCs w:val="24"/>
          <w:lang w:val="en-US"/>
        </w:rPr>
        <w:t xml:space="preserve"> 59-68</w:t>
      </w:r>
    </w:p>
    <w:p w:rsidR="0001718F" w:rsidRDefault="0001718F" w:rsidP="007437F5">
      <w:pPr>
        <w:spacing w:after="0" w:line="240" w:lineRule="auto"/>
        <w:ind w:hanging="720"/>
        <w:rPr>
          <w:rFonts w:ascii="Garamond" w:hAnsi="Garamond" w:cs="Garamond"/>
          <w:i/>
          <w:iCs/>
          <w:sz w:val="24"/>
          <w:szCs w:val="24"/>
        </w:rPr>
      </w:pPr>
      <w:r w:rsidRPr="003064A9">
        <w:rPr>
          <w:rFonts w:ascii="Garamond" w:hAnsi="Garamond" w:cs="Garamond"/>
          <w:sz w:val="24"/>
          <w:szCs w:val="24"/>
        </w:rPr>
        <w:t>du Plessis, E</w:t>
      </w:r>
      <w:r>
        <w:rPr>
          <w:rFonts w:ascii="Garamond" w:hAnsi="Garamond" w:cs="Garamond"/>
          <w:sz w:val="24"/>
          <w:szCs w:val="24"/>
        </w:rPr>
        <w:t>.</w:t>
      </w:r>
      <w:r w:rsidRPr="003064A9">
        <w:rPr>
          <w:rFonts w:ascii="Garamond" w:hAnsi="Garamond" w:cs="Garamond"/>
          <w:sz w:val="24"/>
          <w:szCs w:val="24"/>
        </w:rPr>
        <w:t xml:space="preserve"> (1988</w:t>
      </w:r>
      <w:r>
        <w:rPr>
          <w:rFonts w:ascii="Garamond" w:hAnsi="Garamond" w:cs="Garamond"/>
          <w:sz w:val="24"/>
          <w:szCs w:val="24"/>
        </w:rPr>
        <w:t>a</w:t>
      </w:r>
      <w:r w:rsidRPr="003064A9">
        <w:rPr>
          <w:rFonts w:ascii="Garamond" w:hAnsi="Garamond" w:cs="Garamond"/>
          <w:sz w:val="24"/>
          <w:szCs w:val="24"/>
        </w:rPr>
        <w:t xml:space="preserve">) </w:t>
      </w:r>
      <w:r w:rsidRPr="003064A9">
        <w:rPr>
          <w:rFonts w:ascii="Garamond" w:hAnsi="Garamond" w:cs="Garamond"/>
          <w:i/>
          <w:iCs/>
          <w:sz w:val="24"/>
          <w:szCs w:val="24"/>
        </w:rPr>
        <w:t>A brief sketch of the BOA urban campaigns in The Netherlands.</w:t>
      </w:r>
      <w:r w:rsidRPr="00B1495D">
        <w:rPr>
          <w:rFonts w:ascii="Garamond" w:hAnsi="Garamond" w:cs="Garamond"/>
          <w:iCs/>
          <w:sz w:val="24"/>
          <w:szCs w:val="24"/>
        </w:rPr>
        <w:t xml:space="preserve"> Private Archive</w:t>
      </w:r>
      <w:r>
        <w:rPr>
          <w:rFonts w:ascii="Garamond" w:hAnsi="Garamond" w:cs="Garamond"/>
          <w:iCs/>
          <w:sz w:val="24"/>
          <w:szCs w:val="24"/>
        </w:rPr>
        <w:t>,</w:t>
      </w:r>
      <w:r w:rsidRPr="00B1495D">
        <w:rPr>
          <w:rFonts w:ascii="Garamond" w:hAnsi="Garamond" w:cs="Garamond"/>
          <w:iCs/>
          <w:sz w:val="24"/>
          <w:szCs w:val="24"/>
        </w:rPr>
        <w:t xml:space="preserve"> du Plessis</w:t>
      </w:r>
      <w:r>
        <w:rPr>
          <w:rFonts w:ascii="Garamond" w:hAnsi="Garamond" w:cs="Garamond"/>
          <w:iCs/>
          <w:sz w:val="24"/>
          <w:szCs w:val="24"/>
        </w:rPr>
        <w:t>, E</w:t>
      </w:r>
    </w:p>
    <w:p w:rsidR="0001718F" w:rsidRPr="00B1495D" w:rsidRDefault="0001718F" w:rsidP="007437F5">
      <w:pPr>
        <w:spacing w:after="0" w:line="240" w:lineRule="auto"/>
        <w:ind w:hanging="720"/>
        <w:rPr>
          <w:rFonts w:ascii="Garamond" w:hAnsi="Garamond"/>
          <w:sz w:val="24"/>
          <w:szCs w:val="24"/>
          <w:lang w:val="de-CH"/>
        </w:rPr>
      </w:pPr>
      <w:r w:rsidRPr="003064A9">
        <w:rPr>
          <w:rFonts w:ascii="Garamond" w:hAnsi="Garamond" w:cs="Garamond"/>
          <w:sz w:val="24"/>
          <w:szCs w:val="24"/>
        </w:rPr>
        <w:t>du Plessis, E</w:t>
      </w:r>
      <w:r>
        <w:rPr>
          <w:rFonts w:ascii="Garamond" w:hAnsi="Garamond" w:cs="Garamond"/>
          <w:sz w:val="24"/>
          <w:szCs w:val="24"/>
        </w:rPr>
        <w:t xml:space="preserve">. </w:t>
      </w:r>
      <w:r w:rsidRPr="003064A9">
        <w:rPr>
          <w:rFonts w:ascii="Garamond" w:hAnsi="Garamond" w:cs="Garamond"/>
          <w:sz w:val="24"/>
          <w:szCs w:val="24"/>
        </w:rPr>
        <w:t xml:space="preserve">(2009) </w:t>
      </w:r>
      <w:r w:rsidRPr="003064A9">
        <w:rPr>
          <w:rFonts w:ascii="Garamond" w:hAnsi="Garamond" w:cs="Garamond"/>
          <w:i/>
          <w:iCs/>
          <w:sz w:val="24"/>
          <w:szCs w:val="24"/>
        </w:rPr>
        <w:t xml:space="preserve">The Story of Outspan Oranges in The Netherlands and the Campaign of the BOA. </w:t>
      </w:r>
      <w:r>
        <w:rPr>
          <w:rFonts w:ascii="Garamond" w:hAnsi="Garamond" w:cs="Garamond"/>
          <w:sz w:val="24"/>
          <w:szCs w:val="24"/>
        </w:rPr>
        <w:t>Web</w:t>
      </w:r>
      <w:r w:rsidRPr="003064A9">
        <w:rPr>
          <w:rFonts w:ascii="Garamond" w:hAnsi="Garamond" w:cs="Garamond"/>
          <w:sz w:val="24"/>
          <w:szCs w:val="24"/>
        </w:rPr>
        <w:t>document.http://www.sadet.co.za/docs/THE%20STORY%20OF%20OUTSPAN%20ORANGES.pdf</w:t>
      </w:r>
      <w:r>
        <w:rPr>
          <w:rFonts w:ascii="Garamond" w:hAnsi="Garamond" w:cs="Garamond"/>
          <w:sz w:val="24"/>
          <w:szCs w:val="24"/>
        </w:rPr>
        <w:t>. Accessed 9 September 2009</w:t>
      </w:r>
    </w:p>
    <w:p w:rsidR="0001718F" w:rsidRDefault="0001718F" w:rsidP="007437F5">
      <w:pPr>
        <w:spacing w:after="0" w:line="240" w:lineRule="auto"/>
        <w:ind w:hanging="720"/>
        <w:rPr>
          <w:rFonts w:ascii="Garamond" w:hAnsi="Garamond"/>
          <w:sz w:val="24"/>
          <w:szCs w:val="24"/>
          <w:lang w:val="de-CH"/>
        </w:rPr>
      </w:pPr>
      <w:r w:rsidRPr="009B6D32">
        <w:rPr>
          <w:rFonts w:ascii="Garamond" w:hAnsi="Garamond"/>
          <w:sz w:val="24"/>
          <w:szCs w:val="24"/>
          <w:lang w:val="de-CH"/>
        </w:rPr>
        <w:t xml:space="preserve">du Plessis, E. and van Kaam, B. (1972) </w:t>
      </w:r>
      <w:r w:rsidRPr="009B6D32">
        <w:rPr>
          <w:rFonts w:ascii="Garamond" w:hAnsi="Garamond"/>
          <w:i/>
          <w:sz w:val="24"/>
          <w:szCs w:val="24"/>
          <w:lang w:val="de-CH"/>
        </w:rPr>
        <w:t xml:space="preserve">Kairos-Berichten. </w:t>
      </w:r>
      <w:r w:rsidRPr="009B6D32">
        <w:rPr>
          <w:rFonts w:ascii="Garamond" w:hAnsi="Garamond"/>
          <w:sz w:val="24"/>
          <w:szCs w:val="24"/>
          <w:lang w:val="de-CH"/>
        </w:rPr>
        <w:t>Utrecht: Kairos</w:t>
      </w:r>
    </w:p>
    <w:p w:rsidR="0001718F" w:rsidRDefault="0001718F" w:rsidP="007437F5">
      <w:pPr>
        <w:spacing w:after="0" w:line="240" w:lineRule="auto"/>
        <w:ind w:hanging="720"/>
        <w:rPr>
          <w:rFonts w:ascii="Garamond" w:hAnsi="Garamond"/>
          <w:sz w:val="24"/>
          <w:szCs w:val="24"/>
          <w:lang w:val="de-CH"/>
        </w:rPr>
      </w:pPr>
      <w:r w:rsidRPr="009B6D32">
        <w:rPr>
          <w:rFonts w:ascii="Garamond" w:hAnsi="Garamond"/>
          <w:sz w:val="24"/>
          <w:szCs w:val="24"/>
          <w:lang w:val="de-CH"/>
        </w:rPr>
        <w:t xml:space="preserve">du Plessis, E. and van Kaam, B. (1975) </w:t>
      </w:r>
      <w:r w:rsidRPr="009B6D32">
        <w:rPr>
          <w:rFonts w:ascii="Garamond" w:hAnsi="Garamond"/>
          <w:i/>
          <w:sz w:val="24"/>
          <w:szCs w:val="24"/>
          <w:lang w:val="de-CH"/>
        </w:rPr>
        <w:t xml:space="preserve">Emigratie naar Zuid Afrika: Het wel in uw belang? </w:t>
      </w:r>
      <w:r w:rsidRPr="009B6D32">
        <w:rPr>
          <w:rFonts w:ascii="Garamond" w:hAnsi="Garamond"/>
          <w:sz w:val="24"/>
          <w:szCs w:val="24"/>
          <w:lang w:val="de-CH"/>
        </w:rPr>
        <w:t>Leiden: Boycot Outspan Aktie</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Dubow, S. (1995) ‘The elaboration of segregationist ideology’ in Beinhart, W. and Dubow, S. (eds.), </w:t>
      </w:r>
      <w:r w:rsidRPr="009B6D32">
        <w:rPr>
          <w:rFonts w:ascii="Garamond" w:hAnsi="Garamond" w:cs="Garamond"/>
          <w:i/>
          <w:iCs/>
          <w:sz w:val="24"/>
          <w:szCs w:val="24"/>
          <w:lang w:val="en-US"/>
        </w:rPr>
        <w:t xml:space="preserve">Segregation and Apartheid in Twentieth Century South Africa.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Dubow, S. (2013) 'Anti-apartheid boycotts'. Keynote lecture delivered at </w:t>
      </w:r>
      <w:r w:rsidRPr="009B6D32">
        <w:rPr>
          <w:rFonts w:ascii="Garamond" w:hAnsi="Garamond" w:cs="Garamond"/>
          <w:i/>
          <w:sz w:val="24"/>
          <w:szCs w:val="24"/>
        </w:rPr>
        <w:t xml:space="preserve">Boycotts, Past and Present </w:t>
      </w:r>
      <w:r w:rsidRPr="009B6D32">
        <w:rPr>
          <w:rFonts w:ascii="Garamond" w:hAnsi="Garamond" w:cs="Garamond"/>
          <w:sz w:val="24"/>
          <w:szCs w:val="24"/>
        </w:rPr>
        <w:t xml:space="preserve">conference, Birkbeck University of London, June 19 2013 </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Dubow, S. and Beinart, W. (1995) </w:t>
      </w:r>
      <w:r w:rsidRPr="009B6D32">
        <w:rPr>
          <w:rFonts w:ascii="Garamond" w:hAnsi="Garamond" w:cs="Garamond"/>
          <w:i/>
          <w:iCs/>
          <w:sz w:val="24"/>
          <w:szCs w:val="24"/>
        </w:rPr>
        <w:t>Segregation and Apartheid in Twentieth Century South Africa</w:t>
      </w:r>
      <w:r w:rsidRPr="009B6D32">
        <w:rPr>
          <w:rFonts w:ascii="Garamond" w:hAnsi="Garamond" w:cs="Garamond"/>
          <w:sz w:val="24"/>
          <w:szCs w:val="24"/>
        </w:rPr>
        <w:t>. Routledge: London</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Dumas, M. (2006) ‘Consumarchy and Corporate Social Responsibility’, </w:t>
      </w:r>
      <w:r w:rsidRPr="009B6D32">
        <w:rPr>
          <w:rFonts w:ascii="Garamond" w:hAnsi="Garamond" w:cs="Garamond"/>
          <w:i/>
          <w:iCs/>
          <w:sz w:val="24"/>
          <w:szCs w:val="24"/>
          <w:lang w:val="en-US"/>
        </w:rPr>
        <w:t>Social Responsibility Journal,</w:t>
      </w:r>
      <w:r w:rsidRPr="009B6D32">
        <w:rPr>
          <w:rFonts w:ascii="Garamond" w:hAnsi="Garamond" w:cs="Garamond"/>
          <w:sz w:val="24"/>
          <w:szCs w:val="24"/>
          <w:lang w:val="en-US"/>
        </w:rPr>
        <w:t xml:space="preserve"> 2(3/4), pp. 308-320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Dunn, K. (2010) ‘Guest Editorial - Embodied transnationalism: bodies in transnational spaces, </w:t>
      </w:r>
      <w:r w:rsidRPr="009B6D32">
        <w:rPr>
          <w:rFonts w:ascii="Garamond" w:hAnsi="Garamond" w:cs="Garamond"/>
          <w:i/>
          <w:iCs/>
          <w:sz w:val="24"/>
          <w:szCs w:val="24"/>
        </w:rPr>
        <w:t xml:space="preserve">Population, Space and Place, </w:t>
      </w:r>
      <w:r w:rsidRPr="009B6D32">
        <w:rPr>
          <w:rFonts w:ascii="Garamond" w:hAnsi="Garamond" w:cs="Garamond"/>
          <w:sz w:val="24"/>
          <w:szCs w:val="24"/>
        </w:rPr>
        <w:t>16(1), pp. 1-9</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Durham-Peters, J. (2005) </w:t>
      </w:r>
      <w:r w:rsidRPr="009B6D32">
        <w:rPr>
          <w:rFonts w:ascii="Garamond" w:hAnsi="Garamond" w:cs="Garamond"/>
          <w:i/>
          <w:iCs/>
          <w:sz w:val="24"/>
          <w:szCs w:val="24"/>
        </w:rPr>
        <w:t xml:space="preserve">Courting the Abyss – Free Speech and the Liberal Tradition. </w:t>
      </w:r>
      <w:r w:rsidRPr="009B6D32">
        <w:rPr>
          <w:rFonts w:ascii="Garamond" w:hAnsi="Garamond" w:cs="Garamond"/>
          <w:sz w:val="24"/>
          <w:szCs w:val="24"/>
        </w:rPr>
        <w:t>London: University of London Press</w:t>
      </w:r>
    </w:p>
    <w:p w:rsidR="0001718F" w:rsidRDefault="0001718F" w:rsidP="007437F5">
      <w:pPr>
        <w:spacing w:after="0" w:line="240" w:lineRule="auto"/>
        <w:ind w:hanging="720"/>
        <w:rPr>
          <w:rFonts w:ascii="Garamond" w:hAnsi="Garamond"/>
          <w:color w:val="000000"/>
          <w:sz w:val="24"/>
          <w:szCs w:val="24"/>
        </w:rPr>
      </w:pPr>
      <w:r w:rsidRPr="009B6D32">
        <w:rPr>
          <w:rFonts w:ascii="Garamond" w:hAnsi="Garamond" w:cs="Garamond"/>
          <w:sz w:val="24"/>
          <w:szCs w:val="24"/>
        </w:rPr>
        <w:t xml:space="preserve">Durkheim, E. (1986 [1893] 'The Division of Labour in Society', in </w:t>
      </w:r>
      <w:r w:rsidRPr="009B6D32">
        <w:rPr>
          <w:rFonts w:ascii="Garamond" w:hAnsi="Garamond"/>
          <w:i/>
          <w:iCs/>
          <w:color w:val="000000"/>
          <w:sz w:val="24"/>
          <w:szCs w:val="24"/>
        </w:rPr>
        <w:t>Emile Durkheim: An Introduction to Four Major Works</w:t>
      </w:r>
      <w:r w:rsidRPr="009B6D32">
        <w:rPr>
          <w:rFonts w:ascii="Garamond" w:hAnsi="Garamond"/>
          <w:color w:val="000000"/>
          <w:sz w:val="24"/>
          <w:szCs w:val="24"/>
        </w:rPr>
        <w:t>. Beverly Hills, CA: Sage Publications. pp. 24-59</w:t>
      </w:r>
    </w:p>
    <w:p w:rsidR="0001718F" w:rsidRPr="00727E6F" w:rsidRDefault="0001718F" w:rsidP="007437F5">
      <w:pPr>
        <w:spacing w:after="0" w:line="240" w:lineRule="auto"/>
        <w:ind w:hanging="720"/>
        <w:rPr>
          <w:rFonts w:ascii="Garamond" w:hAnsi="Garamond"/>
          <w:sz w:val="24"/>
          <w:szCs w:val="24"/>
        </w:rPr>
      </w:pPr>
      <w:r w:rsidRPr="00727E6F">
        <w:rPr>
          <w:rFonts w:ascii="Garamond" w:hAnsi="Garamond"/>
          <w:sz w:val="24"/>
          <w:szCs w:val="24"/>
        </w:rPr>
        <w:t xml:space="preserve">Dutt, C. (1938) 'The American Civil War as People's War', </w:t>
      </w:r>
      <w:r w:rsidRPr="00727E6F">
        <w:rPr>
          <w:rStyle w:val="Emphasis"/>
          <w:rFonts w:ascii="Garamond" w:hAnsi="Garamond"/>
          <w:sz w:val="24"/>
          <w:szCs w:val="24"/>
          <w:shd w:val="clear" w:color="auto" w:fill="FFFFFF"/>
        </w:rPr>
        <w:t>The Labour Monthly</w:t>
      </w:r>
      <w:r w:rsidRPr="00727E6F">
        <w:rPr>
          <w:rFonts w:ascii="Garamond" w:hAnsi="Garamond"/>
          <w:sz w:val="24"/>
          <w:szCs w:val="24"/>
          <w:shd w:val="clear" w:color="auto" w:fill="FFFFFF"/>
        </w:rPr>
        <w:t>, 20, (10), pp. 449-452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Dwyer, C. and Crang, P. (2002) ‘Fashioning ethnicities: the commercial spaces of multiculture’, </w:t>
      </w:r>
      <w:r w:rsidRPr="009B6D32">
        <w:rPr>
          <w:rFonts w:ascii="Garamond" w:hAnsi="Garamond" w:cs="Garamond"/>
          <w:i/>
          <w:sz w:val="24"/>
          <w:szCs w:val="24"/>
        </w:rPr>
        <w:t>October</w:t>
      </w:r>
      <w:r w:rsidRPr="009B6D32">
        <w:rPr>
          <w:rFonts w:ascii="Garamond" w:hAnsi="Garamond" w:cs="Garamond"/>
          <w:sz w:val="24"/>
          <w:szCs w:val="24"/>
        </w:rPr>
        <w:t>, 2(3), pp. 410-430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Ehrenreich, B. (2007) </w:t>
      </w:r>
      <w:r w:rsidRPr="009B6D32">
        <w:rPr>
          <w:rFonts w:ascii="Garamond" w:hAnsi="Garamond" w:cs="Garamond"/>
          <w:i/>
          <w:iCs/>
          <w:sz w:val="24"/>
          <w:szCs w:val="24"/>
          <w:lang w:val="en-US"/>
        </w:rPr>
        <w:t xml:space="preserve">Dancing in the Streets: A History of Collective Joy. </w:t>
      </w:r>
      <w:r w:rsidRPr="009B6D32">
        <w:rPr>
          <w:rFonts w:ascii="Garamond" w:hAnsi="Garamond" w:cs="Garamond"/>
          <w:sz w:val="24"/>
          <w:szCs w:val="24"/>
          <w:lang w:val="en-US"/>
        </w:rPr>
        <w:t>London: Verso</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Eisenstein, Z. (1998) </w:t>
      </w:r>
      <w:r w:rsidRPr="009B6D32">
        <w:rPr>
          <w:rFonts w:ascii="Garamond" w:hAnsi="Garamond" w:cs="Garamond"/>
          <w:i/>
          <w:iCs/>
          <w:sz w:val="24"/>
          <w:szCs w:val="24"/>
        </w:rPr>
        <w:t xml:space="preserve">Global Obscenities: Patriarchy, Capitalism, and the Lure of Cyber-fantasy. </w:t>
      </w:r>
      <w:r w:rsidRPr="009B6D32">
        <w:rPr>
          <w:rFonts w:ascii="Garamond" w:hAnsi="Garamond" w:cs="Garamond"/>
          <w:sz w:val="24"/>
          <w:szCs w:val="24"/>
        </w:rPr>
        <w:t>New York: New York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Eisenstein, Z. (2004) </w:t>
      </w:r>
      <w:r w:rsidRPr="009B6D32">
        <w:rPr>
          <w:rFonts w:ascii="Garamond" w:hAnsi="Garamond" w:cs="Garamond"/>
          <w:i/>
          <w:sz w:val="24"/>
          <w:szCs w:val="24"/>
        </w:rPr>
        <w:t xml:space="preserve">Against Empire: Feminisms, Racism, and the West. </w:t>
      </w:r>
      <w:r w:rsidRPr="009B6D32">
        <w:rPr>
          <w:rFonts w:ascii="Garamond" w:hAnsi="Garamond" w:cs="Garamond"/>
          <w:sz w:val="24"/>
          <w:szCs w:val="24"/>
        </w:rPr>
        <w:t>New York: Zed Books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Elias, N. (1979</w:t>
      </w:r>
      <w:r w:rsidRPr="009B6D32">
        <w:rPr>
          <w:rFonts w:ascii="Garamond" w:hAnsi="Garamond" w:cs="Garamond"/>
          <w:i/>
          <w:sz w:val="24"/>
          <w:szCs w:val="24"/>
        </w:rPr>
        <w:t xml:space="preserve">) The Civilizing Process: A </w:t>
      </w:r>
      <w:r w:rsidRPr="009B6D32">
        <w:rPr>
          <w:rStyle w:val="Emphasis"/>
          <w:rFonts w:ascii="Garamond" w:hAnsi="Garamond" w:cs="Arial"/>
          <w:bCs/>
          <w:sz w:val="24"/>
          <w:szCs w:val="24"/>
          <w:shd w:val="clear" w:color="auto" w:fill="FFFFFF"/>
        </w:rPr>
        <w:t>History of Manners</w:t>
      </w:r>
      <w:r w:rsidRPr="009B6D32">
        <w:rPr>
          <w:rFonts w:ascii="Garamond" w:hAnsi="Garamond" w:cs="Arial"/>
          <w:sz w:val="24"/>
          <w:szCs w:val="24"/>
          <w:shd w:val="clear" w:color="auto" w:fill="FFFFFF"/>
        </w:rPr>
        <w:t>. Oxford: Blackwell</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kern w:val="28"/>
          <w:sz w:val="24"/>
          <w:szCs w:val="24"/>
          <w:lang w:val="en-US" w:eastAsia="en-GB"/>
        </w:rPr>
        <w:t xml:space="preserve">Fanon, F. (1968) </w:t>
      </w:r>
      <w:r w:rsidRPr="009B6D32">
        <w:rPr>
          <w:rFonts w:ascii="Garamond" w:hAnsi="Garamond" w:cs="Garamond"/>
          <w:i/>
          <w:iCs/>
          <w:kern w:val="28"/>
          <w:sz w:val="24"/>
          <w:szCs w:val="24"/>
          <w:lang w:val="en-US" w:eastAsia="en-GB"/>
        </w:rPr>
        <w:t xml:space="preserve">The Wretched of the Earth, </w:t>
      </w:r>
      <w:r w:rsidRPr="009B6D32">
        <w:rPr>
          <w:rFonts w:ascii="Garamond" w:hAnsi="Garamond" w:cs="Garamond"/>
          <w:kern w:val="28"/>
          <w:sz w:val="24"/>
          <w:szCs w:val="24"/>
          <w:lang w:val="en-US" w:eastAsia="en-GB"/>
        </w:rPr>
        <w:t>translated by Farrington</w:t>
      </w:r>
      <w:r w:rsidRPr="009B6D32">
        <w:rPr>
          <w:rFonts w:ascii="Garamond" w:hAnsi="Garamond" w:cs="Garamond"/>
          <w:i/>
          <w:iCs/>
          <w:kern w:val="28"/>
          <w:sz w:val="24"/>
          <w:szCs w:val="24"/>
          <w:lang w:val="en-US" w:eastAsia="en-GB"/>
        </w:rPr>
        <w:t>,</w:t>
      </w:r>
      <w:r w:rsidRPr="009B6D32">
        <w:rPr>
          <w:rFonts w:ascii="Garamond" w:hAnsi="Garamond" w:cs="Garamond"/>
          <w:iCs/>
          <w:kern w:val="28"/>
          <w:sz w:val="24"/>
          <w:szCs w:val="24"/>
          <w:lang w:val="en-US" w:eastAsia="en-GB"/>
        </w:rPr>
        <w:t xml:space="preserve"> C.,</w:t>
      </w:r>
      <w:r w:rsidRPr="009B6D32">
        <w:rPr>
          <w:rFonts w:ascii="Garamond" w:hAnsi="Garamond" w:cs="Garamond"/>
          <w:i/>
          <w:iCs/>
          <w:kern w:val="28"/>
          <w:sz w:val="24"/>
          <w:szCs w:val="24"/>
          <w:lang w:val="en-US" w:eastAsia="en-GB"/>
        </w:rPr>
        <w:t xml:space="preserve"> </w:t>
      </w:r>
      <w:r w:rsidRPr="009B6D32">
        <w:rPr>
          <w:rFonts w:ascii="Garamond" w:hAnsi="Garamond" w:cs="Garamond"/>
          <w:kern w:val="28"/>
          <w:sz w:val="24"/>
          <w:szCs w:val="24"/>
          <w:lang w:val="en-US" w:eastAsia="en-GB"/>
        </w:rPr>
        <w:t>New York: Grove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Fanon, F. (1986) [1967] </w:t>
      </w:r>
      <w:r w:rsidRPr="009B6D32">
        <w:rPr>
          <w:rFonts w:ascii="Garamond" w:hAnsi="Garamond" w:cs="Garamond"/>
          <w:i/>
          <w:iCs/>
          <w:sz w:val="24"/>
          <w:szCs w:val="24"/>
        </w:rPr>
        <w:t xml:space="preserve">Black Skin, White Masks, </w:t>
      </w:r>
      <w:r w:rsidRPr="009B6D32">
        <w:rPr>
          <w:rFonts w:ascii="Garamond" w:hAnsi="Garamond" w:cs="Garamond"/>
          <w:sz w:val="24"/>
          <w:szCs w:val="24"/>
        </w:rPr>
        <w:t>translated by Lam Markmann, C., London: Pluto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Featherstone, D. (2003) ‘Spatialities of transnational resistance to globalization: the maps of grievance of the inter-continental caravan’</w:t>
      </w:r>
      <w:r w:rsidRPr="009B6D32">
        <w:rPr>
          <w:rFonts w:ascii="Garamond" w:hAnsi="Garamond" w:cs="Garamond"/>
          <w:i/>
          <w:iCs/>
          <w:sz w:val="24"/>
          <w:szCs w:val="24"/>
        </w:rPr>
        <w:t xml:space="preserve">, Transactions of the Institute of British Geographers, </w:t>
      </w:r>
      <w:r w:rsidRPr="009B6D32">
        <w:rPr>
          <w:rFonts w:ascii="Garamond" w:hAnsi="Garamond" w:cs="Garamond"/>
          <w:sz w:val="24"/>
          <w:szCs w:val="24"/>
        </w:rPr>
        <w:t>28(4), pp. 404-421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lang w:val="en-US"/>
        </w:rPr>
        <w:t xml:space="preserve">Featherstone, D. (2008) </w:t>
      </w:r>
      <w:r w:rsidRPr="009B6D32">
        <w:rPr>
          <w:rFonts w:ascii="Garamond" w:hAnsi="Garamond" w:cs="Garamond"/>
          <w:i/>
          <w:iCs/>
          <w:sz w:val="24"/>
          <w:szCs w:val="24"/>
          <w:lang w:val="en-US"/>
        </w:rPr>
        <w:t xml:space="preserve">Resistance, Space and Political Identities </w:t>
      </w:r>
      <w:r w:rsidRPr="009B6D32">
        <w:rPr>
          <w:rFonts w:ascii="Garamond" w:hAnsi="Garamond" w:cs="Garamond"/>
          <w:i/>
          <w:iCs/>
          <w:sz w:val="24"/>
          <w:szCs w:val="24"/>
        </w:rPr>
        <w:t>–</w:t>
      </w:r>
      <w:r w:rsidRPr="009B6D32">
        <w:rPr>
          <w:rFonts w:ascii="Garamond" w:hAnsi="Garamond" w:cs="Garamond"/>
          <w:i/>
          <w:iCs/>
          <w:sz w:val="24"/>
          <w:szCs w:val="24"/>
          <w:lang w:val="en-US"/>
        </w:rPr>
        <w:t xml:space="preserve"> The making of Counter Global Networks. </w:t>
      </w:r>
      <w:r w:rsidRPr="009B6D32">
        <w:rPr>
          <w:rFonts w:ascii="Garamond" w:hAnsi="Garamond" w:cs="Garamond"/>
          <w:sz w:val="24"/>
          <w:szCs w:val="24"/>
          <w:lang w:val="en-US"/>
        </w:rPr>
        <w:t>Oxford: Wiley-Blackwell</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Featherstone, D. (2012) </w:t>
      </w:r>
      <w:r w:rsidRPr="009B6D32">
        <w:rPr>
          <w:rFonts w:ascii="Garamond" w:hAnsi="Garamond" w:cs="Garamond"/>
          <w:i/>
          <w:iCs/>
          <w:sz w:val="24"/>
          <w:szCs w:val="24"/>
          <w:lang w:val="en-US"/>
        </w:rPr>
        <w:t xml:space="preserve">Solidarity: Hidden Histories and Geographies of Internationalism. </w:t>
      </w:r>
      <w:r w:rsidRPr="009B6D32">
        <w:rPr>
          <w:rFonts w:ascii="Garamond" w:hAnsi="Garamond" w:cs="Garamond"/>
          <w:sz w:val="24"/>
          <w:szCs w:val="24"/>
          <w:lang w:val="en-US"/>
        </w:rPr>
        <w:t>London: Zed Books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Featherstone, M., Thrift, N. and Urry, J. (2005) </w:t>
      </w:r>
      <w:r w:rsidRPr="009B6D32">
        <w:rPr>
          <w:rFonts w:ascii="Garamond" w:hAnsi="Garamond" w:cs="Garamond"/>
          <w:i/>
          <w:iCs/>
          <w:sz w:val="24"/>
          <w:szCs w:val="24"/>
        </w:rPr>
        <w:t>Automobilities</w:t>
      </w:r>
      <w:r w:rsidRPr="009B6D32">
        <w:rPr>
          <w:rFonts w:ascii="Garamond" w:hAnsi="Garamond" w:cs="Garamond"/>
          <w:sz w:val="24"/>
          <w:szCs w:val="24"/>
        </w:rPr>
        <w:t>. London: Sage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Fell, A. (2007),'Trade Liberalization and Environmental Justice in the Ivorian Cocoa Industry'  Honors Projects Paper 5. Available at, http://digitalcommons.iwu.edu/intstu_honproj/5 . (Accessed 3 November 2012)</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Ferguson, J. (2007) </w:t>
      </w:r>
      <w:r w:rsidRPr="009B6D32">
        <w:rPr>
          <w:rFonts w:ascii="Garamond" w:hAnsi="Garamond" w:cs="Garamond"/>
          <w:i/>
          <w:iCs/>
          <w:sz w:val="24"/>
          <w:szCs w:val="24"/>
        </w:rPr>
        <w:t xml:space="preserve">Global shadows: Africa in the neoliberal world order. </w:t>
      </w:r>
      <w:r w:rsidRPr="009B6D32">
        <w:rPr>
          <w:rFonts w:ascii="Garamond" w:hAnsi="Garamond" w:cs="Garamond"/>
          <w:sz w:val="24"/>
          <w:szCs w:val="24"/>
        </w:rPr>
        <w:t>Durham: Duke University Press</w:t>
      </w:r>
    </w:p>
    <w:p w:rsidR="0001718F" w:rsidRPr="009B6D32" w:rsidRDefault="0001718F" w:rsidP="007437F5">
      <w:pPr>
        <w:spacing w:after="0" w:line="240" w:lineRule="auto"/>
        <w:ind w:hanging="720"/>
        <w:rPr>
          <w:rFonts w:ascii="Garamond" w:hAnsi="Garamond" w:cs="Garamond"/>
          <w:i/>
          <w:sz w:val="24"/>
          <w:szCs w:val="24"/>
        </w:rPr>
      </w:pPr>
      <w:r w:rsidRPr="009B6D32">
        <w:rPr>
          <w:rFonts w:ascii="Garamond" w:hAnsi="Garamond" w:cs="Garamond"/>
          <w:sz w:val="24"/>
          <w:szCs w:val="24"/>
        </w:rPr>
        <w:t>Fieldhouse, R. (2005)</w:t>
      </w:r>
      <w:r w:rsidRPr="009B6D32">
        <w:rPr>
          <w:rFonts w:ascii="Garamond" w:hAnsi="Garamond" w:cs="Garamond"/>
          <w:i/>
          <w:sz w:val="24"/>
          <w:szCs w:val="24"/>
        </w:rPr>
        <w:t xml:space="preserve"> </w:t>
      </w:r>
      <w:r w:rsidRPr="009B6D32">
        <w:rPr>
          <w:rStyle w:val="Emphasis"/>
          <w:rFonts w:ascii="Garamond" w:hAnsi="Garamond" w:cs="Arial"/>
          <w:bCs/>
          <w:sz w:val="24"/>
          <w:szCs w:val="24"/>
          <w:shd w:val="clear" w:color="auto" w:fill="FFFFFF"/>
        </w:rPr>
        <w:t>Anti</w:t>
      </w:r>
      <w:r w:rsidRPr="009B6D32">
        <w:rPr>
          <w:rFonts w:ascii="Garamond" w:hAnsi="Garamond" w:cs="Arial"/>
          <w:sz w:val="24"/>
          <w:szCs w:val="24"/>
          <w:shd w:val="clear" w:color="auto" w:fill="FFFFFF"/>
        </w:rPr>
        <w:t>-</w:t>
      </w:r>
      <w:r w:rsidRPr="009B6D32">
        <w:rPr>
          <w:rStyle w:val="Emphasis"/>
          <w:rFonts w:ascii="Garamond" w:hAnsi="Garamond" w:cs="Arial"/>
          <w:bCs/>
          <w:sz w:val="24"/>
          <w:szCs w:val="24"/>
          <w:shd w:val="clear" w:color="auto" w:fill="FFFFFF"/>
        </w:rPr>
        <w:t>apartheid</w:t>
      </w:r>
      <w:r w:rsidRPr="009B6D32">
        <w:rPr>
          <w:rFonts w:ascii="Garamond" w:hAnsi="Garamond" w:cs="Arial"/>
          <w:sz w:val="24"/>
          <w:szCs w:val="24"/>
          <w:shd w:val="clear" w:color="auto" w:fill="FFFFFF"/>
        </w:rPr>
        <w:t xml:space="preserve">: </w:t>
      </w:r>
      <w:r w:rsidRPr="009B6D32">
        <w:rPr>
          <w:rFonts w:ascii="Garamond" w:hAnsi="Garamond" w:cs="Arial"/>
          <w:i/>
          <w:sz w:val="24"/>
          <w:szCs w:val="24"/>
          <w:shd w:val="clear" w:color="auto" w:fill="FFFFFF"/>
        </w:rPr>
        <w:t>a history of the movement in Britain : a study in pressure group politics</w:t>
      </w:r>
      <w:r w:rsidRPr="009B6D32">
        <w:rPr>
          <w:rFonts w:ascii="Garamond" w:hAnsi="Garamond" w:cs="Arial"/>
          <w:sz w:val="24"/>
          <w:szCs w:val="24"/>
          <w:shd w:val="clear" w:color="auto" w:fill="FFFFFF"/>
        </w:rPr>
        <w:t>. London: Merlin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Findlay, A., McCollum, D., Shubin, S., Apsite, E. and Krisjane, Z. (2013) ‘The role of recruitment agencies in imagining and recruiting the 'good' migrant’, </w:t>
      </w:r>
      <w:r w:rsidRPr="009B6D32">
        <w:rPr>
          <w:rFonts w:ascii="Garamond" w:hAnsi="Garamond" w:cs="Garamond"/>
          <w:i/>
          <w:iCs/>
          <w:sz w:val="24"/>
          <w:szCs w:val="24"/>
        </w:rPr>
        <w:t xml:space="preserve">Social </w:t>
      </w:r>
      <w:r w:rsidR="00F152DB">
        <w:rPr>
          <w:rFonts w:ascii="Garamond" w:hAnsi="Garamond" w:cs="Garamond"/>
          <w:i/>
          <w:iCs/>
          <w:sz w:val="24"/>
          <w:szCs w:val="24"/>
        </w:rPr>
        <w:t>and</w:t>
      </w:r>
      <w:r w:rsidRPr="009B6D32">
        <w:rPr>
          <w:rFonts w:ascii="Garamond" w:hAnsi="Garamond" w:cs="Garamond"/>
          <w:i/>
          <w:iCs/>
          <w:sz w:val="24"/>
          <w:szCs w:val="24"/>
        </w:rPr>
        <w:t xml:space="preserve"> Cultural Geography, </w:t>
      </w:r>
      <w:r w:rsidRPr="009B6D32">
        <w:rPr>
          <w:rFonts w:ascii="Garamond" w:hAnsi="Garamond" w:cs="Garamond"/>
          <w:sz w:val="24"/>
          <w:szCs w:val="24"/>
        </w:rPr>
        <w:t>14(2), pp. 145-167</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Fine, B. (2004)</w:t>
      </w:r>
      <w:r w:rsidRPr="009B6D32">
        <w:rPr>
          <w:rFonts w:ascii="Garamond" w:hAnsi="Garamond" w:cs="Garamond"/>
          <w:i/>
          <w:iCs/>
          <w:sz w:val="24"/>
          <w:szCs w:val="24"/>
        </w:rPr>
        <w:t xml:space="preserve"> </w:t>
      </w:r>
      <w:r w:rsidRPr="009B6D32">
        <w:rPr>
          <w:rFonts w:ascii="Garamond" w:hAnsi="Garamond" w:cs="Garamond"/>
          <w:iCs/>
          <w:sz w:val="24"/>
          <w:szCs w:val="24"/>
        </w:rPr>
        <w:t>‘</w:t>
      </w:r>
      <w:r w:rsidRPr="009B6D32">
        <w:rPr>
          <w:rFonts w:ascii="Garamond" w:hAnsi="Garamond" w:cs="Garamond"/>
          <w:sz w:val="24"/>
          <w:szCs w:val="24"/>
        </w:rPr>
        <w:t>Addressing the Consumer - Knowing Consumers: Actors, Images, Identities in Modern History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iCs/>
          <w:sz w:val="24"/>
          <w:szCs w:val="24"/>
        </w:rPr>
        <w:t>Conference at the Zentrum für Interdisziplinäre Forschung. Bielefeld, Germany, 26-28 February</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Fischer, J. (2007) ‘Buycott or Boycott? Malay Middle class consumption post- 9/11’,</w:t>
      </w:r>
      <w:r w:rsidRPr="009B6D32">
        <w:rPr>
          <w:rFonts w:ascii="Garamond" w:hAnsi="Garamond" w:cs="Garamond"/>
          <w:i/>
          <w:iCs/>
          <w:sz w:val="24"/>
          <w:szCs w:val="24"/>
          <w:lang w:val="en-US"/>
        </w:rPr>
        <w:t xml:space="preserve"> Ethnos, </w:t>
      </w:r>
      <w:r w:rsidRPr="009B6D32">
        <w:rPr>
          <w:rFonts w:ascii="Garamond" w:hAnsi="Garamond" w:cs="Garamond"/>
          <w:sz w:val="24"/>
          <w:szCs w:val="24"/>
          <w:lang w:val="en-US"/>
        </w:rPr>
        <w:t xml:space="preserve">72(1) pp. 29-50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Fischer, S. (2005) </w:t>
      </w:r>
      <w:r w:rsidRPr="009B6D32">
        <w:rPr>
          <w:rFonts w:ascii="Garamond" w:hAnsi="Garamond" w:cs="Garamond"/>
          <w:i/>
          <w:iCs/>
          <w:sz w:val="24"/>
          <w:szCs w:val="24"/>
        </w:rPr>
        <w:t xml:space="preserve">Modernity disavowed: Haiti and the cultures of slavery in the age of revolution. </w:t>
      </w:r>
      <w:r w:rsidRPr="009B6D32">
        <w:rPr>
          <w:rFonts w:ascii="Garamond" w:hAnsi="Garamond" w:cs="Garamond"/>
          <w:color w:val="000000"/>
          <w:sz w:val="24"/>
          <w:szCs w:val="24"/>
          <w:shd w:val="clear" w:color="auto" w:fill="FFFFFF"/>
        </w:rPr>
        <w:t>Durham: Duke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Fisher, E. (2012) ‘The “Fair Trade Nation”: Market-Oriented Development in Devolved European Regions’, </w:t>
      </w:r>
      <w:r w:rsidRPr="009B6D32">
        <w:rPr>
          <w:rFonts w:ascii="Garamond" w:hAnsi="Garamond" w:cs="Garamond"/>
          <w:i/>
          <w:iCs/>
          <w:color w:val="000000"/>
          <w:sz w:val="24"/>
          <w:szCs w:val="24"/>
          <w:shd w:val="clear" w:color="auto" w:fill="FFFFFF"/>
        </w:rPr>
        <w:t>Human Organization</w:t>
      </w:r>
      <w:r w:rsidRPr="009B6D32">
        <w:rPr>
          <w:rFonts w:ascii="Garamond" w:hAnsi="Garamond" w:cs="Garamond"/>
          <w:iCs/>
          <w:color w:val="000000"/>
          <w:sz w:val="24"/>
          <w:szCs w:val="24"/>
          <w:shd w:val="clear" w:color="auto" w:fill="FFFFFF"/>
        </w:rPr>
        <w:t>,</w:t>
      </w:r>
      <w:r w:rsidRPr="009B6D32">
        <w:rPr>
          <w:rFonts w:ascii="Garamond" w:hAnsi="Garamond" w:cs="Garamond"/>
          <w:i/>
          <w:iCs/>
          <w:color w:val="000000"/>
          <w:sz w:val="24"/>
          <w:szCs w:val="24"/>
          <w:shd w:val="clear" w:color="auto" w:fill="FFFFFF"/>
        </w:rPr>
        <w:t xml:space="preserve"> </w:t>
      </w:r>
      <w:r w:rsidRPr="009B6D32">
        <w:rPr>
          <w:rFonts w:ascii="Garamond" w:hAnsi="Garamond" w:cs="Garamond"/>
          <w:color w:val="000000"/>
          <w:sz w:val="24"/>
          <w:szCs w:val="24"/>
          <w:shd w:val="clear" w:color="auto" w:fill="FFFFFF"/>
        </w:rPr>
        <w:t>71(3), pp. 255-267</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eastAsia="en-GB"/>
        </w:rPr>
        <w:t>Fitzpatrick, P. (1897) </w:t>
      </w:r>
      <w:r w:rsidRPr="009B6D32">
        <w:rPr>
          <w:rFonts w:ascii="Garamond" w:hAnsi="Garamond" w:cs="Garamond"/>
          <w:i/>
          <w:iCs/>
          <w:sz w:val="24"/>
          <w:szCs w:val="24"/>
          <w:lang w:eastAsia="en-GB"/>
        </w:rPr>
        <w:t>The Outspan: Tales of South Africa. </w:t>
      </w:r>
      <w:r w:rsidRPr="009B6D32">
        <w:rPr>
          <w:rFonts w:ascii="Garamond" w:hAnsi="Garamond" w:cs="Garamond"/>
          <w:sz w:val="24"/>
          <w:szCs w:val="24"/>
          <w:lang w:eastAsia="en-GB"/>
        </w:rPr>
        <w:t>Cape Town: W. Heinemann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lastRenderedPageBreak/>
        <w:t xml:space="preserve">Flam, H. and King, D. (2005) </w:t>
      </w:r>
      <w:r w:rsidRPr="009B6D32">
        <w:rPr>
          <w:rFonts w:ascii="Garamond" w:hAnsi="Garamond" w:cs="Garamond"/>
          <w:i/>
          <w:iCs/>
          <w:sz w:val="24"/>
          <w:szCs w:val="24"/>
        </w:rPr>
        <w:t xml:space="preserve">Emotions and Social Movements. </w:t>
      </w:r>
      <w:r w:rsidRPr="009B6D32">
        <w:rPr>
          <w:rFonts w:ascii="Garamond" w:hAnsi="Garamond" w:cs="Garamond"/>
          <w:sz w:val="24"/>
          <w:szCs w:val="24"/>
        </w:rPr>
        <w:t>Abingdon: Routledge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Fleck, L. (1979) </w:t>
      </w:r>
      <w:r w:rsidRPr="009B6D32">
        <w:rPr>
          <w:rFonts w:ascii="Garamond" w:hAnsi="Garamond" w:cs="Garamond"/>
          <w:i/>
          <w:iCs/>
          <w:sz w:val="24"/>
          <w:szCs w:val="24"/>
        </w:rPr>
        <w:t xml:space="preserve">Genesis and Development of a Scientific Fact, </w:t>
      </w:r>
      <w:r w:rsidRPr="009B6D32">
        <w:rPr>
          <w:rFonts w:ascii="Garamond" w:hAnsi="Garamond" w:cs="Garamond"/>
          <w:sz w:val="24"/>
          <w:szCs w:val="24"/>
        </w:rPr>
        <w:t>Chicago: Chicago University Press</w:t>
      </w:r>
    </w:p>
    <w:p w:rsidR="0001718F" w:rsidRPr="009B6D32" w:rsidRDefault="0001718F" w:rsidP="007437F5">
      <w:pPr>
        <w:spacing w:after="0" w:line="240" w:lineRule="auto"/>
        <w:ind w:hanging="720"/>
        <w:outlineLvl w:val="0"/>
        <w:rPr>
          <w:rFonts w:ascii="Garamond" w:hAnsi="Garamond"/>
          <w:sz w:val="24"/>
          <w:szCs w:val="24"/>
        </w:rPr>
      </w:pPr>
      <w:r w:rsidRPr="009B6D32">
        <w:rPr>
          <w:rFonts w:ascii="Garamond" w:hAnsi="Garamond" w:cs="Garamond"/>
          <w:kern w:val="36"/>
          <w:sz w:val="24"/>
          <w:szCs w:val="24"/>
          <w:lang w:eastAsia="en-GB"/>
        </w:rPr>
        <w:t xml:space="preserve">Fold, N. (2002) ‘Lead Firms and Competition in ‘Bi-polar’ Commodity Chains: Grinders and Branders in the Global Cocoa-chocolate Industry’, </w:t>
      </w:r>
      <w:r w:rsidRPr="009B6D32">
        <w:rPr>
          <w:rFonts w:ascii="Garamond" w:hAnsi="Garamond" w:cs="Garamond"/>
          <w:i/>
          <w:iCs/>
          <w:sz w:val="24"/>
          <w:szCs w:val="24"/>
          <w:lang w:eastAsia="en-GB"/>
        </w:rPr>
        <w:t xml:space="preserve">Journal of </w:t>
      </w:r>
      <w:r w:rsidRPr="009B6D32">
        <w:rPr>
          <w:rFonts w:ascii="Garamond" w:hAnsi="Garamond"/>
          <w:i/>
          <w:sz w:val="24"/>
          <w:szCs w:val="24"/>
        </w:rPr>
        <w:t>Agrarian Change</w:t>
      </w:r>
      <w:r w:rsidRPr="009B6D32">
        <w:rPr>
          <w:rFonts w:ascii="Garamond" w:hAnsi="Garamond"/>
          <w:sz w:val="24"/>
          <w:szCs w:val="24"/>
        </w:rPr>
        <w:t>, 2(2), pp. 228–247</w:t>
      </w:r>
    </w:p>
    <w:p w:rsidR="0001718F" w:rsidRPr="009B6D32" w:rsidRDefault="0001718F" w:rsidP="007437F5">
      <w:pPr>
        <w:spacing w:after="0" w:line="240" w:lineRule="auto"/>
        <w:ind w:hanging="720"/>
        <w:outlineLvl w:val="0"/>
        <w:rPr>
          <w:rFonts w:ascii="Garamond" w:hAnsi="Garamond" w:cs="Garamond"/>
          <w:kern w:val="36"/>
          <w:sz w:val="24"/>
          <w:szCs w:val="24"/>
          <w:lang w:eastAsia="en-GB"/>
        </w:rPr>
      </w:pPr>
      <w:r w:rsidRPr="009B6D32">
        <w:rPr>
          <w:rFonts w:ascii="Garamond" w:hAnsi="Garamond" w:cs="Garamond"/>
          <w:sz w:val="24"/>
          <w:szCs w:val="24"/>
        </w:rPr>
        <w:t xml:space="preserve">Foucault, M. (1979[1975]) </w:t>
      </w:r>
      <w:r w:rsidRPr="009B6D32">
        <w:rPr>
          <w:rFonts w:ascii="Garamond" w:hAnsi="Garamond" w:cs="Garamond"/>
          <w:i/>
          <w:iCs/>
          <w:sz w:val="24"/>
          <w:szCs w:val="24"/>
        </w:rPr>
        <w:t xml:space="preserve">Discipline and Punish: The Birth of the Prison. </w:t>
      </w:r>
      <w:r w:rsidRPr="009B6D32">
        <w:rPr>
          <w:rFonts w:ascii="Garamond" w:hAnsi="Garamond" w:cs="Garamond"/>
          <w:sz w:val="24"/>
          <w:szCs w:val="24"/>
        </w:rPr>
        <w:t>New York: Vintage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Foucault, M. (1998 [1976]) </w:t>
      </w:r>
      <w:r w:rsidRPr="009B6D32">
        <w:rPr>
          <w:rFonts w:ascii="Garamond" w:hAnsi="Garamond" w:cs="Garamond"/>
          <w:i/>
          <w:iCs/>
          <w:sz w:val="24"/>
          <w:szCs w:val="24"/>
        </w:rPr>
        <w:t>The Will to Knowledge: The History of Sexuality Volume One</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translated by Hurley</w:t>
      </w:r>
      <w:r w:rsidRPr="009B6D32">
        <w:rPr>
          <w:rFonts w:ascii="Garamond" w:hAnsi="Garamond" w:cs="Garamond"/>
          <w:i/>
          <w:iCs/>
          <w:sz w:val="24"/>
          <w:szCs w:val="24"/>
        </w:rPr>
        <w:t>,</w:t>
      </w:r>
      <w:r w:rsidRPr="009B6D32">
        <w:rPr>
          <w:rFonts w:ascii="Garamond" w:hAnsi="Garamond" w:cs="Garamond"/>
          <w:iCs/>
          <w:sz w:val="24"/>
          <w:szCs w:val="24"/>
        </w:rPr>
        <w:t xml:space="preserve"> R.,</w:t>
      </w:r>
      <w:r w:rsidRPr="009B6D32">
        <w:rPr>
          <w:rFonts w:ascii="Garamond" w:hAnsi="Garamond" w:cs="Garamond"/>
          <w:i/>
          <w:iCs/>
          <w:sz w:val="24"/>
          <w:szCs w:val="24"/>
        </w:rPr>
        <w:t xml:space="preserve"> </w:t>
      </w:r>
      <w:r w:rsidRPr="009B6D32">
        <w:rPr>
          <w:rFonts w:ascii="Garamond" w:hAnsi="Garamond" w:cs="Garamond"/>
          <w:sz w:val="24"/>
          <w:szCs w:val="24"/>
        </w:rPr>
        <w:t>London: Penguin</w:t>
      </w:r>
    </w:p>
    <w:p w:rsidR="0001718F" w:rsidRPr="009B6D32" w:rsidRDefault="0001718F" w:rsidP="007437F5">
      <w:pPr>
        <w:spacing w:after="0" w:line="240" w:lineRule="auto"/>
        <w:ind w:hanging="720"/>
        <w:rPr>
          <w:rFonts w:ascii="Garamond" w:hAnsi="Garamond" w:cs="Garamond"/>
          <w:i/>
          <w:sz w:val="24"/>
          <w:szCs w:val="24"/>
        </w:rPr>
      </w:pPr>
      <w:r w:rsidRPr="009B6D32">
        <w:rPr>
          <w:rFonts w:ascii="Garamond" w:hAnsi="Garamond" w:cs="Garamond"/>
          <w:sz w:val="24"/>
          <w:szCs w:val="24"/>
        </w:rPr>
        <w:t xml:space="preserve">Foucault, M. (2003) </w:t>
      </w:r>
      <w:r w:rsidRPr="009B6D32">
        <w:rPr>
          <w:rFonts w:ascii="Garamond" w:hAnsi="Garamond" w:cs="Garamond"/>
          <w:i/>
          <w:sz w:val="24"/>
          <w:szCs w:val="24"/>
        </w:rPr>
        <w:t>Society must be defended:</w:t>
      </w:r>
      <w:r w:rsidRPr="009B6D32">
        <w:rPr>
          <w:rStyle w:val="apple-converted-space"/>
          <w:rFonts w:ascii="Garamond" w:hAnsi="Garamond" w:cs="Arial"/>
          <w:i/>
          <w:sz w:val="24"/>
          <w:szCs w:val="24"/>
          <w:shd w:val="clear" w:color="auto" w:fill="FFFFFF"/>
        </w:rPr>
        <w:t> </w:t>
      </w:r>
      <w:r w:rsidRPr="009B6D32">
        <w:rPr>
          <w:rStyle w:val="Emphasis"/>
          <w:rFonts w:ascii="Garamond" w:hAnsi="Garamond" w:cs="Arial"/>
          <w:bCs/>
          <w:sz w:val="24"/>
          <w:szCs w:val="24"/>
          <w:shd w:val="clear" w:color="auto" w:fill="FFFFFF"/>
        </w:rPr>
        <w:t>Lectures at the College de</w:t>
      </w:r>
      <w:r w:rsidRPr="009B6D32">
        <w:rPr>
          <w:rStyle w:val="apple-converted-space"/>
          <w:rFonts w:ascii="Garamond" w:hAnsi="Garamond" w:cs="Arial"/>
          <w:i/>
          <w:sz w:val="24"/>
          <w:szCs w:val="24"/>
          <w:shd w:val="clear" w:color="auto" w:fill="FFFFFF"/>
        </w:rPr>
        <w:t> </w:t>
      </w:r>
      <w:r w:rsidRPr="009B6D32">
        <w:rPr>
          <w:rFonts w:ascii="Garamond" w:hAnsi="Garamond" w:cs="Arial"/>
          <w:i/>
          <w:sz w:val="24"/>
          <w:szCs w:val="24"/>
          <w:shd w:val="clear" w:color="auto" w:fill="FFFFFF"/>
        </w:rPr>
        <w:t>France (1975-1976</w:t>
      </w:r>
      <w:r w:rsidRPr="009B6D32">
        <w:rPr>
          <w:rFonts w:ascii="Garamond" w:hAnsi="Garamond" w:cs="Arial"/>
          <w:sz w:val="24"/>
          <w:szCs w:val="24"/>
          <w:shd w:val="clear" w:color="auto" w:fill="FFFFFF"/>
        </w:rPr>
        <w:t>). New York: Picador</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Foucault, M. (2003[1963]) </w:t>
      </w:r>
      <w:r w:rsidRPr="009B6D32">
        <w:rPr>
          <w:rFonts w:ascii="Garamond" w:hAnsi="Garamond" w:cs="Garamond"/>
          <w:i/>
          <w:sz w:val="24"/>
          <w:szCs w:val="24"/>
        </w:rPr>
        <w:t xml:space="preserve">The Birth of the Clinic. </w:t>
      </w:r>
      <w:r w:rsidRPr="009B6D32">
        <w:rPr>
          <w:rFonts w:ascii="Garamond" w:hAnsi="Garamond" w:cs="Garamond"/>
          <w:sz w:val="24"/>
          <w:szCs w:val="24"/>
        </w:rPr>
        <w:t>Taylor &amp; Francis e-library</w:t>
      </w:r>
    </w:p>
    <w:p w:rsidR="0001718F" w:rsidRDefault="0001718F" w:rsidP="007437F5">
      <w:pPr>
        <w:spacing w:after="0" w:line="240" w:lineRule="auto"/>
        <w:ind w:hanging="720"/>
        <w:outlineLvl w:val="0"/>
        <w:rPr>
          <w:rFonts w:ascii="Garamond" w:hAnsi="Garamond" w:cs="Garamond"/>
          <w:sz w:val="24"/>
          <w:szCs w:val="24"/>
        </w:rPr>
      </w:pPr>
      <w:r w:rsidRPr="009B6D32">
        <w:rPr>
          <w:rFonts w:ascii="Garamond" w:hAnsi="Garamond" w:cs="Garamond"/>
          <w:sz w:val="24"/>
          <w:szCs w:val="24"/>
        </w:rPr>
        <w:t xml:space="preserve">Foucault, M. (2006 [1967]) </w:t>
      </w:r>
      <w:r w:rsidRPr="009B6D32">
        <w:rPr>
          <w:rFonts w:ascii="Garamond" w:hAnsi="Garamond" w:cs="Garamond"/>
          <w:i/>
          <w:sz w:val="24"/>
          <w:szCs w:val="24"/>
        </w:rPr>
        <w:t xml:space="preserve">Madness and Civilization: A History of Insanity in the Age of Reason. </w:t>
      </w:r>
      <w:r w:rsidRPr="009B6D32">
        <w:rPr>
          <w:rFonts w:ascii="Garamond" w:hAnsi="Garamond" w:cs="Garamond"/>
          <w:sz w:val="24"/>
          <w:szCs w:val="24"/>
        </w:rPr>
        <w:t>London: Routledge</w:t>
      </w:r>
    </w:p>
    <w:p w:rsidR="0001718F" w:rsidRPr="00F60707" w:rsidRDefault="0001718F" w:rsidP="007437F5">
      <w:pPr>
        <w:spacing w:after="0" w:line="240" w:lineRule="auto"/>
        <w:ind w:hanging="720"/>
        <w:outlineLvl w:val="0"/>
        <w:rPr>
          <w:rFonts w:ascii="Garamond" w:hAnsi="Garamond" w:cs="Garamond"/>
          <w:sz w:val="24"/>
          <w:szCs w:val="24"/>
        </w:rPr>
      </w:pPr>
      <w:r w:rsidRPr="003064A9">
        <w:rPr>
          <w:rFonts w:ascii="Garamond" w:hAnsi="Garamond" w:cs="Garamond"/>
          <w:color w:val="000000"/>
          <w:sz w:val="24"/>
          <w:szCs w:val="24"/>
          <w:shd w:val="clear" w:color="auto" w:fill="FFFFFF"/>
        </w:rPr>
        <w:t>FourBoys Films</w:t>
      </w:r>
      <w:r w:rsidRPr="001B70B0">
        <w:rPr>
          <w:rFonts w:ascii="Garamond" w:hAnsi="Garamond" w:cs="Garamond"/>
          <w:iCs/>
          <w:color w:val="000000"/>
          <w:sz w:val="24"/>
          <w:szCs w:val="24"/>
          <w:shd w:val="clear" w:color="auto" w:fill="FFFFFF"/>
        </w:rPr>
        <w:t xml:space="preserve"> </w:t>
      </w:r>
      <w:r>
        <w:rPr>
          <w:rFonts w:ascii="Garamond" w:hAnsi="Garamond" w:cs="Garamond"/>
          <w:iCs/>
          <w:color w:val="000000"/>
          <w:sz w:val="24"/>
          <w:szCs w:val="24"/>
          <w:shd w:val="clear" w:color="auto" w:fill="FFFFFF"/>
        </w:rPr>
        <w:t xml:space="preserve">(2006) </w:t>
      </w:r>
      <w:r w:rsidRPr="009B6D32">
        <w:rPr>
          <w:rFonts w:ascii="Garamond" w:hAnsi="Garamond" w:cs="Garamond"/>
          <w:i/>
          <w:iCs/>
          <w:color w:val="000000"/>
          <w:sz w:val="24"/>
          <w:szCs w:val="24"/>
          <w:shd w:val="clear" w:color="auto" w:fill="FFFFFF"/>
        </w:rPr>
        <w:t>Amazing Grace</w:t>
      </w:r>
      <w:r>
        <w:rPr>
          <w:rFonts w:ascii="Garamond" w:hAnsi="Garamond" w:cs="Garamond"/>
          <w:i/>
          <w:iCs/>
          <w:color w:val="000000"/>
          <w:sz w:val="24"/>
          <w:szCs w:val="24"/>
          <w:shd w:val="clear" w:color="auto" w:fill="FFFFFF"/>
        </w:rPr>
        <w:t>.</w:t>
      </w:r>
      <w:r>
        <w:rPr>
          <w:rFonts w:ascii="Garamond" w:hAnsi="Garamond" w:cs="Garamond"/>
          <w:color w:val="000000"/>
          <w:sz w:val="24"/>
          <w:szCs w:val="24"/>
          <w:shd w:val="clear" w:color="auto" w:fill="FFFFFF"/>
        </w:rPr>
        <w:t xml:space="preserve"> Dir. by, Apted, M.</w:t>
      </w:r>
    </w:p>
    <w:p w:rsidR="0001718F" w:rsidRPr="00F60707" w:rsidRDefault="0001718F" w:rsidP="007437F5">
      <w:pPr>
        <w:spacing w:after="0" w:line="240" w:lineRule="auto"/>
        <w:ind w:hanging="720"/>
        <w:outlineLvl w:val="0"/>
        <w:rPr>
          <w:rFonts w:ascii="Garamond" w:hAnsi="Garamond" w:cs="Garamond"/>
          <w:i/>
          <w:sz w:val="24"/>
          <w:szCs w:val="24"/>
        </w:rPr>
      </w:pPr>
      <w:r w:rsidRPr="009B6D32">
        <w:rPr>
          <w:rFonts w:ascii="Garamond" w:hAnsi="Garamond" w:cs="Garamond"/>
          <w:sz w:val="24"/>
          <w:szCs w:val="24"/>
        </w:rPr>
        <w:t xml:space="preserve">Freidberg, S. (2003) ‘Editorial: not all sweetness and light: new cultural geographies of food,’ </w:t>
      </w:r>
      <w:r w:rsidRPr="009B6D32">
        <w:rPr>
          <w:rFonts w:ascii="Garamond" w:hAnsi="Garamond" w:cs="Garamond"/>
          <w:i/>
          <w:iCs/>
          <w:sz w:val="24"/>
          <w:szCs w:val="24"/>
        </w:rPr>
        <w:t xml:space="preserve">Social </w:t>
      </w:r>
      <w:r w:rsidR="00F152DB">
        <w:rPr>
          <w:rFonts w:ascii="Garamond" w:hAnsi="Garamond" w:cs="Garamond"/>
          <w:i/>
          <w:iCs/>
          <w:sz w:val="24"/>
          <w:szCs w:val="24"/>
        </w:rPr>
        <w:t>and</w:t>
      </w:r>
      <w:r w:rsidRPr="009B6D32">
        <w:rPr>
          <w:rFonts w:ascii="Garamond" w:hAnsi="Garamond" w:cs="Garamond"/>
          <w:i/>
          <w:iCs/>
          <w:sz w:val="24"/>
          <w:szCs w:val="24"/>
        </w:rPr>
        <w:t xml:space="preserve"> Cultural Geography</w:t>
      </w:r>
      <w:r w:rsidRPr="009B6D32">
        <w:rPr>
          <w:rFonts w:ascii="Garamond" w:hAnsi="Garamond" w:cs="Garamond"/>
          <w:sz w:val="24"/>
          <w:szCs w:val="24"/>
        </w:rPr>
        <w:t xml:space="preserve"> 4(1), pp. 3–6</w:t>
      </w:r>
      <w:r w:rsidRPr="009B6D32">
        <w:rPr>
          <w:rFonts w:ascii="Garamond" w:hAnsi="Garamond" w:cs="Garamond"/>
          <w:sz w:val="24"/>
          <w:szCs w:val="24"/>
          <w:lang w:val="en-US"/>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Freidberg, S. (2004) ‘The ethical complex of corporate food power’, </w:t>
      </w:r>
      <w:r w:rsidRPr="009B6D32">
        <w:rPr>
          <w:rFonts w:ascii="Garamond" w:hAnsi="Garamond" w:cs="Garamond"/>
          <w:i/>
          <w:sz w:val="24"/>
          <w:szCs w:val="24"/>
          <w:lang w:val="en-US"/>
        </w:rPr>
        <w:t>Environment and Planning D: Society and Space</w:t>
      </w:r>
      <w:r w:rsidRPr="009B6D32">
        <w:rPr>
          <w:rFonts w:ascii="Garamond" w:hAnsi="Garamond" w:cs="Garamond"/>
          <w:sz w:val="24"/>
          <w:szCs w:val="24"/>
          <w:lang w:val="en-US"/>
        </w:rPr>
        <w:t>, 22(4), pp. 513–531</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Friedman, Milton (1962) </w:t>
      </w:r>
      <w:r w:rsidRPr="009B6D32">
        <w:rPr>
          <w:rFonts w:ascii="Garamond" w:hAnsi="Garamond" w:cs="Garamond"/>
          <w:i/>
          <w:iCs/>
          <w:sz w:val="24"/>
          <w:szCs w:val="24"/>
          <w:lang w:val="en-US"/>
        </w:rPr>
        <w:t xml:space="preserve">Capitalism and Freedom. </w:t>
      </w:r>
      <w:r w:rsidRPr="009B6D32">
        <w:rPr>
          <w:rFonts w:ascii="Garamond" w:hAnsi="Garamond" w:cs="Garamond"/>
          <w:sz w:val="24"/>
          <w:szCs w:val="24"/>
          <w:lang w:val="en-US"/>
        </w:rPr>
        <w:t>Chicago: University of Chicago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Friedman, Monroe (1985) ‘Consumer Boycotts in the United States, 1970-1980: Contemporary Events in Historical Perspective’, </w:t>
      </w:r>
      <w:r w:rsidRPr="009B6D32">
        <w:rPr>
          <w:rFonts w:ascii="Garamond" w:hAnsi="Garamond" w:cs="Garamond"/>
          <w:i/>
          <w:iCs/>
          <w:sz w:val="24"/>
          <w:szCs w:val="24"/>
          <w:lang w:val="en-US"/>
        </w:rPr>
        <w:t>The Journal of Consumer Affairs</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19(1), pp. 96-117</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Friedman, Monroe (1999) </w:t>
      </w:r>
      <w:r w:rsidRPr="009B6D32">
        <w:rPr>
          <w:rFonts w:ascii="Garamond" w:hAnsi="Garamond" w:cs="Garamond"/>
          <w:i/>
          <w:iCs/>
          <w:sz w:val="24"/>
          <w:szCs w:val="24"/>
          <w:lang w:val="en-US"/>
        </w:rPr>
        <w:t>Consumer Boycotts: Effecting Change Through the Marketplace and the Media</w:t>
      </w:r>
      <w:r w:rsidRPr="009B6D32">
        <w:rPr>
          <w:rFonts w:ascii="Garamond" w:hAnsi="Garamond" w:cs="Garamond"/>
          <w:sz w:val="24"/>
          <w:szCs w:val="24"/>
          <w:lang w:val="en-US"/>
        </w:rPr>
        <w:t>. London: Routledge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Friedman, Monroe (2001) ‘Ethical Dilemmas Associated with Consumer Boycotts’, </w:t>
      </w:r>
      <w:r w:rsidRPr="009B6D32">
        <w:rPr>
          <w:rFonts w:ascii="Garamond" w:hAnsi="Garamond" w:cs="Garamond"/>
          <w:i/>
          <w:iCs/>
          <w:sz w:val="24"/>
          <w:szCs w:val="24"/>
          <w:lang w:val="en-US"/>
        </w:rPr>
        <w:t xml:space="preserve">Journal of Social Philosophy, </w:t>
      </w:r>
      <w:r w:rsidRPr="009B6D32">
        <w:rPr>
          <w:rFonts w:ascii="Garamond" w:hAnsi="Garamond" w:cs="Garamond"/>
          <w:sz w:val="24"/>
          <w:szCs w:val="24"/>
          <w:lang w:val="en-US"/>
        </w:rPr>
        <w:t>32(2), pp. 232-240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Friedman, Monroe (2006) ‘Using Consumer Boycotts to stimulate Corporate Policy changes: Marketplace, Media and moral considerations’, in Micheletti, M., Follesdal, A. and Stolle, D. (eds.) </w:t>
      </w:r>
      <w:r w:rsidRPr="009B6D32">
        <w:rPr>
          <w:rFonts w:ascii="Garamond" w:hAnsi="Garamond" w:cs="Garamond"/>
          <w:i/>
          <w:iCs/>
          <w:sz w:val="24"/>
          <w:szCs w:val="24"/>
          <w:lang w:val="en-US"/>
        </w:rPr>
        <w:t>Politics, Products and Markets</w:t>
      </w:r>
      <w:r w:rsidRPr="009B6D32">
        <w:rPr>
          <w:rFonts w:ascii="Garamond" w:hAnsi="Garamond" w:cs="Garamond"/>
          <w:sz w:val="24"/>
          <w:szCs w:val="24"/>
          <w:lang w:val="en-US"/>
        </w:rPr>
        <w:t>. London: Transaction Publishers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Fuat Firat, A., and Dholoksa, N. (1998) </w:t>
      </w:r>
      <w:r w:rsidRPr="009B6D32">
        <w:rPr>
          <w:rFonts w:ascii="Garamond" w:hAnsi="Garamond" w:cs="Garamond"/>
          <w:i/>
          <w:iCs/>
          <w:sz w:val="24"/>
          <w:szCs w:val="24"/>
        </w:rPr>
        <w:t xml:space="preserve">Consuming People: From Political Economy to Theaters of Consumption. </w:t>
      </w:r>
      <w:r w:rsidRPr="009B6D32">
        <w:rPr>
          <w:rFonts w:ascii="Garamond" w:hAnsi="Garamond" w:cs="Garamond"/>
          <w:sz w:val="24"/>
          <w:szCs w:val="24"/>
        </w:rPr>
        <w:t>London: Routledge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Gabriel, Y. and Lang, T. (2005) </w:t>
      </w:r>
      <w:r w:rsidRPr="009B6D32">
        <w:rPr>
          <w:rFonts w:ascii="Garamond" w:hAnsi="Garamond" w:cs="Garamond"/>
          <w:i/>
          <w:iCs/>
          <w:sz w:val="24"/>
          <w:szCs w:val="24"/>
        </w:rPr>
        <w:t xml:space="preserve">The Unmanageable Consumer. </w:t>
      </w:r>
      <w:r w:rsidRPr="009B6D32">
        <w:rPr>
          <w:rFonts w:ascii="Garamond" w:hAnsi="Garamond" w:cs="Garamond"/>
          <w:sz w:val="24"/>
          <w:szCs w:val="24"/>
        </w:rPr>
        <w:t>London: Sage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Gallagher, C. and Laqueur, T. (eds.) (1987) </w:t>
      </w:r>
      <w:r w:rsidRPr="009B6D32">
        <w:rPr>
          <w:rFonts w:ascii="Garamond" w:hAnsi="Garamond" w:cs="Garamond"/>
          <w:i/>
          <w:iCs/>
          <w:sz w:val="24"/>
          <w:szCs w:val="24"/>
          <w:lang w:val="en-US"/>
        </w:rPr>
        <w:t xml:space="preserve">The Making of the Modern Body: Sexuality and Society in the Nineteenth Century. </w:t>
      </w:r>
      <w:r w:rsidRPr="009B6D32">
        <w:rPr>
          <w:rFonts w:ascii="Garamond" w:hAnsi="Garamond" w:cs="Garamond"/>
          <w:sz w:val="24"/>
          <w:szCs w:val="24"/>
          <w:lang w:val="en-US"/>
        </w:rPr>
        <w:t>London: University of California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Gatens, M. (1996) </w:t>
      </w:r>
      <w:r w:rsidRPr="009B6D32">
        <w:rPr>
          <w:rFonts w:ascii="Garamond" w:hAnsi="Garamond" w:cs="Garamond"/>
          <w:i/>
          <w:sz w:val="24"/>
          <w:szCs w:val="24"/>
          <w:lang w:val="en-US"/>
        </w:rPr>
        <w:t xml:space="preserve">Imaginary Bodies: Ethics, Power and Corporeality.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Gatens, M. and Lloyd, G. (1999) </w:t>
      </w:r>
      <w:r w:rsidRPr="009B6D32">
        <w:rPr>
          <w:rFonts w:ascii="Garamond" w:hAnsi="Garamond" w:cs="Garamond"/>
          <w:i/>
          <w:iCs/>
          <w:sz w:val="24"/>
          <w:szCs w:val="24"/>
          <w:lang w:val="en-US"/>
        </w:rPr>
        <w:t xml:space="preserve">Collective Imaginings: Spinoza Past and Present.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i/>
          <w:sz w:val="24"/>
          <w:szCs w:val="24"/>
        </w:rPr>
        <w:t>Geographers,</w:t>
      </w:r>
      <w:r w:rsidRPr="009B6D32">
        <w:rPr>
          <w:rFonts w:ascii="Garamond" w:hAnsi="Garamond" w:cs="Garamond"/>
          <w:sz w:val="24"/>
          <w:szCs w:val="24"/>
        </w:rPr>
        <w:t xml:space="preserve"> 85, pp. 164-168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Gerhart, G. (1978) </w:t>
      </w:r>
      <w:r w:rsidRPr="009B6D32">
        <w:rPr>
          <w:rFonts w:ascii="Garamond" w:hAnsi="Garamond" w:cs="Garamond"/>
          <w:i/>
          <w:iCs/>
          <w:sz w:val="24"/>
          <w:szCs w:val="24"/>
        </w:rPr>
        <w:t xml:space="preserve">Black Power in South Africa: An Evolution of an Ideology. </w:t>
      </w:r>
      <w:r w:rsidRPr="009B6D32">
        <w:rPr>
          <w:rFonts w:ascii="Garamond" w:hAnsi="Garamond" w:cs="Garamond"/>
          <w:sz w:val="24"/>
          <w:szCs w:val="24"/>
        </w:rPr>
        <w:t>London: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sz w:val="24"/>
          <w:szCs w:val="24"/>
        </w:rPr>
        <w:t xml:space="preserve">Gibbon, P. and Ponte, S. (2005). </w:t>
      </w:r>
      <w:r w:rsidRPr="009B6D32">
        <w:rPr>
          <w:rFonts w:ascii="Garamond" w:hAnsi="Garamond"/>
          <w:i/>
          <w:iCs/>
          <w:sz w:val="24"/>
          <w:szCs w:val="24"/>
        </w:rPr>
        <w:t xml:space="preserve">Africa, value chains and the global economy. </w:t>
      </w:r>
      <w:r w:rsidRPr="009B6D32">
        <w:rPr>
          <w:rFonts w:ascii="Garamond" w:hAnsi="Garamond"/>
          <w:sz w:val="24"/>
          <w:szCs w:val="24"/>
        </w:rPr>
        <w:t>Philadelphia: Temple University Press</w:t>
      </w:r>
    </w:p>
    <w:p w:rsidR="0001718F" w:rsidRPr="009B6D32" w:rsidRDefault="0001718F" w:rsidP="007437F5">
      <w:pPr>
        <w:autoSpaceDE w:val="0"/>
        <w:autoSpaceDN w:val="0"/>
        <w:adjustRightInd w:val="0"/>
        <w:spacing w:after="0" w:line="240" w:lineRule="auto"/>
        <w:ind w:hanging="720"/>
        <w:rPr>
          <w:rFonts w:ascii="Garamond" w:hAnsi="Garamond" w:cs="Garamond"/>
          <w:i/>
          <w:kern w:val="28"/>
          <w:sz w:val="24"/>
          <w:szCs w:val="24"/>
          <w:lang w:val="en-US" w:eastAsia="en-GB"/>
        </w:rPr>
      </w:pPr>
      <w:r w:rsidRPr="009B6D32">
        <w:rPr>
          <w:rFonts w:ascii="Garamond" w:hAnsi="Garamond" w:cs="Garamond"/>
          <w:kern w:val="28"/>
          <w:sz w:val="24"/>
          <w:szCs w:val="24"/>
          <w:lang w:val="en-US" w:eastAsia="en-GB"/>
        </w:rPr>
        <w:t xml:space="preserve">Gibson-Graham, J.-K.(1996) </w:t>
      </w:r>
      <w:r w:rsidRPr="009B6D32">
        <w:rPr>
          <w:rFonts w:ascii="Garamond" w:hAnsi="Garamond" w:cs="Garamond"/>
          <w:i/>
          <w:kern w:val="28"/>
          <w:sz w:val="24"/>
          <w:szCs w:val="24"/>
          <w:lang w:val="en-US" w:eastAsia="en-GB"/>
        </w:rPr>
        <w:t xml:space="preserve">The end of capitalism (as we knew it): a feminist critique of political economy. </w:t>
      </w:r>
      <w:r w:rsidRPr="009B6D32">
        <w:rPr>
          <w:rFonts w:ascii="Garamond" w:hAnsi="Garamond" w:cs="Garamond"/>
          <w:kern w:val="28"/>
          <w:sz w:val="24"/>
          <w:szCs w:val="24"/>
          <w:lang w:val="en-US" w:eastAsia="en-GB"/>
        </w:rPr>
        <w:t>Cambridge, MA: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Giddens, A. (1991) </w:t>
      </w:r>
      <w:r w:rsidRPr="009B6D32">
        <w:rPr>
          <w:rFonts w:ascii="Garamond" w:hAnsi="Garamond" w:cs="Garamond"/>
          <w:i/>
          <w:iCs/>
          <w:sz w:val="24"/>
          <w:szCs w:val="24"/>
          <w:lang w:val="en-US"/>
        </w:rPr>
        <w:t xml:space="preserve">Modernity and Self Identity: Self and Society in the Late Modern Age. </w:t>
      </w:r>
      <w:r w:rsidRPr="009B6D32">
        <w:rPr>
          <w:rFonts w:ascii="Garamond" w:hAnsi="Garamond" w:cs="Garamond"/>
          <w:sz w:val="24"/>
          <w:szCs w:val="24"/>
          <w:lang w:val="en-US"/>
        </w:rPr>
        <w:t>Cambridge: Polity Press</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rPr>
        <w:t xml:space="preserve">Giliomee, H. (1995) ‘The Growth of Afrikaner identity’, in Dubow, W. and Beinart, S. (eds.) </w:t>
      </w:r>
      <w:r w:rsidRPr="009B6D32">
        <w:rPr>
          <w:rFonts w:ascii="Garamond" w:hAnsi="Garamond" w:cs="Garamond"/>
          <w:i/>
          <w:sz w:val="24"/>
          <w:szCs w:val="24"/>
        </w:rPr>
        <w:t>Segregation and Apartheid in Twentieth Century South Africa</w:t>
      </w:r>
      <w:r w:rsidRPr="009B6D32">
        <w:rPr>
          <w:rFonts w:ascii="Garamond" w:hAnsi="Garamond" w:cs="Garamond"/>
          <w:sz w:val="24"/>
          <w:szCs w:val="24"/>
        </w:rPr>
        <w:t>. London: Routledge, pp. 93-210</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Gilmore, R. (2002) ‘Fatal Couplings of Power and Difference: Notes on Racism and Geography’</w:t>
      </w:r>
      <w:r w:rsidRPr="009B6D32">
        <w:rPr>
          <w:rFonts w:ascii="Garamond" w:hAnsi="Garamond" w:cs="Garamond"/>
          <w:i/>
          <w:iCs/>
          <w:sz w:val="24"/>
          <w:szCs w:val="24"/>
        </w:rPr>
        <w:t xml:space="preserve">, Professional Geographer, </w:t>
      </w:r>
      <w:r w:rsidRPr="009B6D32">
        <w:rPr>
          <w:rFonts w:ascii="Garamond" w:hAnsi="Garamond" w:cs="Garamond"/>
          <w:sz w:val="24"/>
          <w:szCs w:val="24"/>
        </w:rPr>
        <w:t>54(1), pp. 15-24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Gilmore, R. (2007) </w:t>
      </w:r>
      <w:r w:rsidRPr="009B6D32">
        <w:rPr>
          <w:rFonts w:ascii="Garamond" w:hAnsi="Garamond" w:cs="Garamond"/>
          <w:i/>
          <w:iCs/>
          <w:sz w:val="24"/>
          <w:szCs w:val="24"/>
        </w:rPr>
        <w:t xml:space="preserve">Golden Gulag: Prisons, Surplus, Crisis, and Opposition in Globalizing California. </w:t>
      </w:r>
      <w:r w:rsidRPr="009B6D32">
        <w:rPr>
          <w:rFonts w:ascii="Garamond" w:hAnsi="Garamond" w:cs="Garamond"/>
          <w:sz w:val="24"/>
          <w:szCs w:val="24"/>
        </w:rPr>
        <w:t>London: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Gilmore, R. (2008) ‘Forgotten Places and the Seeds of Grassroots Planning’, in Hale, C. (ed.) </w:t>
      </w:r>
      <w:r w:rsidRPr="009B6D32">
        <w:rPr>
          <w:rFonts w:ascii="Garamond" w:hAnsi="Garamond" w:cs="Garamond"/>
          <w:i/>
          <w:sz w:val="24"/>
          <w:szCs w:val="24"/>
        </w:rPr>
        <w:t>Engaging Contradictions: Theory, Poetics, and Methods of Activist Scholarship</w:t>
      </w:r>
      <w:r w:rsidRPr="009B6D32">
        <w:rPr>
          <w:rFonts w:ascii="Garamond" w:hAnsi="Garamond" w:cs="Garamond"/>
          <w:sz w:val="24"/>
          <w:szCs w:val="24"/>
        </w:rPr>
        <w:t>. Berkley, CA: University of California Press</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Giroux, H. (2006) </w:t>
      </w:r>
      <w:r w:rsidRPr="009B6D32">
        <w:rPr>
          <w:rFonts w:ascii="Garamond" w:hAnsi="Garamond" w:cs="Garamond"/>
          <w:i/>
          <w:iCs/>
          <w:sz w:val="24"/>
          <w:szCs w:val="24"/>
        </w:rPr>
        <w:t xml:space="preserve">America on the Edge: Henry Giroux on Politics, Culture, and Education. </w:t>
      </w:r>
      <w:r w:rsidRPr="009B6D32">
        <w:rPr>
          <w:rFonts w:ascii="Garamond" w:hAnsi="Garamond" w:cs="Garamond"/>
          <w:sz w:val="24"/>
          <w:szCs w:val="24"/>
        </w:rPr>
        <w:t>New York: Palgrave Macmillan</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lang w:val="en-US"/>
        </w:rPr>
      </w:pPr>
      <w:r w:rsidRPr="009B6D32">
        <w:rPr>
          <w:rFonts w:ascii="Garamond" w:hAnsi="Garamond" w:cs="Arial"/>
          <w:sz w:val="24"/>
          <w:szCs w:val="24"/>
          <w:shd w:val="clear" w:color="auto" w:fill="FFFFFF"/>
        </w:rPr>
        <w:t>Giroux, H.( 2004)</w:t>
      </w:r>
      <w:r w:rsidRPr="009B6D32">
        <w:rPr>
          <w:rStyle w:val="apple-converted-space"/>
          <w:rFonts w:ascii="Garamond" w:hAnsi="Garamond" w:cs="Arial"/>
          <w:sz w:val="24"/>
          <w:szCs w:val="24"/>
          <w:shd w:val="clear" w:color="auto" w:fill="FFFFFF"/>
        </w:rPr>
        <w:t> </w:t>
      </w:r>
      <w:r w:rsidRPr="009B6D32">
        <w:rPr>
          <w:rFonts w:ascii="Garamond" w:hAnsi="Garamond" w:cs="Arial"/>
          <w:bCs/>
          <w:sz w:val="24"/>
          <w:szCs w:val="24"/>
          <w:shd w:val="clear" w:color="auto" w:fill="FFFFFF"/>
        </w:rPr>
        <w:t>Public</w:t>
      </w:r>
      <w:r w:rsidRPr="009B6D32">
        <w:rPr>
          <w:rStyle w:val="apple-converted-space"/>
          <w:rFonts w:ascii="Garamond" w:hAnsi="Garamond" w:cs="Arial"/>
          <w:sz w:val="24"/>
          <w:szCs w:val="24"/>
          <w:shd w:val="clear" w:color="auto" w:fill="FFFFFF"/>
        </w:rPr>
        <w:t> </w:t>
      </w:r>
      <w:r w:rsidRPr="009B6D32">
        <w:rPr>
          <w:rFonts w:ascii="Garamond" w:hAnsi="Garamond" w:cs="Arial"/>
          <w:bCs/>
          <w:sz w:val="24"/>
          <w:szCs w:val="24"/>
          <w:shd w:val="clear" w:color="auto" w:fill="FFFFFF"/>
        </w:rPr>
        <w:t>Pedagogy</w:t>
      </w:r>
      <w:r w:rsidRPr="009B6D32">
        <w:rPr>
          <w:rStyle w:val="apple-converted-space"/>
          <w:rFonts w:ascii="Garamond" w:hAnsi="Garamond" w:cs="Arial"/>
          <w:sz w:val="24"/>
          <w:szCs w:val="24"/>
          <w:shd w:val="clear" w:color="auto" w:fill="FFFFFF"/>
        </w:rPr>
        <w:t> </w:t>
      </w:r>
      <w:r w:rsidRPr="009B6D32">
        <w:rPr>
          <w:rFonts w:ascii="Garamond" w:hAnsi="Garamond" w:cs="Arial"/>
          <w:sz w:val="24"/>
          <w:szCs w:val="24"/>
          <w:shd w:val="clear" w:color="auto" w:fill="FFFFFF"/>
        </w:rPr>
        <w:t>and the Politics of Neo-liberalism: Making</w:t>
      </w:r>
      <w:r w:rsidRPr="009B6D32">
        <w:rPr>
          <w:rFonts w:ascii="Garamond" w:hAnsi="Garamond" w:cs="Arial"/>
          <w:sz w:val="24"/>
          <w:szCs w:val="24"/>
        </w:rPr>
        <w:t xml:space="preserve"> </w:t>
      </w:r>
      <w:r w:rsidRPr="009B6D32">
        <w:rPr>
          <w:rFonts w:ascii="Garamond" w:hAnsi="Garamond" w:cs="Arial"/>
          <w:sz w:val="24"/>
          <w:szCs w:val="24"/>
          <w:shd w:val="clear" w:color="auto" w:fill="FFFFFF"/>
        </w:rPr>
        <w:t xml:space="preserve">the Political More </w:t>
      </w:r>
      <w:r w:rsidRPr="009B6D32">
        <w:rPr>
          <w:rStyle w:val="apple-converted-space"/>
          <w:rFonts w:ascii="Garamond" w:hAnsi="Garamond" w:cs="Arial"/>
          <w:sz w:val="24"/>
          <w:szCs w:val="24"/>
          <w:shd w:val="clear" w:color="auto" w:fill="FFFFFF"/>
        </w:rPr>
        <w:t> </w:t>
      </w:r>
      <w:r w:rsidRPr="009B6D32">
        <w:rPr>
          <w:rFonts w:ascii="Garamond" w:hAnsi="Garamond" w:cs="Arial"/>
          <w:bCs/>
          <w:sz w:val="24"/>
          <w:szCs w:val="24"/>
          <w:shd w:val="clear" w:color="auto" w:fill="FFFFFF"/>
        </w:rPr>
        <w:t>Pedagogical</w:t>
      </w:r>
      <w:r w:rsidRPr="009B6D32">
        <w:rPr>
          <w:rFonts w:ascii="Garamond" w:hAnsi="Garamond" w:cs="Arial"/>
          <w:sz w:val="24"/>
          <w:szCs w:val="24"/>
          <w:shd w:val="clear" w:color="auto" w:fill="FFFFFF"/>
        </w:rPr>
        <w:t xml:space="preserve">. </w:t>
      </w:r>
      <w:r w:rsidRPr="009B6D32">
        <w:rPr>
          <w:rFonts w:ascii="Garamond" w:hAnsi="Garamond" w:cs="Arial"/>
          <w:i/>
          <w:sz w:val="24"/>
          <w:szCs w:val="24"/>
          <w:shd w:val="clear" w:color="auto" w:fill="FFFFFF"/>
        </w:rPr>
        <w:t>Policy Futures in Education</w:t>
      </w:r>
      <w:r w:rsidRPr="009B6D32">
        <w:rPr>
          <w:rFonts w:ascii="Garamond" w:hAnsi="Garamond" w:cs="Arial"/>
          <w:sz w:val="24"/>
          <w:szCs w:val="24"/>
          <w:shd w:val="clear" w:color="auto" w:fill="FFFFFF"/>
        </w:rPr>
        <w:t>, 2, pp. 494–503</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Gitlin, T. (1980) </w:t>
      </w:r>
      <w:r w:rsidRPr="009B6D32">
        <w:rPr>
          <w:rFonts w:ascii="Garamond" w:hAnsi="Garamond" w:cs="Garamond"/>
          <w:i/>
          <w:iCs/>
          <w:sz w:val="24"/>
          <w:szCs w:val="24"/>
          <w:lang w:val="en-US"/>
        </w:rPr>
        <w:t xml:space="preserve">The Whole World is Watching: Mass Media in the Making and Unmaking of the New Left. </w:t>
      </w:r>
      <w:r w:rsidRPr="009B6D32">
        <w:rPr>
          <w:rFonts w:ascii="Garamond" w:hAnsi="Garamond" w:cs="Garamond"/>
          <w:sz w:val="24"/>
          <w:szCs w:val="24"/>
          <w:lang w:val="en-US"/>
        </w:rPr>
        <w:t>California: UCLA Press</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Glassman, J. (2010) ‘</w:t>
      </w:r>
      <w:r w:rsidRPr="009B6D32">
        <w:rPr>
          <w:rFonts w:ascii="Garamond" w:hAnsi="Garamond" w:cs="Garamond"/>
          <w:sz w:val="24"/>
          <w:szCs w:val="24"/>
        </w:rPr>
        <w:t xml:space="preserve">Critical geography II: articulating race and radical politics’, </w:t>
      </w:r>
      <w:r w:rsidRPr="009B6D32">
        <w:rPr>
          <w:rFonts w:ascii="Garamond" w:hAnsi="Garamond" w:cs="Garamond"/>
          <w:i/>
          <w:iCs/>
          <w:sz w:val="24"/>
          <w:szCs w:val="24"/>
        </w:rPr>
        <w:t>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34(4), pp. 506-512</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Glennie, P. (1995) ‘Consumption within historical studies’ in Miller, D. (ed.) </w:t>
      </w:r>
      <w:r w:rsidRPr="009B6D32">
        <w:rPr>
          <w:rFonts w:ascii="Garamond" w:hAnsi="Garamond" w:cs="Garamond"/>
          <w:i/>
          <w:iCs/>
          <w:sz w:val="24"/>
          <w:szCs w:val="24"/>
          <w:lang w:val="en-US"/>
        </w:rPr>
        <w:t xml:space="preserve">Acknowledging Consumption. </w:t>
      </w:r>
      <w:r w:rsidRPr="009B6D32">
        <w:rPr>
          <w:rFonts w:ascii="Garamond" w:hAnsi="Garamond" w:cs="Garamond"/>
          <w:sz w:val="24"/>
          <w:szCs w:val="24"/>
          <w:lang w:val="en-US"/>
        </w:rPr>
        <w:t>London: Routledge, pp. 164-204</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Glickman, L. (1990) ‘“Buy for the Sake of the Slave”: Abolitionism and the Origins of American Consumer Activism’, </w:t>
      </w:r>
      <w:r w:rsidRPr="009B6D32">
        <w:rPr>
          <w:rFonts w:ascii="Garamond" w:hAnsi="Garamond" w:cs="Garamond"/>
          <w:i/>
          <w:iCs/>
          <w:sz w:val="24"/>
          <w:szCs w:val="24"/>
          <w:lang w:val="en-US"/>
        </w:rPr>
        <w:t>American Quarterly</w:t>
      </w:r>
      <w:r w:rsidRPr="009B6D32">
        <w:rPr>
          <w:rFonts w:ascii="Garamond" w:hAnsi="Garamond" w:cs="Garamond"/>
          <w:sz w:val="24"/>
          <w:szCs w:val="24"/>
          <w:lang w:val="en-US"/>
        </w:rPr>
        <w:t>, 56(4), pp. 889-912</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Glickman, L. (2009) </w:t>
      </w:r>
      <w:r w:rsidRPr="009B6D32">
        <w:rPr>
          <w:rFonts w:ascii="Garamond" w:hAnsi="Garamond" w:cs="Garamond"/>
          <w:i/>
          <w:iCs/>
          <w:sz w:val="24"/>
          <w:szCs w:val="24"/>
          <w:lang w:val="en-US"/>
        </w:rPr>
        <w:t>Buying Power: A History of Consumer Activism in America</w:t>
      </w:r>
      <w:r w:rsidRPr="009B6D32">
        <w:rPr>
          <w:rFonts w:ascii="Garamond" w:hAnsi="Garamond" w:cs="Garamond"/>
          <w:sz w:val="24"/>
          <w:szCs w:val="24"/>
          <w:lang w:val="en-US"/>
        </w:rPr>
        <w:t>. Chicago: University of Chicago Press</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rPr>
        <w:t xml:space="preserve">Goffman, E. (1959) </w:t>
      </w:r>
      <w:r w:rsidRPr="009B6D32">
        <w:rPr>
          <w:rFonts w:ascii="Garamond" w:hAnsi="Garamond" w:cs="Garamond"/>
          <w:i/>
          <w:iCs/>
          <w:sz w:val="24"/>
          <w:szCs w:val="24"/>
        </w:rPr>
        <w:t>Presentation of the Self in Everyday Life</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Edinburgh: University of Edinburgh</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rPr>
        <w:t xml:space="preserve">Goldberg, D. (2009) </w:t>
      </w:r>
      <w:r w:rsidRPr="009B6D32">
        <w:rPr>
          <w:rFonts w:ascii="Garamond" w:hAnsi="Garamond" w:cs="Garamond"/>
          <w:i/>
          <w:iCs/>
          <w:sz w:val="24"/>
          <w:szCs w:val="24"/>
        </w:rPr>
        <w:t xml:space="preserve">The Threat of Race: Reflections on Racial Neoliberalism. </w:t>
      </w:r>
      <w:r w:rsidRPr="009B6D32">
        <w:rPr>
          <w:rFonts w:ascii="Garamond" w:hAnsi="Garamond" w:cs="Garamond"/>
          <w:sz w:val="24"/>
          <w:szCs w:val="24"/>
        </w:rPr>
        <w:t>Oxford: Wiley-Blackwell</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Goldman, R. and Papson, S. (2006) ‘Capital’s brandscapes’, </w:t>
      </w:r>
      <w:r w:rsidRPr="009B6D32">
        <w:rPr>
          <w:rFonts w:ascii="Garamond" w:hAnsi="Garamond" w:cs="Garamond"/>
          <w:i/>
          <w:iCs/>
          <w:sz w:val="24"/>
          <w:szCs w:val="24"/>
        </w:rPr>
        <w:t>Journal of Consumer Culture</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6(3), pp. 327–53</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olor w:val="000000"/>
          <w:sz w:val="24"/>
          <w:szCs w:val="24"/>
          <w:shd w:val="clear" w:color="auto" w:fill="FFFFFF"/>
        </w:rPr>
        <w:t>Goodman, J. (2009) 'Refugee Solidarity: Between National Shame and Global Outrage', in Hopkins D., Kleres J., Flam, H. and Kuzmics, H. (eds.),</w:t>
      </w:r>
      <w:r w:rsidRPr="009B6D32">
        <w:rPr>
          <w:rStyle w:val="apple-converted-space"/>
          <w:rFonts w:ascii="Garamond" w:hAnsi="Garamond"/>
          <w:color w:val="000000"/>
          <w:sz w:val="24"/>
          <w:szCs w:val="24"/>
          <w:shd w:val="clear" w:color="auto" w:fill="FFFFFF"/>
        </w:rPr>
        <w:t> </w:t>
      </w:r>
      <w:r w:rsidRPr="009B6D32">
        <w:rPr>
          <w:rStyle w:val="Emphasis"/>
          <w:rFonts w:ascii="Garamond" w:hAnsi="Garamond"/>
          <w:color w:val="000000"/>
          <w:sz w:val="24"/>
          <w:szCs w:val="24"/>
          <w:shd w:val="clear" w:color="auto" w:fill="FFFFFF"/>
        </w:rPr>
        <w:t>Theorizing Emotions: Sociological Explorations and Applications</w:t>
      </w:r>
      <w:r w:rsidRPr="009B6D32">
        <w:rPr>
          <w:rFonts w:ascii="Garamond" w:hAnsi="Garamond"/>
          <w:color w:val="000000"/>
          <w:sz w:val="24"/>
          <w:szCs w:val="24"/>
          <w:shd w:val="clear" w:color="auto" w:fill="FFFFFF"/>
        </w:rPr>
        <w:t>. Chicago: Chicago University Press, pp. 269-29</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color w:val="000000"/>
          <w:sz w:val="24"/>
          <w:szCs w:val="24"/>
          <w:shd w:val="clear" w:color="auto" w:fill="FFFFFF"/>
        </w:rPr>
        <w:t xml:space="preserve">Goodman, M. (2004) ‘Reading fair trade: political ecological imaginary and the moral economy of fair trade foods’, </w:t>
      </w:r>
      <w:r w:rsidRPr="009B6D32">
        <w:rPr>
          <w:rFonts w:ascii="Garamond" w:hAnsi="Garamond" w:cs="Garamond"/>
          <w:i/>
          <w:iCs/>
          <w:color w:val="000000"/>
          <w:sz w:val="24"/>
          <w:szCs w:val="24"/>
          <w:shd w:val="clear" w:color="auto" w:fill="FFFFFF"/>
        </w:rPr>
        <w:t>Political Geography</w:t>
      </w:r>
      <w:r w:rsidRPr="009B6D32">
        <w:rPr>
          <w:rFonts w:ascii="Garamond" w:hAnsi="Garamond" w:cs="Garamond"/>
          <w:color w:val="000000"/>
          <w:sz w:val="24"/>
          <w:szCs w:val="24"/>
          <w:shd w:val="clear" w:color="auto" w:fill="FFFFFF"/>
        </w:rPr>
        <w:t>. 23(7), pp. 891-915</w:t>
      </w: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Garamond"/>
          <w:color w:val="000000"/>
          <w:sz w:val="24"/>
          <w:szCs w:val="24"/>
          <w:shd w:val="clear" w:color="auto" w:fill="FFFFFF"/>
        </w:rPr>
        <w:t xml:space="preserve">Goodman, M. (2010) ‘The mirror of consumption: Celebritization, developmental consumption and the shifting cultural politics of fair trade’, </w:t>
      </w:r>
      <w:r w:rsidRPr="009B6D32">
        <w:rPr>
          <w:rFonts w:ascii="Garamond" w:hAnsi="Garamond" w:cs="Garamond"/>
          <w:i/>
          <w:iCs/>
          <w:color w:val="000000"/>
          <w:sz w:val="24"/>
          <w:szCs w:val="24"/>
          <w:shd w:val="clear" w:color="auto" w:fill="FFFFFF"/>
        </w:rPr>
        <w:t xml:space="preserve">Geoforum, </w:t>
      </w:r>
      <w:r w:rsidRPr="009B6D32">
        <w:rPr>
          <w:rFonts w:ascii="Garamond" w:hAnsi="Garamond" w:cs="Garamond"/>
          <w:color w:val="000000"/>
          <w:sz w:val="24"/>
          <w:szCs w:val="24"/>
          <w:shd w:val="clear" w:color="auto" w:fill="FFFFFF"/>
        </w:rPr>
        <w:t>41(1), pp. 106-116</w:t>
      </w:r>
    </w:p>
    <w:p w:rsidR="0001718F" w:rsidRPr="009B6D32" w:rsidRDefault="0001718F" w:rsidP="007437F5">
      <w:pPr>
        <w:autoSpaceDE w:val="0"/>
        <w:autoSpaceDN w:val="0"/>
        <w:adjustRightInd w:val="0"/>
        <w:spacing w:after="0" w:line="240" w:lineRule="auto"/>
        <w:ind w:hanging="720"/>
        <w:rPr>
          <w:rFonts w:ascii="Garamond" w:hAnsi="Garamond" w:cs="Arial"/>
          <w:color w:val="000000"/>
          <w:sz w:val="24"/>
          <w:szCs w:val="24"/>
          <w:shd w:val="clear" w:color="auto" w:fill="FFFFFF"/>
        </w:rPr>
      </w:pPr>
      <w:r w:rsidRPr="009B6D32">
        <w:rPr>
          <w:rFonts w:ascii="Garamond" w:hAnsi="Garamond" w:cs="Arial"/>
          <w:color w:val="000000"/>
          <w:sz w:val="24"/>
          <w:szCs w:val="24"/>
          <w:shd w:val="clear" w:color="auto" w:fill="FFFFFF"/>
        </w:rPr>
        <w:t>Goodman, M. (2013), ‘Ethical disturbances in the force(s): reflecting on</w:t>
      </w:r>
      <w:r w:rsidRPr="009B6D32">
        <w:rPr>
          <w:rStyle w:val="apple-converted-space"/>
          <w:rFonts w:ascii="Garamond" w:hAnsi="Garamond" w:cs="Arial"/>
          <w:color w:val="000000"/>
          <w:sz w:val="24"/>
          <w:szCs w:val="24"/>
          <w:shd w:val="clear" w:color="auto" w:fill="FFFFFF"/>
        </w:rPr>
        <w:t> </w:t>
      </w:r>
      <w:r w:rsidRPr="009B6D32">
        <w:rPr>
          <w:rStyle w:val="Emphasis"/>
          <w:rFonts w:ascii="Garamond" w:hAnsi="Garamond" w:cs="Arial"/>
          <w:color w:val="000000"/>
          <w:sz w:val="24"/>
          <w:szCs w:val="24"/>
          <w:bdr w:val="none" w:sz="0" w:space="0" w:color="auto" w:frame="1"/>
          <w:shd w:val="clear" w:color="auto" w:fill="FFFFFF"/>
        </w:rPr>
        <w:t xml:space="preserve">Globalizing responsibility </w:t>
      </w:r>
      <w:r w:rsidRPr="009B6D32">
        <w:rPr>
          <w:rFonts w:ascii="Garamond" w:hAnsi="Garamond" w:cs="Arial"/>
          <w:color w:val="000000"/>
          <w:sz w:val="24"/>
          <w:szCs w:val="24"/>
          <w:shd w:val="clear" w:color="auto" w:fill="FFFFFF"/>
        </w:rPr>
        <w:t xml:space="preserve">and its doings unto others’, </w:t>
      </w:r>
      <w:r w:rsidRPr="009B6D32">
        <w:rPr>
          <w:rFonts w:ascii="Garamond" w:hAnsi="Garamond" w:cs="Arial"/>
          <w:i/>
          <w:color w:val="000000"/>
          <w:sz w:val="24"/>
          <w:szCs w:val="24"/>
          <w:shd w:val="clear" w:color="auto" w:fill="FFFFFF"/>
        </w:rPr>
        <w:t xml:space="preserve">Area, </w:t>
      </w:r>
      <w:r w:rsidRPr="009B6D32">
        <w:rPr>
          <w:rFonts w:ascii="Garamond" w:hAnsi="Garamond" w:cs="Arial"/>
          <w:color w:val="000000"/>
          <w:sz w:val="24"/>
          <w:szCs w:val="24"/>
          <w:shd w:val="clear" w:color="auto" w:fill="FFFFFF"/>
        </w:rPr>
        <w:t>45(2), pp. 256–259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Goodman, M. and Sage, M. (2014, forthcoming) </w:t>
      </w:r>
      <w:r w:rsidRPr="009B6D32">
        <w:rPr>
          <w:rFonts w:ascii="Garamond" w:hAnsi="Garamond" w:cs="Garamond"/>
          <w:i/>
          <w:iCs/>
          <w:sz w:val="24"/>
          <w:szCs w:val="24"/>
        </w:rPr>
        <w:t xml:space="preserve">Food Transgressions: Making Sense of Contemporary Food Politics. </w:t>
      </w:r>
      <w:r w:rsidRPr="009B6D32">
        <w:rPr>
          <w:rFonts w:ascii="Garamond" w:hAnsi="Garamond" w:cs="Garamond"/>
          <w:sz w:val="24"/>
          <w:szCs w:val="24"/>
        </w:rPr>
        <w:t>Guildford: Ashgate</w:t>
      </w:r>
    </w:p>
    <w:p w:rsidR="0001718F" w:rsidRPr="009B6D32" w:rsidRDefault="0001718F" w:rsidP="007437F5">
      <w:pPr>
        <w:autoSpaceDE w:val="0"/>
        <w:autoSpaceDN w:val="0"/>
        <w:adjustRightInd w:val="0"/>
        <w:spacing w:after="0" w:line="240" w:lineRule="auto"/>
        <w:ind w:hanging="720"/>
        <w:rPr>
          <w:rFonts w:ascii="Garamond" w:hAnsi="Garamond" w:cs="Garamond"/>
          <w:color w:val="000000"/>
          <w:sz w:val="24"/>
          <w:szCs w:val="24"/>
          <w:shd w:val="clear" w:color="auto" w:fill="FFFFFF"/>
        </w:rPr>
      </w:pPr>
      <w:r w:rsidRPr="009B6D32">
        <w:rPr>
          <w:rFonts w:ascii="Garamond" w:hAnsi="Garamond" w:cs="Garamond"/>
          <w:color w:val="000000"/>
          <w:sz w:val="24"/>
          <w:szCs w:val="24"/>
          <w:shd w:val="clear" w:color="auto" w:fill="FFFFFF"/>
        </w:rPr>
        <w:t xml:space="preserve">Goodman, M., Goodman, D. and Redclift, M. (eds.) (2010) </w:t>
      </w:r>
      <w:r w:rsidRPr="009B6D32">
        <w:rPr>
          <w:rFonts w:ascii="Garamond" w:hAnsi="Garamond" w:cs="Garamond"/>
          <w:i/>
          <w:color w:val="000000"/>
          <w:sz w:val="24"/>
          <w:szCs w:val="24"/>
          <w:shd w:val="clear" w:color="auto" w:fill="FFFFFF"/>
        </w:rPr>
        <w:t>Consuming Space: Placing Consumption in Perspective</w:t>
      </w:r>
      <w:r w:rsidRPr="009B6D32">
        <w:rPr>
          <w:rFonts w:ascii="Garamond" w:hAnsi="Garamond" w:cs="Garamond"/>
          <w:color w:val="000000"/>
          <w:sz w:val="24"/>
          <w:szCs w:val="24"/>
          <w:shd w:val="clear" w:color="auto" w:fill="FFFFFF"/>
        </w:rPr>
        <w:t>. Aldershot: Ashgate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 </w:t>
      </w:r>
      <w:r w:rsidRPr="009B6D32">
        <w:rPr>
          <w:rFonts w:ascii="Garamond" w:hAnsi="Garamond" w:cs="Garamond"/>
          <w:sz w:val="24"/>
          <w:szCs w:val="24"/>
        </w:rPr>
        <w:t xml:space="preserve">Goodwin, J., Jasper, J. and Polletta, F. (2004) ‘Emotional Dimensions of Social Movements’, in Snow, A., Soule, S. and Kriesi, H. (eds.), </w:t>
      </w:r>
      <w:r w:rsidRPr="009B6D32">
        <w:rPr>
          <w:rFonts w:ascii="Garamond" w:hAnsi="Garamond" w:cs="Garamond"/>
          <w:i/>
          <w:iCs/>
          <w:sz w:val="24"/>
          <w:szCs w:val="24"/>
        </w:rPr>
        <w:t xml:space="preserve">The Blackwell Companion to Social Movements. </w:t>
      </w:r>
      <w:r w:rsidRPr="009B6D32">
        <w:rPr>
          <w:rFonts w:ascii="Garamond" w:hAnsi="Garamond" w:cs="Garamond"/>
          <w:sz w:val="24"/>
          <w:szCs w:val="24"/>
        </w:rPr>
        <w:t xml:space="preserve">Oxford: Blackwell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eastAsia="AdvOT863180fb" w:hAnsi="Garamond" w:cs="Garamond"/>
          <w:sz w:val="24"/>
          <w:szCs w:val="24"/>
        </w:rPr>
        <w:t>Goodwin, J., Jasper, J., and Polletta, F. (eds.) (2001)</w:t>
      </w:r>
      <w:r w:rsidRPr="009B6D32">
        <w:rPr>
          <w:rFonts w:ascii="Garamond" w:eastAsia="AdvOT863180fb" w:hAnsi="Garamond" w:cs="Garamond"/>
          <w:i/>
          <w:iCs/>
          <w:sz w:val="24"/>
          <w:szCs w:val="24"/>
        </w:rPr>
        <w:t xml:space="preserve"> Passionate Politics Emotions and Social Movements</w:t>
      </w:r>
      <w:r w:rsidRPr="009B6D32">
        <w:rPr>
          <w:rFonts w:ascii="Garamond" w:eastAsia="AdvOT863180fb" w:hAnsi="Garamond" w:cs="Garamond"/>
          <w:sz w:val="24"/>
          <w:szCs w:val="24"/>
        </w:rPr>
        <w:t>. Chicago: University of Chicago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Goss, J. (1993) 'The "Magic of the Mall": An Analysis of Form, Function, and Meaning in the</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Goss, J. (2006) ‘Geographies of Consumption: The Work of Consumption’, </w:t>
      </w:r>
      <w:r w:rsidRPr="009B6D32">
        <w:rPr>
          <w:rFonts w:ascii="Garamond" w:hAnsi="Garamond" w:cs="Garamond"/>
          <w:i/>
          <w:iCs/>
          <w:sz w:val="24"/>
          <w:szCs w:val="24"/>
        </w:rPr>
        <w:t>Progress in Human Geography,</w:t>
      </w:r>
      <w:r w:rsidRPr="009B6D32">
        <w:rPr>
          <w:rFonts w:ascii="Garamond" w:hAnsi="Garamond" w:cs="Garamond"/>
          <w:sz w:val="24"/>
          <w:szCs w:val="24"/>
        </w:rPr>
        <w:t xml:space="preserve"> 30(2), pp. 237-249</w:t>
      </w:r>
    </w:p>
    <w:p w:rsidR="0001718F" w:rsidRPr="009B6D32" w:rsidRDefault="0001718F" w:rsidP="007437F5">
      <w:pPr>
        <w:spacing w:after="0" w:line="240" w:lineRule="auto"/>
        <w:ind w:hanging="720"/>
        <w:jc w:val="both"/>
        <w:rPr>
          <w:rFonts w:ascii="Garamond" w:hAnsi="Garamond" w:cs="Arial"/>
          <w:sz w:val="24"/>
          <w:szCs w:val="24"/>
          <w:shd w:val="clear" w:color="auto" w:fill="FFFFFF"/>
        </w:rPr>
      </w:pPr>
      <w:r w:rsidRPr="009B6D32">
        <w:rPr>
          <w:rStyle w:val="Emphasis"/>
          <w:rFonts w:ascii="Garamond" w:hAnsi="Garamond" w:cs="Arial"/>
          <w:bCs/>
          <w:sz w:val="24"/>
          <w:szCs w:val="24"/>
          <w:shd w:val="clear" w:color="auto" w:fill="FFFFFF"/>
        </w:rPr>
        <w:t>Goswami</w:t>
      </w:r>
      <w:r w:rsidRPr="009B6D32">
        <w:rPr>
          <w:rFonts w:ascii="Garamond" w:hAnsi="Garamond" w:cs="Arial"/>
          <w:sz w:val="24"/>
          <w:szCs w:val="24"/>
          <w:shd w:val="clear" w:color="auto" w:fill="FFFFFF"/>
        </w:rPr>
        <w:t>, M.</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1998</w:t>
      </w:r>
      <w:r w:rsidRPr="009B6D32">
        <w:rPr>
          <w:rFonts w:ascii="Garamond" w:hAnsi="Garamond" w:cs="Arial"/>
          <w:sz w:val="24"/>
          <w:szCs w:val="24"/>
          <w:shd w:val="clear" w:color="auto" w:fill="FFFFFF"/>
        </w:rPr>
        <w:t>) 'From</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Swadeshi</w:t>
      </w:r>
      <w:r w:rsidRPr="009B6D32">
        <w:rPr>
          <w:rStyle w:val="apple-converted-space"/>
          <w:rFonts w:ascii="Garamond" w:hAnsi="Garamond" w:cs="Arial"/>
          <w:sz w:val="24"/>
          <w:szCs w:val="24"/>
          <w:shd w:val="clear" w:color="auto" w:fill="FFFFFF"/>
        </w:rPr>
        <w:t> </w:t>
      </w:r>
      <w:r w:rsidRPr="009B6D32">
        <w:rPr>
          <w:rFonts w:ascii="Garamond" w:hAnsi="Garamond" w:cs="Arial"/>
          <w:sz w:val="24"/>
          <w:szCs w:val="24"/>
          <w:shd w:val="clear" w:color="auto" w:fill="FFFFFF"/>
        </w:rPr>
        <w:t xml:space="preserve">to Swaraj. Nation, Economy, Territory in Colonial South Asia, 1870-1907', </w:t>
      </w:r>
      <w:r w:rsidRPr="009B6D32">
        <w:rPr>
          <w:rFonts w:ascii="Garamond" w:hAnsi="Garamond" w:cs="Arial"/>
          <w:i/>
          <w:sz w:val="24"/>
          <w:szCs w:val="24"/>
          <w:shd w:val="clear" w:color="auto" w:fill="FFFFFF"/>
        </w:rPr>
        <w:t>Comparative Studies in Society and History,</w:t>
      </w:r>
      <w:r w:rsidRPr="009B6D32">
        <w:rPr>
          <w:rFonts w:ascii="Garamond" w:hAnsi="Garamond" w:cs="Arial"/>
          <w:sz w:val="24"/>
          <w:szCs w:val="24"/>
          <w:shd w:val="clear" w:color="auto" w:fill="FFFFFF"/>
        </w:rPr>
        <w:t xml:space="preserve"> 40(4), pp. 609-36</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Arial"/>
          <w:sz w:val="24"/>
          <w:szCs w:val="24"/>
          <w:shd w:val="clear" w:color="auto" w:fill="FFFFFF"/>
        </w:rPr>
        <w:t xml:space="preserve">Graham, S. (2004) 'Introduction: From dreams of transcendence to the ‘remediation’ of urban space', In Graham, S. (ed.), </w:t>
      </w:r>
      <w:r w:rsidRPr="009B6D32">
        <w:rPr>
          <w:rFonts w:ascii="Garamond" w:hAnsi="Garamond" w:cs="Arial"/>
          <w:i/>
          <w:sz w:val="24"/>
          <w:szCs w:val="24"/>
          <w:shd w:val="clear" w:color="auto" w:fill="FFFFFF"/>
        </w:rPr>
        <w:t>The cybercities reader</w:t>
      </w:r>
      <w:r w:rsidRPr="009B6D32">
        <w:rPr>
          <w:rFonts w:ascii="Garamond" w:hAnsi="Garamond" w:cs="Arial"/>
          <w:sz w:val="24"/>
          <w:szCs w:val="24"/>
          <w:shd w:val="clear" w:color="auto" w:fill="FFFFFF"/>
        </w:rPr>
        <w:t>. London: Routledge, pp. 1-29</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Grant, K. (2005) </w:t>
      </w:r>
      <w:r w:rsidRPr="009B6D32">
        <w:rPr>
          <w:rFonts w:ascii="Garamond" w:hAnsi="Garamond" w:cs="Garamond"/>
          <w:i/>
          <w:iCs/>
          <w:sz w:val="24"/>
          <w:szCs w:val="24"/>
          <w:lang w:val="en-US"/>
        </w:rPr>
        <w:t xml:space="preserve">A Civilised Savagery: Britain and the New Slaveries in Africa 1884-1926. </w:t>
      </w:r>
      <w:r w:rsidRPr="009B6D32">
        <w:rPr>
          <w:rFonts w:ascii="Garamond" w:hAnsi="Garamond" w:cs="Garamond"/>
          <w:sz w:val="24"/>
          <w:szCs w:val="24"/>
          <w:lang w:val="en-US"/>
        </w:rPr>
        <w:t>London: Routledge</w:t>
      </w:r>
      <w:r w:rsidRPr="009B6D32">
        <w:rPr>
          <w:rFonts w:ascii="Garamond" w:hAnsi="Garamond" w:cs="Garamond"/>
          <w:sz w:val="24"/>
          <w:szCs w:val="24"/>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rPr>
        <w:t xml:space="preserve">Gregory, D (2004) </w:t>
      </w:r>
      <w:r w:rsidRPr="009B6D32">
        <w:rPr>
          <w:rFonts w:ascii="Garamond" w:hAnsi="Garamond" w:cs="Garamond"/>
          <w:i/>
          <w:iCs/>
          <w:sz w:val="24"/>
          <w:szCs w:val="24"/>
        </w:rPr>
        <w:t>The Colonial Present.</w:t>
      </w:r>
      <w:r w:rsidRPr="009B6D32">
        <w:rPr>
          <w:rFonts w:ascii="Garamond" w:hAnsi="Garamond" w:cs="Garamond"/>
          <w:sz w:val="24"/>
          <w:szCs w:val="24"/>
        </w:rPr>
        <w:t xml:space="preserve"> Oxford: Blackwell</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lang w:val="en-US"/>
        </w:rPr>
      </w:pPr>
      <w:r w:rsidRPr="009B6D32">
        <w:rPr>
          <w:rFonts w:ascii="Garamond" w:hAnsi="Garamond" w:cs="Garamond"/>
          <w:sz w:val="24"/>
          <w:szCs w:val="24"/>
        </w:rPr>
        <w:t xml:space="preserve">Gregory, D. (2008) 'Introduction: Troubling Geographies', in Castree, N. and Gregory, D. (eds.) </w:t>
      </w:r>
      <w:r w:rsidRPr="009B6D32">
        <w:rPr>
          <w:rFonts w:ascii="Garamond" w:hAnsi="Garamond" w:cs="Garamond"/>
          <w:i/>
          <w:sz w:val="24"/>
          <w:szCs w:val="24"/>
        </w:rPr>
        <w:t xml:space="preserve">Harvey: A Critical Reader. </w:t>
      </w:r>
      <w:r w:rsidRPr="009B6D32">
        <w:rPr>
          <w:rFonts w:ascii="Garamond" w:hAnsi="Garamond" w:cs="Garamond"/>
          <w:sz w:val="24"/>
          <w:szCs w:val="24"/>
        </w:rPr>
        <w:t>Malden: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Gregory, D. and Pred, A. (eds.) (2007) </w:t>
      </w:r>
      <w:r w:rsidRPr="009B6D32">
        <w:rPr>
          <w:rFonts w:ascii="Garamond" w:hAnsi="Garamond" w:cs="Garamond"/>
          <w:i/>
          <w:iCs/>
          <w:sz w:val="24"/>
          <w:szCs w:val="24"/>
        </w:rPr>
        <w:t xml:space="preserve">Violent Geographies: Fear, Terror and Political Violence.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eastAsia="AdvOT863180fb" w:hAnsi="Garamond" w:cs="Garamond"/>
          <w:sz w:val="24"/>
          <w:szCs w:val="24"/>
        </w:rPr>
      </w:pPr>
      <w:r w:rsidRPr="009B6D32">
        <w:rPr>
          <w:rFonts w:ascii="Garamond" w:eastAsia="AdvOT863180fb" w:hAnsi="Garamond" w:cs="Garamond"/>
          <w:sz w:val="24"/>
          <w:szCs w:val="24"/>
        </w:rPr>
        <w:t xml:space="preserve">Gregory-Smith, D. (2012) </w:t>
      </w:r>
      <w:r w:rsidRPr="009B6D32">
        <w:rPr>
          <w:rFonts w:ascii="Garamond" w:eastAsia="AdvOT863180fb" w:hAnsi="Garamond" w:cs="Garamond"/>
          <w:i/>
          <w:iCs/>
          <w:sz w:val="24"/>
          <w:szCs w:val="24"/>
        </w:rPr>
        <w:t>The role of self-conscious emotions in ethical consumption.</w:t>
      </w:r>
      <w:r w:rsidRPr="009B6D32">
        <w:rPr>
          <w:rFonts w:ascii="Garamond" w:eastAsia="AdvOT863180fb" w:hAnsi="Garamond" w:cs="Garamond"/>
          <w:sz w:val="24"/>
          <w:szCs w:val="24"/>
        </w:rPr>
        <w:t xml:space="preserve"> Unpublished PhD thesis. University of Nottingham</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eastAsia="AdvOT863180fb" w:hAnsi="Garamond" w:cs="Garamond"/>
          <w:sz w:val="24"/>
          <w:szCs w:val="24"/>
        </w:rPr>
        <w:t xml:space="preserve">Grindley, S. (2010) </w:t>
      </w:r>
      <w:r w:rsidRPr="009B6D32">
        <w:rPr>
          <w:rFonts w:ascii="Garamond" w:eastAsia="AdvOT863180fb" w:hAnsi="Garamond" w:cs="Garamond"/>
          <w:i/>
          <w:sz w:val="24"/>
          <w:szCs w:val="24"/>
        </w:rPr>
        <w:t>Bitter Chocolate.</w:t>
      </w:r>
      <w:r w:rsidRPr="009B6D32">
        <w:rPr>
          <w:rFonts w:ascii="Garamond" w:eastAsia="AdvOT863180fb" w:hAnsi="Garamond" w:cs="Garamond"/>
          <w:sz w:val="24"/>
          <w:szCs w:val="24"/>
        </w:rPr>
        <w:t xml:space="preserve"> London: Bloomsbury</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Grosz, E. (1994) </w:t>
      </w:r>
      <w:r w:rsidRPr="009B6D32">
        <w:rPr>
          <w:rFonts w:ascii="Garamond" w:hAnsi="Garamond" w:cs="Garamond"/>
          <w:i/>
          <w:iCs/>
          <w:sz w:val="24"/>
          <w:szCs w:val="24"/>
          <w:lang w:val="en-US"/>
        </w:rPr>
        <w:t xml:space="preserve">Volatile Bodies: Toward a Corporeal Feminism (Theories of Representation and Difference) </w:t>
      </w:r>
      <w:r w:rsidRPr="009B6D32">
        <w:rPr>
          <w:rFonts w:ascii="Garamond" w:hAnsi="Garamond" w:cs="Garamond"/>
          <w:sz w:val="24"/>
          <w:szCs w:val="24"/>
          <w:lang w:val="en-US"/>
        </w:rPr>
        <w:t>Indiana University Press</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Grundy, K. (1974) ‘Dutch Policy toward South Africa’, </w:t>
      </w:r>
      <w:r w:rsidRPr="009B6D32">
        <w:rPr>
          <w:rFonts w:ascii="Garamond" w:hAnsi="Garamond" w:cs="Garamond"/>
          <w:i/>
          <w:iCs/>
          <w:sz w:val="24"/>
          <w:szCs w:val="24"/>
          <w:lang w:val="en-US"/>
        </w:rPr>
        <w:t xml:space="preserve">Kroniek van Afrika. </w:t>
      </w:r>
      <w:r w:rsidRPr="009B6D32">
        <w:rPr>
          <w:rFonts w:ascii="Garamond" w:hAnsi="Garamond" w:cs="Garamond"/>
          <w:sz w:val="24"/>
          <w:szCs w:val="24"/>
          <w:lang w:val="en-US"/>
        </w:rPr>
        <w:t>Leiden:</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Afrika Studie-Centrum</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Guelke, A. (2005) </w:t>
      </w:r>
      <w:r w:rsidRPr="009B6D32">
        <w:rPr>
          <w:rFonts w:ascii="Garamond" w:hAnsi="Garamond" w:cs="Garamond"/>
          <w:i/>
          <w:iCs/>
          <w:sz w:val="24"/>
          <w:szCs w:val="24"/>
          <w:lang w:val="en-US"/>
        </w:rPr>
        <w:t xml:space="preserve">Rethinking the Rise and Fall of Apartheid. </w:t>
      </w:r>
      <w:r w:rsidRPr="009B6D32">
        <w:rPr>
          <w:rFonts w:ascii="Garamond" w:hAnsi="Garamond" w:cs="Garamond"/>
          <w:sz w:val="24"/>
          <w:szCs w:val="24"/>
          <w:lang w:val="en-US"/>
        </w:rPr>
        <w:t>New York: Palgrave</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Guest, K. (2001) </w:t>
      </w:r>
      <w:r w:rsidRPr="009B6D32">
        <w:rPr>
          <w:rFonts w:ascii="Garamond" w:hAnsi="Garamond"/>
          <w:i/>
          <w:sz w:val="24"/>
          <w:szCs w:val="24"/>
        </w:rPr>
        <w:t xml:space="preserve">Eating their words: Cannibalism and the Boundaires of Cultural Identity. </w:t>
      </w:r>
      <w:r w:rsidRPr="009B6D32">
        <w:rPr>
          <w:rFonts w:ascii="Garamond" w:hAnsi="Garamond"/>
          <w:sz w:val="24"/>
          <w:szCs w:val="24"/>
        </w:rPr>
        <w:t>New York: SUNY Press</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 xml:space="preserve">Gulyas, E. (2008) ‘Interpretations of Ethical Consumption’, </w:t>
      </w:r>
      <w:r w:rsidRPr="009B6D32">
        <w:rPr>
          <w:rFonts w:ascii="Garamond" w:hAnsi="Garamond" w:cs="Garamond"/>
          <w:i/>
          <w:iCs/>
          <w:sz w:val="24"/>
          <w:szCs w:val="24"/>
          <w:lang w:val="en-US"/>
        </w:rPr>
        <w:t xml:space="preserve">Review of Sociology, </w:t>
      </w:r>
      <w:r w:rsidRPr="009B6D32">
        <w:rPr>
          <w:rFonts w:ascii="Garamond" w:hAnsi="Garamond" w:cs="Garamond"/>
          <w:sz w:val="24"/>
          <w:szCs w:val="24"/>
          <w:lang w:val="en-US"/>
        </w:rPr>
        <w:t>14(1), pp. 25-44</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Gurney, C. (2000) ‘A great cause?: the origins of the anti-apartheid movement, June 1959-March 1960', </w:t>
      </w:r>
      <w:r w:rsidRPr="009B6D32">
        <w:rPr>
          <w:rFonts w:ascii="Garamond" w:hAnsi="Garamond" w:cs="Garamond"/>
          <w:i/>
          <w:sz w:val="24"/>
          <w:szCs w:val="24"/>
          <w:lang w:val="en-US"/>
        </w:rPr>
        <w:t xml:space="preserve">Journal of Southern Africa Studies, </w:t>
      </w:r>
      <w:r w:rsidRPr="009B6D32">
        <w:rPr>
          <w:rFonts w:ascii="Garamond" w:hAnsi="Garamond" w:cs="Garamond"/>
          <w:sz w:val="24"/>
          <w:szCs w:val="24"/>
          <w:lang w:val="en-US"/>
        </w:rPr>
        <w:t xml:space="preserve">35(2), pp. 255-470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Guthman, J. (2007) ‘</w:t>
      </w:r>
      <w:r w:rsidRPr="009B6D32">
        <w:rPr>
          <w:rFonts w:ascii="Garamond" w:hAnsi="Garamond" w:cs="Garamond"/>
          <w:sz w:val="24"/>
          <w:szCs w:val="24"/>
        </w:rPr>
        <w:t xml:space="preserve">The polanyian way? Voluntary food labels as neoliberal governance’, </w:t>
      </w:r>
      <w:r w:rsidRPr="009B6D32">
        <w:rPr>
          <w:rFonts w:ascii="Garamond" w:hAnsi="Garamond" w:cs="Garamond"/>
          <w:i/>
          <w:iCs/>
          <w:sz w:val="24"/>
          <w:szCs w:val="24"/>
        </w:rPr>
        <w:t xml:space="preserve">Antipode </w:t>
      </w:r>
      <w:r w:rsidRPr="009B6D32">
        <w:rPr>
          <w:rFonts w:ascii="Garamond" w:hAnsi="Garamond" w:cs="Garamond"/>
          <w:sz w:val="24"/>
          <w:szCs w:val="24"/>
        </w:rPr>
        <w:t>39(3), pp. 456-478</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Guthman, J. (2008) ‘</w:t>
      </w:r>
      <w:r w:rsidRPr="009B6D32">
        <w:rPr>
          <w:rFonts w:ascii="Garamond" w:hAnsi="Garamond" w:cs="Garamond"/>
          <w:sz w:val="24"/>
          <w:szCs w:val="24"/>
        </w:rPr>
        <w:t xml:space="preserve">Bringing good food to others: investigating the subjects of alternative food practice’, </w:t>
      </w:r>
      <w:r w:rsidRPr="009B6D32">
        <w:rPr>
          <w:rFonts w:ascii="Garamond" w:hAnsi="Garamond" w:cs="Garamond"/>
          <w:i/>
          <w:iCs/>
          <w:sz w:val="24"/>
          <w:szCs w:val="24"/>
        </w:rPr>
        <w:t>Cultural Geographies,</w:t>
      </w:r>
      <w:r w:rsidRPr="009B6D32">
        <w:rPr>
          <w:rFonts w:ascii="Garamond" w:hAnsi="Garamond" w:cs="Garamond"/>
          <w:sz w:val="24"/>
          <w:szCs w:val="24"/>
        </w:rPr>
        <w:t xml:space="preserve"> 15(4), pp. 431-447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Hage, G. (2010) The Affective Politics of Racial Mis-interpellation. </w:t>
      </w:r>
      <w:r w:rsidRPr="009B6D32">
        <w:rPr>
          <w:rFonts w:ascii="Garamond" w:hAnsi="Garamond" w:cs="Garamond"/>
          <w:i/>
          <w:iCs/>
          <w:sz w:val="24"/>
          <w:szCs w:val="24"/>
        </w:rPr>
        <w:t xml:space="preserve">Theory, Culture, Society. </w:t>
      </w:r>
      <w:r w:rsidRPr="009B6D32">
        <w:rPr>
          <w:rFonts w:ascii="Garamond" w:hAnsi="Garamond" w:cs="Garamond"/>
          <w:sz w:val="24"/>
          <w:szCs w:val="24"/>
        </w:rPr>
        <w:t>27: 112</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 xml:space="preserve">Halkier, B. and Holme, L. (2008) ‘Food consumption and political agency: on concerns and practices among Danish consumers’, </w:t>
      </w:r>
      <w:r w:rsidRPr="009B6D32">
        <w:rPr>
          <w:rFonts w:ascii="Garamond" w:hAnsi="Garamond" w:cs="Garamond"/>
          <w:i/>
          <w:iCs/>
          <w:sz w:val="24"/>
          <w:szCs w:val="24"/>
          <w:lang w:val="en-US"/>
        </w:rPr>
        <w:t>International Journal of Consumer Studies,</w:t>
      </w:r>
      <w:r w:rsidRPr="009B6D32">
        <w:rPr>
          <w:rFonts w:ascii="Garamond" w:hAnsi="Garamond" w:cs="Garamond"/>
          <w:iCs/>
          <w:sz w:val="24"/>
          <w:szCs w:val="24"/>
          <w:lang w:val="en-US"/>
        </w:rPr>
        <w:t xml:space="preserve"> 32(6),</w:t>
      </w:r>
      <w:r w:rsidRPr="009B6D32">
        <w:rPr>
          <w:rFonts w:ascii="Garamond" w:hAnsi="Garamond" w:cs="Garamond"/>
          <w:sz w:val="24"/>
          <w:szCs w:val="24"/>
          <w:lang w:val="en-US"/>
        </w:rPr>
        <w:t xml:space="preserve"> pp. 667-674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Hall, S. (1980) ‘</w:t>
      </w:r>
      <w:r w:rsidRPr="009B6D32">
        <w:rPr>
          <w:rFonts w:ascii="Garamond" w:hAnsi="Garamond" w:cs="Garamond"/>
          <w:iCs/>
          <w:sz w:val="24"/>
          <w:szCs w:val="24"/>
        </w:rPr>
        <w:t>Race, Articulation, and Societies Structured in Dominance</w:t>
      </w:r>
      <w:r w:rsidRPr="009B6D32">
        <w:rPr>
          <w:rFonts w:ascii="Garamond" w:hAnsi="Garamond" w:cs="Garamond"/>
          <w:i/>
          <w:iCs/>
          <w:sz w:val="24"/>
          <w:szCs w:val="24"/>
        </w:rPr>
        <w:t>’, Sociological Theories: Race and Colonialism</w:t>
      </w:r>
      <w:r w:rsidRPr="009B6D32">
        <w:rPr>
          <w:rFonts w:ascii="Garamond" w:hAnsi="Garamond" w:cs="Garamond"/>
          <w:sz w:val="24"/>
          <w:szCs w:val="24"/>
        </w:rPr>
        <w:t>. Paris: UNESCO</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Hall, S. (1993) ‘Encoding, Decoding’ in During, S. (ed.), </w:t>
      </w:r>
      <w:r w:rsidRPr="009B6D32">
        <w:rPr>
          <w:rFonts w:ascii="Garamond" w:hAnsi="Garamond" w:cs="Garamond"/>
          <w:i/>
          <w:iCs/>
          <w:sz w:val="24"/>
          <w:szCs w:val="24"/>
          <w:lang w:val="en-US"/>
        </w:rPr>
        <w:t xml:space="preserve">The Cultural Studies Reader.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rPr>
        <w:t xml:space="preserve">Hallwood, P. (2006) </w:t>
      </w:r>
      <w:r w:rsidRPr="009B6D32">
        <w:rPr>
          <w:rFonts w:ascii="Garamond" w:hAnsi="Garamond" w:cs="Garamond"/>
          <w:i/>
          <w:iCs/>
          <w:sz w:val="24"/>
          <w:szCs w:val="24"/>
        </w:rPr>
        <w:t xml:space="preserve">Out of this World: Deleuze and the Philosophy of Creation, </w:t>
      </w:r>
      <w:r w:rsidRPr="009B6D32">
        <w:rPr>
          <w:rFonts w:ascii="Garamond" w:hAnsi="Garamond" w:cs="Garamond"/>
          <w:sz w:val="24"/>
          <w:szCs w:val="24"/>
        </w:rPr>
        <w:t>London: Verso</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 xml:space="preserve">Hapke, L. (2004) </w:t>
      </w:r>
      <w:r w:rsidRPr="009B6D32">
        <w:rPr>
          <w:rFonts w:ascii="Garamond" w:hAnsi="Garamond" w:cs="Garamond"/>
          <w:i/>
          <w:iCs/>
          <w:sz w:val="24"/>
          <w:szCs w:val="24"/>
          <w:lang w:val="en-US"/>
        </w:rPr>
        <w:t xml:space="preserve">Sweatshop The History of an American Idea. </w:t>
      </w:r>
      <w:r w:rsidRPr="009B6D32">
        <w:rPr>
          <w:rFonts w:ascii="Garamond" w:hAnsi="Garamond" w:cs="Garamond"/>
          <w:sz w:val="24"/>
          <w:szCs w:val="24"/>
          <w:lang w:val="en-US"/>
        </w:rPr>
        <w:t>New Brunswick: Rutgers University Press</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rPr>
        <w:t xml:space="preserve">Haraway, D. (1991) </w:t>
      </w:r>
      <w:r w:rsidRPr="009B6D32">
        <w:rPr>
          <w:rFonts w:ascii="Garamond" w:hAnsi="Garamond" w:cs="Garamond"/>
          <w:i/>
          <w:iCs/>
          <w:sz w:val="24"/>
          <w:szCs w:val="24"/>
        </w:rPr>
        <w:t xml:space="preserve">Simians, Cyborgs and Women: The Reinvention of Nature. </w:t>
      </w:r>
      <w:r w:rsidRPr="009B6D32">
        <w:rPr>
          <w:rFonts w:ascii="Garamond" w:hAnsi="Garamond" w:cs="Garamond"/>
          <w:sz w:val="24"/>
          <w:szCs w:val="24"/>
        </w:rPr>
        <w:t>New York: Routledge</w:t>
      </w:r>
    </w:p>
    <w:p w:rsidR="0001718F" w:rsidRPr="009B6D32" w:rsidRDefault="0001718F" w:rsidP="007437F5">
      <w:pPr>
        <w:autoSpaceDE w:val="0"/>
        <w:autoSpaceDN w:val="0"/>
        <w:adjustRightInd w:val="0"/>
        <w:spacing w:after="0" w:line="240" w:lineRule="auto"/>
        <w:ind w:hanging="720"/>
        <w:rPr>
          <w:rFonts w:ascii="Garamond" w:eastAsia="AdvT013" w:hAnsi="Garamond" w:cs="Garamond"/>
          <w:sz w:val="24"/>
          <w:szCs w:val="24"/>
        </w:rPr>
      </w:pPr>
      <w:r w:rsidRPr="009B6D32">
        <w:rPr>
          <w:rFonts w:ascii="Garamond" w:eastAsia="AdvT013" w:hAnsi="Garamond" w:cs="Garamond"/>
          <w:sz w:val="24"/>
          <w:szCs w:val="24"/>
        </w:rPr>
        <w:t xml:space="preserve">Hardt, M. and Negri, A. (2009) </w:t>
      </w:r>
      <w:r w:rsidRPr="009B6D32">
        <w:rPr>
          <w:rFonts w:ascii="Garamond" w:eastAsia="AdvT013" w:hAnsi="Garamond" w:cs="Garamond"/>
          <w:i/>
          <w:iCs/>
          <w:sz w:val="24"/>
          <w:szCs w:val="24"/>
        </w:rPr>
        <w:t>Commonwealth</w:t>
      </w:r>
      <w:r w:rsidRPr="009B6D32">
        <w:rPr>
          <w:rFonts w:ascii="Garamond" w:eastAsia="AdvT013" w:hAnsi="Garamond" w:cs="Garamond"/>
          <w:sz w:val="24"/>
          <w:szCs w:val="24"/>
        </w:rPr>
        <w:t>. Cambridge, MA: Harvard University Press</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 xml:space="preserve">Harrison, R. (2005) ‘Pressure Groups, Campaigns and Consumers’, in Harrison, R., Newholm, T and Shaw, D. (eds.)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 pp. 55-67</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Harrison, R., Newholm, T. and Shaw, D. (2007)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Hartman, B.(2006)</w:t>
      </w:r>
      <w:r w:rsidRPr="009B6D32">
        <w:rPr>
          <w:rFonts w:ascii="Garamond" w:hAnsi="Garamond" w:cs="Garamond"/>
          <w:i/>
          <w:sz w:val="24"/>
          <w:szCs w:val="24"/>
        </w:rPr>
        <w:t xml:space="preserve">Chocolate Chaga. </w:t>
      </w:r>
      <w:r w:rsidRPr="009B6D32">
        <w:rPr>
          <w:rFonts w:ascii="Garamond" w:hAnsi="Garamond" w:cs="Garamond"/>
          <w:sz w:val="24"/>
          <w:szCs w:val="24"/>
        </w:rPr>
        <w:t xml:space="preserve">Stop The Traffik. Available online at, </w:t>
      </w:r>
      <w:r w:rsidRPr="009B6D32">
        <w:rPr>
          <w:rFonts w:ascii="Garamond" w:hAnsi="Garamond"/>
          <w:sz w:val="24"/>
          <w:szCs w:val="24"/>
        </w:rPr>
        <w:t>http://www.stopthetraffik.org/campaign/chocolate/what-you-can-do/15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Hartsock, N. (2006) 'Globalization and Primitive Accumulation: The Contributions of David Harvey’s Dialectical Marxism', in Castree, N. and Gregory, D. (eds.) </w:t>
      </w:r>
      <w:r w:rsidRPr="009B6D32">
        <w:rPr>
          <w:rFonts w:ascii="Garamond" w:hAnsi="Garamond" w:cs="Garamond"/>
          <w:i/>
          <w:iCs/>
          <w:sz w:val="24"/>
          <w:szCs w:val="24"/>
        </w:rPr>
        <w:t>David Harvey. A Critical Reader</w:t>
      </w:r>
      <w:r w:rsidRPr="009B6D32">
        <w:rPr>
          <w:rFonts w:ascii="Garamond" w:hAnsi="Garamond" w:cs="Garamond"/>
          <w:sz w:val="24"/>
          <w:szCs w:val="24"/>
        </w:rPr>
        <w:t>. Malden, MA: Blackwell</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Hartwick, E. (2000) ‘Towards a geographical politics of consumption’, </w:t>
      </w:r>
      <w:r w:rsidRPr="009B6D32">
        <w:rPr>
          <w:rFonts w:ascii="Garamond" w:hAnsi="Garamond" w:cs="Garamond"/>
          <w:i/>
          <w:iCs/>
          <w:sz w:val="24"/>
          <w:szCs w:val="24"/>
          <w:lang w:val="en-US"/>
        </w:rPr>
        <w:t>Environment &amp; Planning A</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32(7), pp. 1177-1192</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Harvey, D. (1990) </w:t>
      </w:r>
      <w:r w:rsidRPr="009B6D32">
        <w:rPr>
          <w:rFonts w:ascii="Garamond" w:hAnsi="Garamond" w:cs="Garamond"/>
          <w:i/>
          <w:sz w:val="24"/>
          <w:szCs w:val="24"/>
          <w:lang w:val="en-US"/>
        </w:rPr>
        <w:t>The Condition of Postmodernity</w:t>
      </w:r>
      <w:r w:rsidRPr="009B6D32">
        <w:rPr>
          <w:rFonts w:ascii="Garamond" w:hAnsi="Garamond" w:cs="Garamond"/>
          <w:sz w:val="24"/>
          <w:szCs w:val="24"/>
          <w:lang w:val="en-US"/>
        </w:rPr>
        <w:t>. Cambridge: Blackwell</w:t>
      </w:r>
    </w:p>
    <w:p w:rsidR="0001718F" w:rsidRPr="009B6D32" w:rsidRDefault="0001718F" w:rsidP="007437F5">
      <w:pPr>
        <w:spacing w:after="0" w:line="240" w:lineRule="auto"/>
        <w:ind w:hanging="720"/>
        <w:rPr>
          <w:rFonts w:ascii="Garamond" w:hAnsi="Garamond" w:cs="Garamond"/>
          <w:iCs/>
          <w:sz w:val="24"/>
          <w:szCs w:val="24"/>
          <w:lang w:val="en-US"/>
        </w:rPr>
      </w:pPr>
      <w:r w:rsidRPr="009B6D32">
        <w:rPr>
          <w:rFonts w:ascii="Garamond" w:hAnsi="Garamond" w:cs="Garamond"/>
          <w:sz w:val="24"/>
          <w:szCs w:val="24"/>
          <w:lang w:val="en-US"/>
        </w:rPr>
        <w:t xml:space="preserve">Harvey, D. (2003) </w:t>
      </w:r>
      <w:r w:rsidRPr="009B6D32">
        <w:rPr>
          <w:rFonts w:ascii="Garamond" w:hAnsi="Garamond" w:cs="Garamond"/>
          <w:i/>
          <w:sz w:val="24"/>
          <w:szCs w:val="24"/>
          <w:lang w:val="en-US"/>
        </w:rPr>
        <w:t>The New Imperialism</w:t>
      </w:r>
      <w:r w:rsidRPr="009B6D32">
        <w:rPr>
          <w:rFonts w:ascii="Garamond" w:hAnsi="Garamond" w:cs="Garamond"/>
          <w:sz w:val="24"/>
          <w:szCs w:val="24"/>
          <w:lang w:val="en-US"/>
        </w:rPr>
        <w:t>, London: Oxford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Harvey, D. (2005a) </w:t>
      </w:r>
      <w:r w:rsidRPr="009B6D32">
        <w:rPr>
          <w:rFonts w:ascii="Garamond" w:hAnsi="Garamond" w:cs="Garamond"/>
          <w:i/>
          <w:iCs/>
          <w:sz w:val="24"/>
          <w:szCs w:val="24"/>
        </w:rPr>
        <w:t>A Brief History of Neoliberalism.</w:t>
      </w:r>
      <w:r w:rsidRPr="009B6D32">
        <w:rPr>
          <w:rFonts w:ascii="Garamond" w:hAnsi="Garamond" w:cs="Garamond"/>
          <w:sz w:val="24"/>
          <w:szCs w:val="24"/>
        </w:rPr>
        <w:t xml:space="preserve"> New York: Oxford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Harvey, D. (2005b) ‘The sociological and geographical imaginations</w:t>
      </w:r>
      <w:r w:rsidRPr="009B6D32">
        <w:rPr>
          <w:rFonts w:ascii="Garamond" w:hAnsi="Garamond" w:cs="Garamond"/>
          <w:iCs/>
          <w:sz w:val="24"/>
          <w:szCs w:val="24"/>
        </w:rPr>
        <w:t>’,</w:t>
      </w:r>
      <w:r w:rsidRPr="009B6D32">
        <w:rPr>
          <w:rFonts w:ascii="Garamond" w:hAnsi="Garamond" w:cs="Garamond"/>
          <w:i/>
          <w:iCs/>
          <w:sz w:val="24"/>
          <w:szCs w:val="24"/>
        </w:rPr>
        <w:t xml:space="preserve"> International Journal of Politics, Culture, and Society. </w:t>
      </w:r>
      <w:r w:rsidRPr="009B6D32">
        <w:rPr>
          <w:rFonts w:ascii="Garamond" w:hAnsi="Garamond" w:cs="Garamond"/>
          <w:sz w:val="24"/>
          <w:szCs w:val="24"/>
        </w:rPr>
        <w:t>18(3-4), pp. 211-255</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Harvey, D. (2012) </w:t>
      </w:r>
      <w:r w:rsidRPr="009B6D32">
        <w:rPr>
          <w:rFonts w:ascii="Garamond" w:hAnsi="Garamond" w:cs="Garamond"/>
          <w:i/>
          <w:sz w:val="24"/>
          <w:szCs w:val="24"/>
        </w:rPr>
        <w:t>Rebel Cities: From the Right to the City to the Urban Revolution</w:t>
      </w:r>
      <w:r w:rsidRPr="009B6D32">
        <w:rPr>
          <w:rFonts w:ascii="Garamond" w:hAnsi="Garamond" w:cs="Garamond"/>
          <w:sz w:val="24"/>
          <w:szCs w:val="24"/>
        </w:rPr>
        <w:t>. London: Verso</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Haskell, T. (1985) ‘Capitalism and the Origins of Humanitarian Sensibility, Part 1’, </w:t>
      </w:r>
      <w:r w:rsidRPr="009B6D32">
        <w:rPr>
          <w:rFonts w:ascii="Garamond" w:hAnsi="Garamond" w:cs="Garamond"/>
          <w:i/>
          <w:iCs/>
          <w:sz w:val="24"/>
          <w:szCs w:val="24"/>
          <w:lang w:val="en-US"/>
        </w:rPr>
        <w:t>The American Historical review</w:t>
      </w:r>
      <w:r w:rsidRPr="009B6D32">
        <w:rPr>
          <w:rFonts w:ascii="Garamond" w:hAnsi="Garamond" w:cs="Garamond"/>
          <w:sz w:val="24"/>
          <w:szCs w:val="24"/>
          <w:lang w:val="en-US"/>
        </w:rPr>
        <w:t>, 90(2), pp. 511-46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Hatløy, H., Kebede, T., Adeba, P., and Elvis, C. (2012) </w:t>
      </w:r>
      <w:r w:rsidRPr="009B6D32">
        <w:rPr>
          <w:rFonts w:ascii="Garamond" w:hAnsi="Garamond" w:cs="Garamond"/>
          <w:i/>
          <w:iCs/>
          <w:sz w:val="24"/>
          <w:szCs w:val="24"/>
        </w:rPr>
        <w:t>Towards Côte d’Ivoire Sustainable Cocoa Initiative (CISCI) Baseline Study Report</w:t>
      </w:r>
      <w:r w:rsidRPr="009B6D32">
        <w:rPr>
          <w:rFonts w:ascii="Garamond" w:hAnsi="Garamond" w:cs="Garamond"/>
          <w:sz w:val="24"/>
          <w:szCs w:val="24"/>
        </w:rPr>
        <w:t>.  Fafo Institute for Applied International Studies, Norway</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Hawkins, R. (2010) 'Boycotts, buycotts and consumer activism in a global context: An overview'. </w:t>
      </w:r>
      <w:r w:rsidRPr="009B6D32">
        <w:rPr>
          <w:rFonts w:ascii="Garamond" w:hAnsi="Garamond" w:cs="Garamond"/>
          <w:i/>
          <w:sz w:val="24"/>
          <w:szCs w:val="24"/>
        </w:rPr>
        <w:t>Management &amp;amp; Organizational History</w:t>
      </w:r>
      <w:r w:rsidRPr="009B6D32">
        <w:rPr>
          <w:rFonts w:ascii="Garamond" w:hAnsi="Garamond" w:cs="Garamond"/>
          <w:sz w:val="24"/>
          <w:szCs w:val="24"/>
        </w:rPr>
        <w:t>, 5, pp. 123-143</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Hayek, F.A. (2001 [1944]) </w:t>
      </w:r>
      <w:r w:rsidRPr="009B6D32">
        <w:rPr>
          <w:rFonts w:ascii="Garamond" w:hAnsi="Garamond" w:cs="Garamond"/>
          <w:i/>
          <w:iCs/>
          <w:sz w:val="24"/>
          <w:szCs w:val="24"/>
        </w:rPr>
        <w:t>The Road to Serfdom</w:t>
      </w:r>
      <w:r w:rsidRPr="009B6D32">
        <w:rPr>
          <w:rFonts w:ascii="Garamond" w:hAnsi="Garamond" w:cs="Garamond"/>
          <w:sz w:val="24"/>
          <w:szCs w:val="24"/>
        </w:rPr>
        <w:t>. New York: Routledge</w:t>
      </w:r>
    </w:p>
    <w:p w:rsidR="0001718F" w:rsidRDefault="0001718F" w:rsidP="0001718F">
      <w:pPr>
        <w:spacing w:after="0" w:line="240" w:lineRule="auto"/>
        <w:ind w:hanging="720"/>
        <w:jc w:val="both"/>
        <w:rPr>
          <w:rFonts w:ascii="Garamond" w:hAnsi="Garamond" w:cs="Arial"/>
          <w:color w:val="000000"/>
          <w:sz w:val="24"/>
          <w:szCs w:val="24"/>
          <w:shd w:val="clear" w:color="auto" w:fill="FFFFFF"/>
        </w:rPr>
      </w:pPr>
      <w:r w:rsidRPr="00537AEF">
        <w:rPr>
          <w:rFonts w:ascii="Garamond" w:hAnsi="Garamond" w:cs="Arial"/>
          <w:color w:val="000000"/>
          <w:sz w:val="24"/>
          <w:szCs w:val="24"/>
          <w:shd w:val="clear" w:color="auto" w:fill="FFFFFF"/>
        </w:rPr>
        <w:t xml:space="preserve">Hayes-Conroy, A. and Martin, D. G. (2010), Mobilising bodies: visceral identification in the Slow Food movement. </w:t>
      </w:r>
      <w:r w:rsidRPr="00537AEF">
        <w:rPr>
          <w:rFonts w:ascii="Garamond" w:hAnsi="Garamond" w:cs="Arial"/>
          <w:i/>
          <w:color w:val="000000"/>
          <w:sz w:val="24"/>
          <w:szCs w:val="24"/>
          <w:shd w:val="clear" w:color="auto" w:fill="FFFFFF"/>
        </w:rPr>
        <w:t>Transactions of the Institute of British Geographers</w:t>
      </w:r>
      <w:r w:rsidRPr="00537AEF">
        <w:rPr>
          <w:rFonts w:ascii="Garamond" w:hAnsi="Garamond" w:cs="Arial"/>
          <w:color w:val="000000"/>
          <w:sz w:val="24"/>
          <w:szCs w:val="24"/>
          <w:shd w:val="clear" w:color="auto" w:fill="FFFFFF"/>
        </w:rPr>
        <w:t>, 35: 269–281</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Hearn, A. (2008) ‘Meat, Mask, Burden: Probing the Contours of the Branded “Self”’, </w:t>
      </w:r>
      <w:r w:rsidRPr="009B6D32">
        <w:rPr>
          <w:rFonts w:ascii="Garamond" w:hAnsi="Garamond" w:cs="Garamond"/>
          <w:i/>
          <w:sz w:val="24"/>
          <w:szCs w:val="24"/>
        </w:rPr>
        <w:t>Journal of Consumer Culture</w:t>
      </w:r>
      <w:r w:rsidRPr="009B6D32">
        <w:rPr>
          <w:rFonts w:ascii="Garamond" w:hAnsi="Garamond" w:cs="Garamond"/>
          <w:sz w:val="24"/>
          <w:szCs w:val="24"/>
        </w:rPr>
        <w:t>, 8, p.197-217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Hepple, A. (1974) </w:t>
      </w:r>
      <w:r w:rsidRPr="009B6D32">
        <w:rPr>
          <w:rFonts w:ascii="Garamond" w:hAnsi="Garamond" w:cs="Garamond"/>
          <w:i/>
          <w:iCs/>
          <w:sz w:val="24"/>
          <w:szCs w:val="24"/>
        </w:rPr>
        <w:t>Pers Onder Apartheid</w:t>
      </w:r>
      <w:r w:rsidRPr="009B6D32">
        <w:rPr>
          <w:rFonts w:ascii="Garamond" w:hAnsi="Garamond" w:cs="Garamond"/>
          <w:sz w:val="24"/>
          <w:szCs w:val="24"/>
        </w:rPr>
        <w:t>. Rotterdam: BOA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Herbert, S. (2000) ‘For ethnography’, </w:t>
      </w:r>
      <w:r w:rsidRPr="009B6D32">
        <w:rPr>
          <w:rFonts w:ascii="Garamond" w:hAnsi="Garamond" w:cs="Garamond"/>
          <w:i/>
          <w:iCs/>
          <w:sz w:val="24"/>
          <w:szCs w:val="24"/>
        </w:rPr>
        <w:t xml:space="preserve">Progress in Human Geography, </w:t>
      </w:r>
      <w:r w:rsidRPr="009B6D32">
        <w:rPr>
          <w:rFonts w:ascii="Garamond" w:hAnsi="Garamond" w:cs="Garamond"/>
          <w:sz w:val="24"/>
          <w:szCs w:val="24"/>
        </w:rPr>
        <w:t>24(4), pp. 550-568</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Hilton, M. (2002) ‘The female consumer and the politics of consumption in Twentieth century Britain’ </w:t>
      </w:r>
      <w:r w:rsidRPr="009B6D32">
        <w:rPr>
          <w:rFonts w:ascii="Garamond" w:hAnsi="Garamond" w:cs="Garamond"/>
          <w:i/>
          <w:iCs/>
          <w:sz w:val="24"/>
          <w:szCs w:val="24"/>
          <w:lang w:val="en-US"/>
        </w:rPr>
        <w:t>The Historical Journal</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45(1), pp. 103-128</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Hilton, M. (2003) </w:t>
      </w:r>
      <w:r w:rsidRPr="009B6D32">
        <w:rPr>
          <w:rFonts w:ascii="Garamond" w:hAnsi="Garamond" w:cs="Garamond"/>
          <w:i/>
          <w:iCs/>
          <w:sz w:val="24"/>
          <w:szCs w:val="24"/>
          <w:lang w:val="en-US"/>
        </w:rPr>
        <w:t xml:space="preserve">Consumerism in Twentieth Century Britain: The Search for a Historical movement. </w:t>
      </w:r>
      <w:r w:rsidRPr="009B6D32">
        <w:rPr>
          <w:rFonts w:ascii="Garamond" w:hAnsi="Garamond" w:cs="Garamond"/>
          <w:sz w:val="24"/>
          <w:szCs w:val="24"/>
          <w:lang w:val="en-US"/>
        </w:rPr>
        <w:t>Cambridge: Cambridge University Press</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Hilton, M. (2006) </w:t>
      </w:r>
      <w:r w:rsidRPr="009B6D32">
        <w:rPr>
          <w:rFonts w:ascii="Garamond" w:hAnsi="Garamond" w:cs="Garamond"/>
          <w:sz w:val="24"/>
          <w:szCs w:val="24"/>
        </w:rPr>
        <w:t>‘</w:t>
      </w:r>
      <w:r w:rsidRPr="009B6D32">
        <w:rPr>
          <w:rFonts w:ascii="Garamond" w:hAnsi="Garamond" w:cs="Garamond"/>
          <w:sz w:val="24"/>
          <w:szCs w:val="24"/>
          <w:lang w:val="en-US"/>
        </w:rPr>
        <w:t>The Organised consumer movement</w:t>
      </w:r>
      <w:r w:rsidRPr="009B6D32">
        <w:rPr>
          <w:rFonts w:ascii="Garamond" w:hAnsi="Garamond" w:cs="Garamond"/>
          <w:sz w:val="24"/>
          <w:szCs w:val="24"/>
        </w:rPr>
        <w:t xml:space="preserve">’ </w:t>
      </w:r>
      <w:r w:rsidRPr="009B6D32">
        <w:rPr>
          <w:rFonts w:ascii="Garamond" w:hAnsi="Garamond" w:cs="Garamond"/>
          <w:sz w:val="24"/>
          <w:szCs w:val="24"/>
          <w:lang w:val="en-US"/>
        </w:rPr>
        <w:t xml:space="preserve">in Chatriot, A., Chessel, M-E. and Hilton, M. (eds.) </w:t>
      </w:r>
      <w:r w:rsidRPr="009B6D32">
        <w:rPr>
          <w:rFonts w:ascii="Garamond" w:hAnsi="Garamond" w:cs="Garamond"/>
          <w:i/>
          <w:iCs/>
          <w:sz w:val="24"/>
          <w:szCs w:val="24"/>
          <w:lang w:val="en-US"/>
        </w:rPr>
        <w:t xml:space="preserve">The Expert Consumer: Associations and Professionals in Consumer Society. </w:t>
      </w:r>
      <w:r w:rsidRPr="009B6D32">
        <w:rPr>
          <w:rFonts w:ascii="Garamond" w:hAnsi="Garamond" w:cs="Garamond"/>
          <w:iCs/>
          <w:sz w:val="24"/>
          <w:szCs w:val="24"/>
          <w:lang w:val="en-US"/>
        </w:rPr>
        <w:t xml:space="preserve">Aldershot: </w:t>
      </w:r>
      <w:r w:rsidRPr="009B6D32">
        <w:rPr>
          <w:rFonts w:ascii="Garamond" w:hAnsi="Garamond" w:cs="Garamond"/>
          <w:sz w:val="24"/>
          <w:szCs w:val="24"/>
          <w:lang w:val="en-US"/>
        </w:rPr>
        <w:t>Ashgate, pp.187-205</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Hilton, M. (2007) ‘Social activism in an age of consumption: the organised consumer movement’, </w:t>
      </w:r>
      <w:r w:rsidRPr="009B6D32">
        <w:rPr>
          <w:rFonts w:ascii="Garamond" w:hAnsi="Garamond" w:cs="Garamond"/>
          <w:i/>
          <w:iCs/>
          <w:sz w:val="24"/>
          <w:szCs w:val="24"/>
          <w:lang w:val="en-US"/>
        </w:rPr>
        <w:t>Social History</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32: 2, pp. 121-143</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Hintjens, H., Kumar, R. and Pouri, A. (2010) ‘Pro-Asylum Advocacy in the EU: Challenging the State of Exception’, in Truong, T-D. and Gasper, D. (eds.), </w:t>
      </w:r>
      <w:r w:rsidRPr="009B6D32">
        <w:rPr>
          <w:rFonts w:ascii="Garamond" w:hAnsi="Garamond" w:cs="Garamond"/>
          <w:i/>
          <w:iCs/>
          <w:sz w:val="24"/>
          <w:szCs w:val="24"/>
        </w:rPr>
        <w:t>Transnational Migration and Human Security.</w:t>
      </w:r>
      <w:r w:rsidRPr="009B6D32">
        <w:rPr>
          <w:rFonts w:ascii="Garamond" w:hAnsi="Garamond" w:cs="Garamond"/>
          <w:sz w:val="24"/>
          <w:szCs w:val="24"/>
        </w:rPr>
        <w:t xml:space="preserve"> London: Springer, pp. 209-224</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Hinton, E. and Goodman, M. (2010) ‘Sustainable Consumption: Developments, Considerations and New Directions’, in Redclift, M. R. and Woodgate, G. (eds.) </w:t>
      </w:r>
      <w:r w:rsidRPr="009B6D32">
        <w:rPr>
          <w:rFonts w:ascii="Garamond" w:hAnsi="Garamond" w:cs="Garamond"/>
          <w:i/>
          <w:iCs/>
          <w:sz w:val="24"/>
          <w:szCs w:val="24"/>
        </w:rPr>
        <w:t>International Handbook of Environmental Sociology</w:t>
      </w:r>
      <w:r w:rsidRPr="009B6D32">
        <w:rPr>
          <w:rFonts w:ascii="Garamond" w:hAnsi="Garamond" w:cs="Garamond"/>
          <w:sz w:val="24"/>
          <w:szCs w:val="24"/>
        </w:rPr>
        <w:t>, 2</w:t>
      </w:r>
      <w:r w:rsidRPr="009B6D32">
        <w:rPr>
          <w:rFonts w:ascii="Garamond" w:hAnsi="Garamond" w:cs="Garamond"/>
          <w:sz w:val="24"/>
          <w:szCs w:val="24"/>
          <w:vertAlign w:val="superscript"/>
        </w:rPr>
        <w:t>nd</w:t>
      </w:r>
      <w:r w:rsidRPr="009B6D32">
        <w:rPr>
          <w:rFonts w:ascii="Garamond" w:hAnsi="Garamond" w:cs="Garamond"/>
          <w:sz w:val="24"/>
          <w:szCs w:val="24"/>
        </w:rPr>
        <w:t xml:space="preserve"> edn., London: Edward Elgar, pp. 245–261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Hobsbawn, E. (1995) </w:t>
      </w:r>
      <w:r w:rsidRPr="009B6D32">
        <w:rPr>
          <w:rFonts w:ascii="Garamond" w:hAnsi="Garamond" w:cs="Garamond"/>
          <w:i/>
          <w:iCs/>
          <w:sz w:val="24"/>
          <w:szCs w:val="24"/>
        </w:rPr>
        <w:t xml:space="preserve">The Age of Extremes: The short Twentieth Century. </w:t>
      </w:r>
      <w:r w:rsidRPr="009B6D32">
        <w:rPr>
          <w:rFonts w:ascii="Garamond" w:hAnsi="Garamond" w:cs="Garamond"/>
          <w:sz w:val="24"/>
          <w:szCs w:val="24"/>
        </w:rPr>
        <w:t>London: Abacus Books</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Hochschild, A. (2005) </w:t>
      </w:r>
      <w:r w:rsidRPr="009B6D32">
        <w:rPr>
          <w:rFonts w:ascii="Garamond" w:hAnsi="Garamond" w:cs="Garamond"/>
          <w:i/>
          <w:iCs/>
          <w:sz w:val="24"/>
          <w:szCs w:val="24"/>
          <w:lang w:val="en-US"/>
        </w:rPr>
        <w:t xml:space="preserve">Bury the Chains. The British Struggle to Abolish Slavery. </w:t>
      </w:r>
      <w:r w:rsidRPr="009B6D32">
        <w:rPr>
          <w:rFonts w:ascii="Garamond" w:hAnsi="Garamond" w:cs="Garamond"/>
          <w:sz w:val="24"/>
          <w:szCs w:val="24"/>
          <w:lang w:val="en-US"/>
        </w:rPr>
        <w:t>New York: Macmillan</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Hochschild, A. (2012 [1983]) </w:t>
      </w:r>
      <w:r w:rsidRPr="009B6D32">
        <w:rPr>
          <w:rFonts w:ascii="Garamond" w:hAnsi="Garamond" w:cs="Garamond"/>
          <w:i/>
          <w:sz w:val="24"/>
          <w:szCs w:val="24"/>
          <w:lang w:val="en-US"/>
        </w:rPr>
        <w:t xml:space="preserve">The Managed Heart: Commercialization of Human Feeling. </w:t>
      </w:r>
      <w:r w:rsidRPr="009B6D32">
        <w:rPr>
          <w:rFonts w:ascii="Garamond" w:hAnsi="Garamond" w:cs="Garamond"/>
          <w:sz w:val="24"/>
          <w:szCs w:val="24"/>
          <w:lang w:val="en-US"/>
        </w:rPr>
        <w:t>Berkley, CA: University of California Press</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Hogg, M., Banister, E. and Stephenson, C. A. (2009) ‘Mapping symbolic (anti-) consumption’, </w:t>
      </w:r>
      <w:r w:rsidRPr="009B6D32">
        <w:rPr>
          <w:rFonts w:ascii="Garamond" w:hAnsi="Garamond" w:cs="Garamond"/>
          <w:i/>
          <w:iCs/>
          <w:sz w:val="24"/>
          <w:szCs w:val="24"/>
          <w:lang w:val="en-US"/>
        </w:rPr>
        <w:t>Journal of Business Research</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62(2), pp. 148-159</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Hoggart, K. Lees, L. and Davies, A. (2002) </w:t>
      </w:r>
      <w:r w:rsidRPr="009B6D32">
        <w:rPr>
          <w:rFonts w:ascii="Garamond" w:hAnsi="Garamond" w:cs="Garamond"/>
          <w:i/>
          <w:sz w:val="24"/>
          <w:szCs w:val="24"/>
          <w:lang w:val="en-US"/>
        </w:rPr>
        <w:t>Researching Human Geography.</w:t>
      </w:r>
      <w:r w:rsidRPr="009B6D32">
        <w:rPr>
          <w:rFonts w:ascii="Garamond" w:hAnsi="Garamond" w:cs="Garamond"/>
          <w:sz w:val="24"/>
          <w:szCs w:val="24"/>
          <w:lang w:val="en-US"/>
        </w:rPr>
        <w:t xml:space="preserve"> London: Arnold</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Holt, D. (2006) ‘Toward a Sociology of Branding’, </w:t>
      </w:r>
      <w:r w:rsidRPr="009B6D32">
        <w:rPr>
          <w:rFonts w:ascii="Garamond" w:hAnsi="Garamond" w:cs="Garamond"/>
          <w:i/>
          <w:iCs/>
          <w:color w:val="000000"/>
          <w:sz w:val="24"/>
          <w:szCs w:val="24"/>
          <w:shd w:val="clear" w:color="auto" w:fill="FFFFFF"/>
        </w:rPr>
        <w:t>Journal of Consumer Culture</w:t>
      </w:r>
      <w:r w:rsidRPr="009B6D32">
        <w:rPr>
          <w:rFonts w:ascii="Garamond" w:hAnsi="Garamond" w:cs="Garamond"/>
          <w:color w:val="000000"/>
          <w:sz w:val="24"/>
          <w:szCs w:val="24"/>
          <w:shd w:val="clear" w:color="auto" w:fill="FFFFFF"/>
        </w:rPr>
        <w:t>, 6(3), pp. 299–302</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Hook, D. (2004) ‘</w:t>
      </w:r>
      <w:r w:rsidRPr="009B6D32">
        <w:rPr>
          <w:rFonts w:ascii="Garamond" w:hAnsi="Garamond" w:cs="Garamond"/>
          <w:sz w:val="24"/>
          <w:szCs w:val="24"/>
        </w:rPr>
        <w:t xml:space="preserve">Racism as abjection: a psychoanalytic conceptualisation for a post-apartheid South Africa’, </w:t>
      </w:r>
      <w:r w:rsidRPr="009B6D32">
        <w:rPr>
          <w:rFonts w:ascii="Garamond" w:hAnsi="Garamond" w:cs="Garamond"/>
          <w:i/>
          <w:iCs/>
          <w:sz w:val="24"/>
          <w:szCs w:val="24"/>
        </w:rPr>
        <w:t xml:space="preserve">South African Journal of Psychology, </w:t>
      </w:r>
      <w:r w:rsidRPr="009B6D32">
        <w:rPr>
          <w:rFonts w:ascii="Garamond" w:hAnsi="Garamond" w:cs="Garamond"/>
          <w:sz w:val="24"/>
          <w:szCs w:val="24"/>
        </w:rPr>
        <w:t>34(4), pp. 672-703</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Hook, D. (2006) ‘Pre-discursive racism’, </w:t>
      </w:r>
      <w:r w:rsidRPr="009B6D32">
        <w:rPr>
          <w:rFonts w:ascii="Garamond" w:hAnsi="Garamond" w:cs="Garamond"/>
          <w:i/>
          <w:iCs/>
          <w:sz w:val="24"/>
          <w:szCs w:val="24"/>
          <w:lang w:val="en-US"/>
        </w:rPr>
        <w:t xml:space="preserve">Journal of Community and Applied Sociology, </w:t>
      </w:r>
      <w:r w:rsidRPr="009B6D32">
        <w:rPr>
          <w:rFonts w:ascii="Garamond" w:hAnsi="Garamond" w:cs="Garamond"/>
          <w:sz w:val="24"/>
          <w:szCs w:val="24"/>
          <w:lang w:val="en-US"/>
        </w:rPr>
        <w:t>16(3), pp. 207-232</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Hooker, J. (2009) </w:t>
      </w:r>
      <w:r w:rsidRPr="009B6D32">
        <w:rPr>
          <w:rFonts w:ascii="Garamond" w:hAnsi="Garamond"/>
          <w:i/>
          <w:sz w:val="24"/>
          <w:szCs w:val="24"/>
        </w:rPr>
        <w:t>Race and the Politics of Solidarity.</w:t>
      </w:r>
      <w:r w:rsidRPr="009B6D32">
        <w:rPr>
          <w:rFonts w:ascii="Garamond" w:hAnsi="Garamond"/>
          <w:sz w:val="24"/>
          <w:szCs w:val="24"/>
        </w:rPr>
        <w:t xml:space="preserve"> New York: Oxford University Press</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hooks, b. (1992) 'Eating the Other' in b. hooks (ed.) </w:t>
      </w:r>
      <w:r w:rsidRPr="009B6D32">
        <w:rPr>
          <w:rFonts w:ascii="Garamond" w:hAnsi="Garamond" w:cs="Garamond"/>
          <w:i/>
          <w:iCs/>
          <w:sz w:val="24"/>
          <w:szCs w:val="24"/>
        </w:rPr>
        <w:t>Black Looks: Race and Representation</w:t>
      </w:r>
      <w:r w:rsidRPr="009B6D32">
        <w:rPr>
          <w:rFonts w:ascii="Garamond" w:hAnsi="Garamond" w:cs="Garamond"/>
          <w:sz w:val="24"/>
          <w:szCs w:val="24"/>
        </w:rPr>
        <w:t>, Boston, MA: South End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rPr>
        <w:t xml:space="preserve">Hope-Bacon, M. (1994) ‘By Moral Force Alone: The Antislavery Women and Nonresistance’ in </w:t>
      </w:r>
      <w:r w:rsidRPr="009B6D32">
        <w:rPr>
          <w:rFonts w:ascii="Garamond" w:hAnsi="Garamond" w:cs="Garamond"/>
          <w:sz w:val="24"/>
          <w:szCs w:val="24"/>
          <w:lang w:val="en-US"/>
        </w:rPr>
        <w:t xml:space="preserve">Yellin, J. and Van Horne, J. (eds.) </w:t>
      </w:r>
      <w:r w:rsidRPr="009B6D32">
        <w:rPr>
          <w:rFonts w:ascii="Garamond" w:hAnsi="Garamond" w:cs="Garamond"/>
          <w:i/>
          <w:iCs/>
          <w:sz w:val="24"/>
          <w:szCs w:val="24"/>
          <w:lang w:val="en-US"/>
        </w:rPr>
        <w:t xml:space="preserve">The Abolitionist Sisterhood. </w:t>
      </w:r>
      <w:r w:rsidRPr="009B6D32">
        <w:rPr>
          <w:rFonts w:ascii="Garamond" w:hAnsi="Garamond" w:cs="Garamond"/>
          <w:sz w:val="24"/>
          <w:szCs w:val="24"/>
          <w:lang w:val="en-US"/>
        </w:rPr>
        <w:t>Philadelphia: Library of Philadelphia Press, pp. 275-296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sz w:val="24"/>
          <w:szCs w:val="24"/>
          <w:shd w:val="clear" w:color="auto" w:fill="FFFFFF"/>
        </w:rPr>
        <w:t xml:space="preserve">Horkheimer, M. (1982) </w:t>
      </w:r>
      <w:r w:rsidRPr="009B6D32">
        <w:rPr>
          <w:rFonts w:ascii="Garamond" w:hAnsi="Garamond"/>
          <w:i/>
          <w:sz w:val="24"/>
          <w:szCs w:val="24"/>
          <w:shd w:val="clear" w:color="auto" w:fill="FFFFFF"/>
        </w:rPr>
        <w:t>Critical Theory</w:t>
      </w:r>
      <w:r w:rsidRPr="009B6D32">
        <w:rPr>
          <w:rFonts w:ascii="Garamond" w:hAnsi="Garamond"/>
          <w:sz w:val="24"/>
          <w:szCs w:val="24"/>
          <w:shd w:val="clear" w:color="auto" w:fill="FFFFFF"/>
        </w:rPr>
        <w:t>. New York: Seabury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Housel, J. (2009) ‘Geographies of whiteness: the active construction of racialized privilege in Buffalo, New York’, </w:t>
      </w:r>
      <w:r w:rsidRPr="009B6D32">
        <w:rPr>
          <w:rFonts w:ascii="Garamond" w:hAnsi="Garamond" w:cs="Garamond"/>
          <w:i/>
          <w:iCs/>
          <w:sz w:val="24"/>
          <w:szCs w:val="24"/>
        </w:rPr>
        <w:t>Social &amp; Cultural Geography</w:t>
      </w:r>
      <w:r w:rsidRPr="009B6D32">
        <w:rPr>
          <w:rFonts w:ascii="Garamond" w:hAnsi="Garamond" w:cs="Garamond"/>
          <w:sz w:val="24"/>
          <w:szCs w:val="24"/>
        </w:rPr>
        <w:t>, 10(2), pp. 131-151</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Howes, D. (1996) ‘Commodities and Cultural Borders’, in Howes, D. (ed.) </w:t>
      </w:r>
      <w:r w:rsidRPr="009B6D32">
        <w:rPr>
          <w:rFonts w:ascii="Garamond" w:hAnsi="Garamond" w:cs="Garamond"/>
          <w:i/>
          <w:iCs/>
          <w:sz w:val="24"/>
          <w:szCs w:val="24"/>
          <w:lang w:val="en-US"/>
        </w:rPr>
        <w:t xml:space="preserve">Cross Cultural Consumption. Global Markets, Local Realities. </w:t>
      </w:r>
      <w:r w:rsidRPr="009B6D32">
        <w:rPr>
          <w:rFonts w:ascii="Garamond" w:hAnsi="Garamond" w:cs="Garamond"/>
          <w:sz w:val="24"/>
          <w:szCs w:val="24"/>
          <w:lang w:val="en-US"/>
        </w:rPr>
        <w:t>London: Routledge, pp. 1-19</w:t>
      </w:r>
    </w:p>
    <w:p w:rsidR="0001718F" w:rsidRPr="009B6D32" w:rsidRDefault="0001718F" w:rsidP="007437F5">
      <w:pPr>
        <w:autoSpaceDE w:val="0"/>
        <w:autoSpaceDN w:val="0"/>
        <w:adjustRightInd w:val="0"/>
        <w:spacing w:after="0" w:line="240" w:lineRule="auto"/>
        <w:ind w:hanging="720"/>
        <w:rPr>
          <w:rFonts w:ascii="Garamond" w:hAnsi="Garamond" w:cs="Garamond"/>
          <w:i/>
          <w:sz w:val="24"/>
          <w:szCs w:val="24"/>
          <w:lang w:val="en-US"/>
        </w:rPr>
      </w:pPr>
      <w:r w:rsidRPr="009B6D32">
        <w:rPr>
          <w:rFonts w:ascii="Garamond" w:hAnsi="Garamond" w:cs="Garamond"/>
          <w:sz w:val="24"/>
          <w:szCs w:val="24"/>
          <w:lang w:val="en-US"/>
        </w:rPr>
        <w:tab/>
        <w:t xml:space="preserve"> </w:t>
      </w:r>
      <w:r w:rsidRPr="009B6D32">
        <w:rPr>
          <w:rFonts w:ascii="Garamond" w:hAnsi="Garamond"/>
          <w:sz w:val="24"/>
          <w:szCs w:val="24"/>
        </w:rPr>
        <w:t>http://www.cjc-online.ca/index.php/journal/article/view/1394/1477 (Accessed: 5 June 2012)</w:t>
      </w:r>
    </w:p>
    <w:p w:rsidR="0001718F" w:rsidRPr="009B6D32" w:rsidRDefault="0001718F" w:rsidP="007437F5">
      <w:pPr>
        <w:autoSpaceDE w:val="0"/>
        <w:autoSpaceDN w:val="0"/>
        <w:adjustRightInd w:val="0"/>
        <w:spacing w:after="0" w:line="240" w:lineRule="auto"/>
        <w:ind w:hanging="720"/>
        <w:rPr>
          <w:rFonts w:ascii="Garamond" w:hAnsi="Garamond" w:cs="Times New Roman"/>
          <w:kern w:val="28"/>
          <w:sz w:val="24"/>
          <w:szCs w:val="24"/>
          <w:lang w:val="en-US" w:eastAsia="en-GB"/>
        </w:rPr>
      </w:pPr>
      <w:r w:rsidRPr="009B6D32">
        <w:rPr>
          <w:rFonts w:ascii="Garamond" w:hAnsi="Garamond" w:cs="Times New Roman"/>
          <w:sz w:val="24"/>
          <w:szCs w:val="24"/>
        </w:rPr>
        <w:lastRenderedPageBreak/>
        <w:tab/>
      </w:r>
      <w:r w:rsidRPr="007437F5">
        <w:rPr>
          <w:rFonts w:ascii="Garamond" w:hAnsi="Garamond" w:cs="Times New Roman"/>
          <w:sz w:val="24"/>
          <w:szCs w:val="24"/>
        </w:rPr>
        <w:t>http://www.ichrp.org/files/papers/137/122_Bhabha.pdf</w:t>
      </w:r>
      <w:r w:rsidRPr="009B6D32">
        <w:rPr>
          <w:rFonts w:ascii="Garamond" w:hAnsi="Garamond" w:cs="Times New Roman"/>
          <w:sz w:val="24"/>
          <w:szCs w:val="24"/>
        </w:rPr>
        <w:t xml:space="preserve"> (Accessed 20/8/2012)</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ab/>
        <w:t xml:space="preserve">http://www.ilo.org/dyn/normlex/en/f?p=NORMLEXPUB:12100:0::NO::P12100_ILO_CODE:C182. (Accessed 23/2/2013) </w:t>
      </w:r>
    </w:p>
    <w:p w:rsidR="0001718F" w:rsidRPr="009B6D32" w:rsidRDefault="0001718F" w:rsidP="007437F5">
      <w:pPr>
        <w:autoSpaceDE w:val="0"/>
        <w:autoSpaceDN w:val="0"/>
        <w:adjustRightInd w:val="0"/>
        <w:spacing w:after="0" w:line="240" w:lineRule="auto"/>
        <w:rPr>
          <w:rFonts w:ascii="Garamond" w:hAnsi="Garamond"/>
          <w:sz w:val="24"/>
          <w:szCs w:val="24"/>
          <w:lang w:eastAsia="en-GB"/>
        </w:rPr>
      </w:pPr>
      <w:r w:rsidRPr="007E10FB">
        <w:rPr>
          <w:rFonts w:ascii="Garamond" w:hAnsi="Garamond"/>
          <w:sz w:val="24"/>
          <w:szCs w:val="24"/>
        </w:rPr>
        <w:t>http://www.leeds.ac.uk/cath/ahrc/events/2003/1011/lm.pdf</w:t>
      </w:r>
      <w:r w:rsidRPr="009B6D32">
        <w:rPr>
          <w:rFonts w:ascii="Garamond" w:hAnsi="Garamond"/>
          <w:sz w:val="24"/>
          <w:szCs w:val="24"/>
          <w:lang w:eastAsia="en-GB"/>
        </w:rPr>
        <w:t xml:space="preserve"> [Last accessed 21/8/2008]</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Hubbard, P., Kitchin, R. and Valentine, G. (eds.) (2004) </w:t>
      </w:r>
      <w:r w:rsidRPr="009B6D32">
        <w:rPr>
          <w:rFonts w:ascii="Garamond" w:hAnsi="Garamond" w:cs="Garamond"/>
          <w:i/>
          <w:iCs/>
          <w:sz w:val="24"/>
          <w:szCs w:val="24"/>
          <w:lang w:val="en-US"/>
        </w:rPr>
        <w:t xml:space="preserve">Key Thinkers on Space and Place. </w:t>
      </w:r>
      <w:r w:rsidRPr="009B6D32">
        <w:rPr>
          <w:rFonts w:ascii="Garamond" w:hAnsi="Garamond" w:cs="Garamond"/>
          <w:sz w:val="24"/>
          <w:szCs w:val="24"/>
          <w:lang w:val="en-US"/>
        </w:rPr>
        <w:t>London: Sage</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Hubbard, P., </w:t>
      </w:r>
      <w:r w:rsidRPr="009B6D32">
        <w:rPr>
          <w:rFonts w:ascii="Garamond" w:hAnsi="Garamond" w:cs="Garamond"/>
          <w:color w:val="222222"/>
          <w:sz w:val="24"/>
          <w:szCs w:val="24"/>
          <w:shd w:val="clear" w:color="auto" w:fill="FFFFFF"/>
        </w:rPr>
        <w:t>Kitchin, R., Bartley, B. and Fuller, D.</w:t>
      </w:r>
      <w:r w:rsidRPr="009B6D32">
        <w:rPr>
          <w:rFonts w:ascii="Garamond" w:hAnsi="Garamond" w:cs="Garamond"/>
          <w:sz w:val="24"/>
          <w:szCs w:val="24"/>
        </w:rPr>
        <w:t xml:space="preserve"> (2002) </w:t>
      </w:r>
      <w:r w:rsidRPr="009B6D32">
        <w:rPr>
          <w:rFonts w:ascii="Garamond" w:hAnsi="Garamond" w:cs="Garamond"/>
          <w:i/>
          <w:iCs/>
          <w:sz w:val="24"/>
          <w:szCs w:val="24"/>
        </w:rPr>
        <w:t xml:space="preserve">Thinking Geographically: Space, Theory and Contemporary Human Geography.  </w:t>
      </w:r>
      <w:r w:rsidRPr="009B6D32">
        <w:rPr>
          <w:rFonts w:ascii="Garamond" w:hAnsi="Garamond" w:cs="Garamond"/>
          <w:sz w:val="24"/>
          <w:szCs w:val="24"/>
        </w:rPr>
        <w:t>London: Continuum</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eastAsia="en-GB"/>
        </w:rPr>
      </w:pPr>
      <w:r w:rsidRPr="009B6D32">
        <w:rPr>
          <w:rFonts w:ascii="Garamond" w:hAnsi="Garamond" w:cs="Garamond"/>
          <w:sz w:val="24"/>
          <w:szCs w:val="24"/>
          <w:lang w:eastAsia="en-GB"/>
        </w:rPr>
        <w:t xml:space="preserve">Huddleston, T. (1956) </w:t>
      </w:r>
      <w:r w:rsidRPr="009B6D32">
        <w:rPr>
          <w:rFonts w:ascii="Garamond" w:hAnsi="Garamond" w:cs="Garamond"/>
          <w:i/>
          <w:iCs/>
          <w:sz w:val="24"/>
          <w:szCs w:val="24"/>
          <w:lang w:eastAsia="en-GB"/>
        </w:rPr>
        <w:t xml:space="preserve">Naught for Your Comfort. </w:t>
      </w:r>
      <w:r w:rsidRPr="009B6D32">
        <w:rPr>
          <w:rFonts w:ascii="Garamond" w:hAnsi="Garamond" w:cs="Garamond"/>
          <w:sz w:val="24"/>
          <w:szCs w:val="24"/>
          <w:lang w:eastAsia="en-GB"/>
        </w:rPr>
        <w:t>New York: Doubleday</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Hughes, A. (2001) ‘Global commodity networks, ethical trade and governmentality: organizing business responsibility  in the Kenyan cut flower industry’, </w:t>
      </w:r>
      <w:r w:rsidRPr="009B6D32">
        <w:rPr>
          <w:rFonts w:ascii="Garamond" w:hAnsi="Garamond" w:cs="Garamond"/>
          <w:i/>
          <w:iCs/>
          <w:sz w:val="24"/>
          <w:szCs w:val="24"/>
        </w:rPr>
        <w:t>Transactions of the Institute of British Geographers</w:t>
      </w:r>
      <w:r w:rsidRPr="009B6D32">
        <w:rPr>
          <w:rFonts w:ascii="Garamond" w:hAnsi="Garamond" w:cs="Garamond"/>
          <w:iCs/>
          <w:sz w:val="24"/>
          <w:szCs w:val="24"/>
        </w:rPr>
        <w:t xml:space="preserve">, </w:t>
      </w:r>
      <w:r w:rsidRPr="009B6D32">
        <w:rPr>
          <w:rFonts w:ascii="Garamond" w:hAnsi="Garamond" w:cs="Garamond"/>
          <w:sz w:val="24"/>
          <w:szCs w:val="24"/>
        </w:rPr>
        <w:t>26(4), pp. 390-406</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Hughes, A. and Reimer, S. (eds.) (2004) </w:t>
      </w:r>
      <w:r w:rsidRPr="009B6D32">
        <w:rPr>
          <w:rFonts w:ascii="Garamond" w:hAnsi="Garamond" w:cs="Garamond"/>
          <w:i/>
          <w:iCs/>
          <w:sz w:val="24"/>
          <w:szCs w:val="24"/>
          <w:lang w:val="en-US"/>
        </w:rPr>
        <w:t>Geographies of Commodity Chains.</w:t>
      </w:r>
      <w:r w:rsidRPr="009B6D32">
        <w:rPr>
          <w:rFonts w:ascii="Garamond" w:hAnsi="Garamond" w:cs="Garamond"/>
          <w:sz w:val="24"/>
          <w:szCs w:val="24"/>
          <w:lang w:val="en-US"/>
        </w:rPr>
        <w:t xml:space="preserve"> London: Routledge</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rPr>
        <w:t xml:space="preserve">Human, J. and Crowther, B. (2011) ‘Campaigning for Justice’ in, Bowes, J. (ed.) </w:t>
      </w:r>
      <w:r w:rsidRPr="009B6D32">
        <w:rPr>
          <w:rFonts w:ascii="Garamond" w:hAnsi="Garamond" w:cs="Garamond"/>
          <w:i/>
          <w:iCs/>
          <w:sz w:val="24"/>
          <w:szCs w:val="24"/>
        </w:rPr>
        <w:t>The Fair Trade Revolution.</w:t>
      </w:r>
      <w:r w:rsidRPr="009B6D32">
        <w:rPr>
          <w:rFonts w:ascii="Garamond" w:hAnsi="Garamond" w:cs="Garamond"/>
          <w:sz w:val="24"/>
          <w:szCs w:val="24"/>
        </w:rPr>
        <w:t xml:space="preserve"> London: Pluto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Hütz-Adams, F. and Fountain, A. (2012): </w:t>
      </w:r>
      <w:r w:rsidRPr="009B6D32">
        <w:rPr>
          <w:rFonts w:ascii="Garamond" w:hAnsi="Garamond" w:cs="Garamond"/>
          <w:i/>
          <w:iCs/>
          <w:sz w:val="24"/>
          <w:szCs w:val="24"/>
        </w:rPr>
        <w:t>Cocoa Barometer 2012</w:t>
      </w:r>
      <w:r w:rsidRPr="009B6D32">
        <w:rPr>
          <w:rFonts w:ascii="Garamond" w:hAnsi="Garamond" w:cs="Garamond"/>
          <w:sz w:val="24"/>
          <w:szCs w:val="24"/>
        </w:rPr>
        <w:t>. Leiden: Drukkerij Mostert &amp; van Onderen</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Huzzey, R. (2012) ‘The moral geography of British antislavery responsibilities’, </w:t>
      </w:r>
      <w:r w:rsidRPr="009B6D32">
        <w:rPr>
          <w:rFonts w:ascii="Garamond" w:hAnsi="Garamond"/>
          <w:i/>
          <w:sz w:val="24"/>
          <w:szCs w:val="24"/>
        </w:rPr>
        <w:t xml:space="preserve">Transactions of the Royal Historical Society, </w:t>
      </w:r>
      <w:r w:rsidRPr="009B6D32">
        <w:rPr>
          <w:rFonts w:ascii="Garamond" w:hAnsi="Garamond"/>
          <w:sz w:val="24"/>
          <w:szCs w:val="24"/>
        </w:rPr>
        <w:t>22, pp. 111-139</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ILO (1999) C182 Worst Forms of Child Labour Convention. Geneva. Available at</w:t>
      </w:r>
    </w:p>
    <w:p w:rsidR="0001718F" w:rsidRPr="009B6D32" w:rsidRDefault="0001718F" w:rsidP="007437F5">
      <w:pPr>
        <w:spacing w:after="0" w:line="240" w:lineRule="auto"/>
        <w:ind w:hanging="720"/>
        <w:jc w:val="both"/>
        <w:rPr>
          <w:rStyle w:val="st"/>
        </w:rPr>
      </w:pPr>
      <w:r w:rsidRPr="009B6D32">
        <w:rPr>
          <w:rStyle w:val="Emphasis"/>
          <w:rFonts w:ascii="Garamond" w:hAnsi="Garamond" w:cs="Garamond"/>
          <w:sz w:val="24"/>
          <w:szCs w:val="24"/>
        </w:rPr>
        <w:t>Ingram,</w:t>
      </w:r>
      <w:r w:rsidRPr="009B6D32">
        <w:rPr>
          <w:rStyle w:val="st"/>
          <w:rFonts w:ascii="Garamond" w:hAnsi="Garamond" w:cs="Garamond"/>
          <w:i/>
          <w:iCs/>
          <w:sz w:val="24"/>
          <w:szCs w:val="24"/>
        </w:rPr>
        <w:t xml:space="preserve"> </w:t>
      </w:r>
      <w:r w:rsidRPr="009B6D32">
        <w:rPr>
          <w:rStyle w:val="st"/>
          <w:rFonts w:ascii="Garamond" w:hAnsi="Garamond" w:cs="Garamond"/>
          <w:sz w:val="24"/>
          <w:szCs w:val="24"/>
        </w:rPr>
        <w:t>A. and</w:t>
      </w:r>
      <w:r w:rsidRPr="009B6D32">
        <w:rPr>
          <w:rStyle w:val="st"/>
          <w:rFonts w:ascii="Garamond" w:hAnsi="Garamond" w:cs="Garamond"/>
          <w:i/>
          <w:iCs/>
          <w:sz w:val="24"/>
          <w:szCs w:val="24"/>
        </w:rPr>
        <w:t xml:space="preserve"> </w:t>
      </w:r>
      <w:r w:rsidRPr="009B6D32">
        <w:rPr>
          <w:rStyle w:val="Emphasis"/>
          <w:rFonts w:ascii="Garamond" w:hAnsi="Garamond" w:cs="Garamond"/>
          <w:sz w:val="24"/>
          <w:szCs w:val="24"/>
        </w:rPr>
        <w:t>Dodds, K. (eds.)</w:t>
      </w:r>
      <w:r w:rsidRPr="009B6D32">
        <w:rPr>
          <w:rStyle w:val="st"/>
          <w:rFonts w:ascii="Garamond" w:hAnsi="Garamond" w:cs="Garamond"/>
          <w:i/>
          <w:iCs/>
          <w:sz w:val="24"/>
          <w:szCs w:val="24"/>
        </w:rPr>
        <w:t xml:space="preserve"> </w:t>
      </w:r>
      <w:r w:rsidRPr="009B6D32">
        <w:rPr>
          <w:rStyle w:val="st"/>
          <w:rFonts w:ascii="Garamond" w:hAnsi="Garamond" w:cs="Garamond"/>
          <w:sz w:val="24"/>
          <w:szCs w:val="24"/>
        </w:rPr>
        <w:t>(2009)</w:t>
      </w:r>
      <w:r w:rsidRPr="009B6D32">
        <w:rPr>
          <w:rStyle w:val="st"/>
          <w:rFonts w:ascii="Garamond" w:hAnsi="Garamond" w:cs="Garamond"/>
          <w:i/>
          <w:iCs/>
          <w:sz w:val="24"/>
          <w:szCs w:val="24"/>
        </w:rPr>
        <w:t xml:space="preserve"> Spaces of </w:t>
      </w:r>
      <w:r w:rsidRPr="009B6D32">
        <w:rPr>
          <w:rStyle w:val="Emphasis"/>
          <w:rFonts w:ascii="Garamond" w:hAnsi="Garamond" w:cs="Garamond"/>
          <w:sz w:val="24"/>
          <w:szCs w:val="24"/>
        </w:rPr>
        <w:t>Security</w:t>
      </w:r>
      <w:r w:rsidRPr="009B6D32">
        <w:rPr>
          <w:rStyle w:val="st"/>
          <w:rFonts w:ascii="Garamond" w:hAnsi="Garamond" w:cs="Garamond"/>
          <w:i/>
          <w:iCs/>
          <w:sz w:val="24"/>
          <w:szCs w:val="24"/>
        </w:rPr>
        <w:t xml:space="preserve"> and Insecurity: Geographies of the War on Terror </w:t>
      </w:r>
      <w:r w:rsidRPr="009B6D32">
        <w:rPr>
          <w:rStyle w:val="st"/>
          <w:rFonts w:ascii="Garamond" w:hAnsi="Garamond" w:cs="Garamond"/>
          <w:sz w:val="24"/>
          <w:szCs w:val="24"/>
        </w:rPr>
        <w:t>Farnham: Ashgate</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Innes, R. (2006) ‘A Theory of Consumer Boycotts under Symmetric Information and Imperfect Competition’, </w:t>
      </w:r>
      <w:r w:rsidRPr="009B6D32">
        <w:rPr>
          <w:rFonts w:ascii="Garamond" w:hAnsi="Garamond"/>
          <w:i/>
          <w:sz w:val="24"/>
          <w:szCs w:val="24"/>
        </w:rPr>
        <w:t>The Economic Journal</w:t>
      </w:r>
      <w:r w:rsidRPr="009B6D32">
        <w:rPr>
          <w:rFonts w:ascii="Garamond" w:hAnsi="Garamond"/>
          <w:sz w:val="24"/>
          <w:szCs w:val="24"/>
        </w:rPr>
        <w:t>, 116(511), pp. 355–381</w:t>
      </w:r>
    </w:p>
    <w:p w:rsidR="0001718F" w:rsidRPr="009B6D32" w:rsidRDefault="0001718F" w:rsidP="007437F5">
      <w:pPr>
        <w:autoSpaceDE w:val="0"/>
        <w:autoSpaceDN w:val="0"/>
        <w:adjustRightInd w:val="0"/>
        <w:spacing w:after="0" w:line="240" w:lineRule="auto"/>
        <w:ind w:hanging="720"/>
        <w:rPr>
          <w:rFonts w:ascii="Garamond" w:hAnsi="Garamond" w:cs="Arial"/>
          <w:sz w:val="24"/>
          <w:szCs w:val="24"/>
          <w:shd w:val="clear" w:color="auto" w:fill="FFFFFF"/>
        </w:rPr>
      </w:pPr>
      <w:r w:rsidRPr="009B6D32">
        <w:rPr>
          <w:rStyle w:val="Emphasis"/>
          <w:rFonts w:ascii="Garamond" w:hAnsi="Garamond" w:cs="Arial"/>
          <w:bCs/>
          <w:sz w:val="24"/>
          <w:szCs w:val="24"/>
          <w:shd w:val="clear" w:color="auto" w:fill="FFFFFF"/>
        </w:rPr>
        <w:t>Isichei, E.</w:t>
      </w:r>
      <w:r w:rsidRPr="009B6D32">
        <w:rPr>
          <w:rFonts w:ascii="Garamond" w:hAnsi="Garamond" w:cs="Arial"/>
          <w:sz w:val="24"/>
          <w:szCs w:val="24"/>
          <w:shd w:val="clear" w:color="auto" w:fill="FFFFFF"/>
        </w:rPr>
        <w:t xml:space="preserve"> (1970) </w:t>
      </w:r>
      <w:r w:rsidRPr="009B6D32">
        <w:rPr>
          <w:rFonts w:ascii="Garamond" w:hAnsi="Garamond" w:cs="Arial"/>
          <w:i/>
          <w:sz w:val="24"/>
          <w:szCs w:val="24"/>
          <w:shd w:val="clear" w:color="auto" w:fill="FFFFFF"/>
        </w:rPr>
        <w:t>Victorian</w:t>
      </w:r>
      <w:r w:rsidRPr="009B6D32">
        <w:rPr>
          <w:rStyle w:val="apple-converted-space"/>
          <w:rFonts w:ascii="Garamond" w:hAnsi="Garamond" w:cs="Arial"/>
          <w:i/>
          <w:sz w:val="24"/>
          <w:szCs w:val="24"/>
          <w:shd w:val="clear" w:color="auto" w:fill="FFFFFF"/>
        </w:rPr>
        <w:t> </w:t>
      </w:r>
      <w:r w:rsidRPr="009B6D32">
        <w:rPr>
          <w:rStyle w:val="Emphasis"/>
          <w:rFonts w:ascii="Garamond" w:hAnsi="Garamond" w:cs="Arial"/>
          <w:bCs/>
          <w:sz w:val="24"/>
          <w:szCs w:val="24"/>
          <w:shd w:val="clear" w:color="auto" w:fill="FFFFFF"/>
        </w:rPr>
        <w:t>Quakers</w:t>
      </w:r>
      <w:r w:rsidRPr="009B6D32">
        <w:rPr>
          <w:rFonts w:ascii="Garamond" w:hAnsi="Garamond" w:cs="Arial"/>
          <w:sz w:val="24"/>
          <w:szCs w:val="24"/>
          <w:shd w:val="clear" w:color="auto" w:fill="FFFFFF"/>
        </w:rPr>
        <w:t>. London: Oxford University Press</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Garamond"/>
          <w:sz w:val="24"/>
          <w:szCs w:val="24"/>
        </w:rPr>
        <w:t xml:space="preserve">Jackson, P. (1994) 'Black Male: Advertizing and the cultural politics of masculinity', </w:t>
      </w:r>
      <w:r w:rsidRPr="009B6D32">
        <w:rPr>
          <w:rFonts w:ascii="Garamond" w:hAnsi="Garamond"/>
          <w:i/>
          <w:sz w:val="24"/>
          <w:szCs w:val="24"/>
        </w:rPr>
        <w:t>Gender, Place &amp; Culture: A Journal of Feminist Geography</w:t>
      </w:r>
      <w:r w:rsidRPr="009B6D32">
        <w:rPr>
          <w:rFonts w:ascii="Garamond" w:hAnsi="Garamond"/>
          <w:sz w:val="24"/>
          <w:szCs w:val="24"/>
        </w:rPr>
        <w:t>, 1(1), pp. 45-59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Jackson, P. (1998) ‘Constructions of ‘whiteness’ in the geographical imagination’, </w:t>
      </w:r>
      <w:r w:rsidRPr="009B6D32">
        <w:rPr>
          <w:rFonts w:ascii="Garamond" w:hAnsi="Garamond" w:cs="Garamond"/>
          <w:i/>
          <w:iCs/>
          <w:sz w:val="24"/>
          <w:szCs w:val="24"/>
        </w:rPr>
        <w:t>Area</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30(2), pp. 99-106</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Jackson, P. (2001) ‘Rematerializing social and cultural geography’ </w:t>
      </w:r>
      <w:r w:rsidRPr="009B6D32">
        <w:rPr>
          <w:rFonts w:ascii="Garamond" w:hAnsi="Garamond" w:cs="Garamond"/>
          <w:i/>
          <w:iCs/>
          <w:sz w:val="24"/>
          <w:szCs w:val="24"/>
          <w:lang w:val="en-US"/>
        </w:rPr>
        <w:t>Social &amp; Cultural Geography</w:t>
      </w:r>
      <w:r w:rsidRPr="009B6D32">
        <w:rPr>
          <w:rFonts w:ascii="Garamond" w:hAnsi="Garamond" w:cs="Garamond"/>
          <w:iCs/>
          <w:sz w:val="24"/>
          <w:szCs w:val="24"/>
          <w:lang w:val="en-US"/>
        </w:rPr>
        <w:t xml:space="preserve">, </w:t>
      </w:r>
      <w:r w:rsidRPr="009B6D32">
        <w:rPr>
          <w:rFonts w:ascii="Garamond" w:hAnsi="Garamond" w:cs="Garamond"/>
          <w:sz w:val="24"/>
          <w:szCs w:val="24"/>
          <w:lang w:val="en-US"/>
        </w:rPr>
        <w:t>1(1), pp. 9-14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Jackson, P. (2002) ‘Commercial cultures: transcending the cultural and the economic’, </w:t>
      </w:r>
      <w:r w:rsidRPr="009B6D32">
        <w:rPr>
          <w:rFonts w:ascii="Garamond" w:hAnsi="Garamond" w:cs="Garamond"/>
          <w:i/>
          <w:iCs/>
          <w:sz w:val="24"/>
          <w:szCs w:val="24"/>
        </w:rPr>
        <w:t>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26(1) pp. 3-18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Jackson, P. (2004) ‘Local consumption cultures in a globalizing world’, </w:t>
      </w:r>
      <w:r w:rsidRPr="009B6D32">
        <w:rPr>
          <w:rFonts w:ascii="Garamond" w:hAnsi="Garamond" w:cs="Garamond"/>
          <w:i/>
          <w:iCs/>
          <w:sz w:val="24"/>
          <w:szCs w:val="24"/>
          <w:lang w:val="en-US"/>
        </w:rPr>
        <w:t>Transactions of the Institute of British Geographers</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29(2), pp. 165-178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Style w:val="Emphasis"/>
          <w:rFonts w:ascii="Garamond" w:hAnsi="Garamond" w:cs="Garamond"/>
          <w:sz w:val="24"/>
          <w:szCs w:val="24"/>
        </w:rPr>
        <w:t>Jackson,</w:t>
      </w:r>
      <w:r w:rsidRPr="009B6D32">
        <w:rPr>
          <w:rFonts w:ascii="Garamond" w:hAnsi="Garamond" w:cs="Garamond"/>
          <w:i/>
          <w:iCs/>
          <w:sz w:val="24"/>
          <w:szCs w:val="24"/>
        </w:rPr>
        <w:t xml:space="preserve"> </w:t>
      </w:r>
      <w:r w:rsidRPr="009B6D32">
        <w:rPr>
          <w:rFonts w:ascii="Garamond" w:hAnsi="Garamond" w:cs="Garamond"/>
          <w:sz w:val="24"/>
          <w:szCs w:val="24"/>
        </w:rPr>
        <w:t>P.</w:t>
      </w:r>
      <w:r w:rsidRPr="009B6D32">
        <w:rPr>
          <w:rFonts w:ascii="Garamond" w:hAnsi="Garamond" w:cs="Garamond"/>
          <w:iCs/>
          <w:sz w:val="24"/>
          <w:szCs w:val="24"/>
        </w:rPr>
        <w:t xml:space="preserve"> and</w:t>
      </w:r>
      <w:r w:rsidRPr="009B6D32">
        <w:rPr>
          <w:rFonts w:ascii="Garamond" w:hAnsi="Garamond" w:cs="Garamond"/>
          <w:i/>
          <w:iCs/>
          <w:sz w:val="24"/>
          <w:szCs w:val="24"/>
        </w:rPr>
        <w:t xml:space="preserve"> </w:t>
      </w:r>
      <w:r w:rsidRPr="009B6D32">
        <w:rPr>
          <w:rStyle w:val="Emphasis"/>
          <w:rFonts w:ascii="Garamond" w:hAnsi="Garamond" w:cs="Garamond"/>
          <w:sz w:val="24"/>
          <w:szCs w:val="24"/>
        </w:rPr>
        <w:t>Thrift,</w:t>
      </w:r>
      <w:r w:rsidRPr="009B6D32">
        <w:rPr>
          <w:rFonts w:ascii="Garamond" w:hAnsi="Garamond" w:cs="Garamond"/>
          <w:i/>
          <w:iCs/>
          <w:sz w:val="24"/>
          <w:szCs w:val="24"/>
        </w:rPr>
        <w:t xml:space="preserve"> </w:t>
      </w:r>
      <w:r w:rsidRPr="009B6D32">
        <w:rPr>
          <w:rFonts w:ascii="Garamond" w:hAnsi="Garamond" w:cs="Garamond"/>
          <w:sz w:val="24"/>
          <w:szCs w:val="24"/>
        </w:rPr>
        <w:t>N.</w:t>
      </w:r>
      <w:r w:rsidRPr="009B6D32">
        <w:rPr>
          <w:rFonts w:ascii="Garamond" w:hAnsi="Garamond" w:cs="Garamond"/>
          <w:iCs/>
          <w:sz w:val="24"/>
          <w:szCs w:val="24"/>
        </w:rPr>
        <w:t xml:space="preserve"> </w:t>
      </w:r>
      <w:r w:rsidRPr="009B6D32">
        <w:rPr>
          <w:rFonts w:ascii="Garamond" w:hAnsi="Garamond" w:cs="Garamond"/>
          <w:sz w:val="24"/>
          <w:szCs w:val="24"/>
        </w:rPr>
        <w:t>(</w:t>
      </w:r>
      <w:r w:rsidRPr="009B6D32">
        <w:rPr>
          <w:rStyle w:val="Emphasis"/>
          <w:rFonts w:ascii="Garamond" w:hAnsi="Garamond" w:cs="Garamond"/>
          <w:sz w:val="24"/>
          <w:szCs w:val="24"/>
        </w:rPr>
        <w:t>1995)</w:t>
      </w:r>
      <w:r w:rsidRPr="009B6D32">
        <w:rPr>
          <w:rFonts w:ascii="Garamond" w:hAnsi="Garamond" w:cs="Garamond"/>
          <w:sz w:val="24"/>
          <w:szCs w:val="24"/>
        </w:rPr>
        <w:t xml:space="preserve"> ‘Geographies of consumption’ in Miller, S. (ed.), </w:t>
      </w:r>
      <w:r w:rsidRPr="009B6D32">
        <w:rPr>
          <w:rStyle w:val="Emphasis"/>
          <w:rFonts w:ascii="Garamond" w:hAnsi="Garamond" w:cs="Garamond"/>
          <w:sz w:val="24"/>
          <w:szCs w:val="24"/>
        </w:rPr>
        <w:t>Acknowledging consumption: A review of new studies</w:t>
      </w:r>
      <w:r w:rsidRPr="009B6D32">
        <w:rPr>
          <w:rFonts w:ascii="Garamond" w:hAnsi="Garamond" w:cs="Garamond"/>
          <w:sz w:val="24"/>
          <w:szCs w:val="24"/>
        </w:rPr>
        <w:t>. London: Routledge, pp. 204-37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Jackson, P., Ward, N. and Russell, P. (2009) ‘Moral Economies of Food and Geographies of Responsibility’, </w:t>
      </w:r>
      <w:r w:rsidRPr="009B6D32">
        <w:rPr>
          <w:rFonts w:ascii="Garamond" w:hAnsi="Garamond" w:cs="Garamond"/>
          <w:i/>
          <w:iCs/>
          <w:sz w:val="24"/>
          <w:szCs w:val="24"/>
          <w:lang w:val="en-US"/>
        </w:rPr>
        <w:t>Transactions of the Institute of British Geographers</w:t>
      </w:r>
      <w:r w:rsidRPr="009B6D32">
        <w:rPr>
          <w:rFonts w:ascii="Garamond" w:hAnsi="Garamond" w:cs="Garamond"/>
          <w:sz w:val="24"/>
          <w:szCs w:val="24"/>
        </w:rPr>
        <w:t>. 34(1), pp. 12-24</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Jackson, T. (2005) ‘Live Better by Consuming Less? Is There a Double Dividend in Sustainable Consumption?’, </w:t>
      </w:r>
      <w:r w:rsidRPr="009B6D32">
        <w:rPr>
          <w:rFonts w:ascii="Garamond" w:hAnsi="Garamond" w:cs="Garamond"/>
          <w:i/>
          <w:iCs/>
          <w:sz w:val="24"/>
          <w:szCs w:val="24"/>
          <w:lang w:val="en-US"/>
        </w:rPr>
        <w:t xml:space="preserve">Journal of Industrial Ecology, </w:t>
      </w:r>
      <w:r w:rsidRPr="009B6D32">
        <w:rPr>
          <w:rFonts w:ascii="Garamond" w:hAnsi="Garamond" w:cs="Garamond"/>
          <w:sz w:val="24"/>
          <w:szCs w:val="24"/>
          <w:lang w:val="en-US"/>
        </w:rPr>
        <w:t>9(1-2), pp. 19-36</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James, A. (1990) ‘The good, the bad and the delicious: the confectionary in British society’, </w:t>
      </w:r>
      <w:r w:rsidRPr="009B6D32">
        <w:rPr>
          <w:rFonts w:ascii="Garamond" w:hAnsi="Garamond" w:cs="Garamond"/>
          <w:i/>
          <w:iCs/>
          <w:sz w:val="24"/>
          <w:szCs w:val="24"/>
        </w:rPr>
        <w:t>Sociological Review</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38(4), pp. 666-88</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James, C.L.R (1938) </w:t>
      </w:r>
      <w:r w:rsidRPr="009B6D32">
        <w:rPr>
          <w:rFonts w:ascii="Garamond" w:hAnsi="Garamond" w:cs="Garamond"/>
          <w:i/>
          <w:sz w:val="24"/>
          <w:szCs w:val="24"/>
        </w:rPr>
        <w:t>The Black Jacobins</w:t>
      </w:r>
      <w:r w:rsidRPr="009B6D32">
        <w:rPr>
          <w:rFonts w:ascii="Garamond" w:hAnsi="Garamond" w:cs="Garamond"/>
          <w:sz w:val="24"/>
          <w:szCs w:val="24"/>
        </w:rPr>
        <w:t>. New York: Dial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Jasper, J. (1997) </w:t>
      </w:r>
      <w:r w:rsidRPr="009B6D32">
        <w:rPr>
          <w:rFonts w:ascii="Garamond" w:hAnsi="Garamond" w:cs="Garamond"/>
          <w:i/>
          <w:iCs/>
          <w:sz w:val="24"/>
          <w:szCs w:val="24"/>
        </w:rPr>
        <w:t>The Art of Moral Protest: Culture, Biography, and Creativity in Social Movements</w:t>
      </w:r>
      <w:r w:rsidRPr="009B6D32">
        <w:rPr>
          <w:rFonts w:ascii="Garamond" w:hAnsi="Garamond" w:cs="Garamond"/>
          <w:sz w:val="24"/>
          <w:szCs w:val="24"/>
        </w:rPr>
        <w:t>. Chicago: University of Chicago Press</w:t>
      </w:r>
    </w:p>
    <w:p w:rsidR="007F7038"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eastAsia="AdvOT863180fb" w:hAnsi="Garamond" w:cs="Garamond"/>
          <w:sz w:val="24"/>
          <w:szCs w:val="24"/>
        </w:rPr>
        <w:t>Jasper, J. (2011) ‘Emotions and Social Movements: Twenty Years of Theory and Research’,</w:t>
      </w:r>
      <w:r w:rsidRPr="009B6D32">
        <w:rPr>
          <w:rFonts w:ascii="Garamond" w:hAnsi="Garamond" w:cs="Garamond"/>
          <w:i/>
          <w:iCs/>
          <w:sz w:val="24"/>
          <w:szCs w:val="24"/>
        </w:rPr>
        <w:t xml:space="preserve"> Annual Review of Sociology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37(14), pp. 1-19</w:t>
      </w:r>
    </w:p>
    <w:p w:rsidR="0001718F" w:rsidRPr="00AE09DA" w:rsidRDefault="007F7038" w:rsidP="007437F5">
      <w:pPr>
        <w:autoSpaceDE w:val="0"/>
        <w:autoSpaceDN w:val="0"/>
        <w:adjustRightInd w:val="0"/>
        <w:spacing w:after="0" w:line="240" w:lineRule="auto"/>
        <w:ind w:hanging="720"/>
        <w:rPr>
          <w:rFonts w:ascii="Garamond" w:hAnsi="Garamond" w:cs="Garamond"/>
          <w:sz w:val="24"/>
          <w:szCs w:val="24"/>
          <w:shd w:val="clear" w:color="auto" w:fill="FFFFFF"/>
        </w:rPr>
      </w:pPr>
      <w:r>
        <w:rPr>
          <w:rFonts w:ascii="Garamond" w:hAnsi="Garamond" w:cs="Garamond"/>
          <w:sz w:val="24"/>
          <w:szCs w:val="24"/>
        </w:rPr>
        <w:t xml:space="preserve">Jevtic, A. (2014, forthcoming) </w:t>
      </w:r>
      <w:r>
        <w:rPr>
          <w:rFonts w:ascii="Garamond" w:hAnsi="Garamond" w:cs="Garamond"/>
          <w:i/>
          <w:sz w:val="24"/>
          <w:szCs w:val="24"/>
        </w:rPr>
        <w:t>Muslim Boycott Movements in S</w:t>
      </w:r>
      <w:r w:rsidR="00AE09DA">
        <w:rPr>
          <w:rFonts w:ascii="Garamond" w:hAnsi="Garamond" w:cs="Garamond"/>
          <w:i/>
          <w:sz w:val="24"/>
          <w:szCs w:val="24"/>
        </w:rPr>
        <w:t>arajeveo and Tower Hamlets, London</w:t>
      </w:r>
      <w:r w:rsidR="00AE09DA">
        <w:rPr>
          <w:rFonts w:ascii="Garamond" w:hAnsi="Garamond" w:cs="Garamond"/>
          <w:sz w:val="24"/>
          <w:szCs w:val="24"/>
        </w:rPr>
        <w:t>, Central European University, unpublished PhD thesis</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lastRenderedPageBreak/>
        <w:t xml:space="preserve">John, A. and Klein, J. (2003) ‘The Boycott Puzzle: Consumer Motivations for Purchase Sacrifice’, </w:t>
      </w:r>
      <w:r w:rsidRPr="009B6D32">
        <w:rPr>
          <w:rFonts w:ascii="Garamond" w:hAnsi="Garamond" w:cs="Garamond"/>
          <w:i/>
          <w:iCs/>
          <w:sz w:val="24"/>
          <w:szCs w:val="24"/>
          <w:lang w:val="en-US"/>
        </w:rPr>
        <w:t>Management Science</w:t>
      </w:r>
      <w:r w:rsidRPr="009B6D32">
        <w:rPr>
          <w:rFonts w:ascii="Garamond" w:hAnsi="Garamond" w:cs="Garamond"/>
          <w:sz w:val="24"/>
          <w:szCs w:val="24"/>
          <w:lang w:val="en-US"/>
        </w:rPr>
        <w:t>, 49(9), pp. 1169-1209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Kabwe-Segatti, A. and Landau, L. (eds.) (2008) </w:t>
      </w:r>
      <w:r w:rsidRPr="009B6D32">
        <w:rPr>
          <w:rFonts w:ascii="Garamond" w:hAnsi="Garamond" w:cs="Garamond"/>
          <w:i/>
          <w:iCs/>
          <w:sz w:val="24"/>
          <w:szCs w:val="24"/>
        </w:rPr>
        <w:t>Migration in post-apartheid South Africa: challenges and questions to policy makers</w:t>
      </w:r>
      <w:r w:rsidRPr="009B6D32">
        <w:rPr>
          <w:rFonts w:ascii="Garamond" w:hAnsi="Garamond" w:cs="Garamond"/>
          <w:sz w:val="24"/>
          <w:szCs w:val="24"/>
        </w:rPr>
        <w:t>. Report by the French Institute of South Africa and the Forced Migration Studies Programme at Witwatersrand University. Available at: http://www.afd.fr/webdav/site/afd/shared/PUBLICATIONS/RECHERCHE/Archives/Notes-et-documents/38-notes-documents-VA.pdf (Accessed: 15 July 2013)</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Kahan, D. (1999) ‘The Progressive Appropriation of Disgust’ in Bandes, S. A. (ed.) </w:t>
      </w:r>
      <w:r w:rsidRPr="009B6D32">
        <w:rPr>
          <w:rFonts w:ascii="Garamond" w:hAnsi="Garamond" w:cs="Garamond"/>
          <w:i/>
          <w:iCs/>
          <w:sz w:val="24"/>
          <w:szCs w:val="24"/>
        </w:rPr>
        <w:t>The Passions of Law</w:t>
      </w:r>
      <w:r w:rsidRPr="009B6D32">
        <w:rPr>
          <w:rFonts w:ascii="Garamond" w:hAnsi="Garamond" w:cs="Garamond"/>
          <w:sz w:val="24"/>
          <w:szCs w:val="24"/>
        </w:rPr>
        <w:t>. New York: New York University Press, pp. 63–79</w:t>
      </w:r>
    </w:p>
    <w:p w:rsidR="0001718F" w:rsidRPr="008315E7" w:rsidRDefault="0001718F" w:rsidP="0001718F">
      <w:pPr>
        <w:spacing w:after="0" w:line="240" w:lineRule="auto"/>
        <w:ind w:hanging="720"/>
        <w:jc w:val="both"/>
        <w:rPr>
          <w:rFonts w:ascii="Garamond" w:hAnsi="Garamond" w:cs="Arial"/>
          <w:color w:val="000000"/>
          <w:sz w:val="24"/>
          <w:szCs w:val="24"/>
          <w:shd w:val="clear" w:color="auto" w:fill="FFFFFF"/>
        </w:rPr>
      </w:pPr>
      <w:r w:rsidRPr="008315E7">
        <w:rPr>
          <w:rFonts w:ascii="Garamond" w:hAnsi="Garamond" w:cs="AdvP5958"/>
          <w:sz w:val="24"/>
          <w:szCs w:val="24"/>
        </w:rPr>
        <w:t xml:space="preserve">Kaplan, A. (1990) `Working in the archives', </w:t>
      </w:r>
      <w:r w:rsidRPr="008315E7">
        <w:rPr>
          <w:rFonts w:ascii="Garamond" w:hAnsi="Garamond" w:cs="AdvP595D"/>
          <w:i/>
          <w:sz w:val="24"/>
          <w:szCs w:val="24"/>
        </w:rPr>
        <w:t>Yale French Studies</w:t>
      </w:r>
      <w:r>
        <w:rPr>
          <w:rFonts w:ascii="Garamond" w:hAnsi="Garamond" w:cs="AdvP5958"/>
          <w:sz w:val="24"/>
          <w:szCs w:val="24"/>
        </w:rPr>
        <w:t xml:space="preserve">, 77: </w:t>
      </w:r>
      <w:r w:rsidRPr="008315E7">
        <w:rPr>
          <w:rFonts w:ascii="Garamond" w:hAnsi="Garamond" w:cs="AdvP5958"/>
          <w:sz w:val="24"/>
          <w:szCs w:val="24"/>
        </w:rPr>
        <w:t>103</w:t>
      </w:r>
      <w:r w:rsidRPr="00537AEF">
        <w:rPr>
          <w:rFonts w:ascii="Garamond" w:hAnsi="Garamond" w:cs="Arial"/>
          <w:color w:val="000000"/>
          <w:sz w:val="24"/>
          <w:szCs w:val="24"/>
          <w:shd w:val="clear" w:color="auto" w:fill="FFFFFF"/>
        </w:rPr>
        <w:t>–</w:t>
      </w:r>
      <w:r w:rsidRPr="008315E7">
        <w:rPr>
          <w:rFonts w:ascii="Garamond" w:hAnsi="Garamond" w:cs="AdvP5958"/>
          <w:sz w:val="24"/>
          <w:szCs w:val="24"/>
        </w:rPr>
        <w:t>16</w:t>
      </w:r>
    </w:p>
    <w:p w:rsidR="0001718F" w:rsidRPr="009B6D32" w:rsidRDefault="0001718F" w:rsidP="007437F5">
      <w:pPr>
        <w:spacing w:after="0" w:line="240" w:lineRule="auto"/>
        <w:ind w:hanging="720"/>
        <w:jc w:val="both"/>
        <w:rPr>
          <w:rFonts w:ascii="Garamond" w:hAnsi="Garamond" w:cs="Garamond"/>
          <w:i/>
          <w:sz w:val="24"/>
          <w:szCs w:val="24"/>
        </w:rPr>
      </w:pPr>
      <w:r w:rsidRPr="009B6D32">
        <w:rPr>
          <w:rFonts w:ascii="Garamond" w:hAnsi="Garamond" w:cs="Garamond"/>
          <w:sz w:val="24"/>
          <w:szCs w:val="24"/>
        </w:rPr>
        <w:t xml:space="preserve">Katz, C. (1995) "Major/minor: theory, nature, and politics", </w:t>
      </w:r>
      <w:r w:rsidRPr="009B6D32">
        <w:rPr>
          <w:rFonts w:ascii="Garamond" w:hAnsi="Garamond" w:cs="Garamond"/>
          <w:i/>
          <w:sz w:val="24"/>
          <w:szCs w:val="24"/>
        </w:rPr>
        <w:t xml:space="preserve">Annals of the Association of American </w:t>
      </w:r>
    </w:p>
    <w:p w:rsidR="0001718F" w:rsidRPr="009B6D32" w:rsidRDefault="0001718F" w:rsidP="007437F5">
      <w:pPr>
        <w:spacing w:after="0" w:line="240" w:lineRule="auto"/>
        <w:ind w:hanging="720"/>
        <w:jc w:val="both"/>
        <w:rPr>
          <w:rFonts w:ascii="Garamond" w:hAnsi="Garamond" w:cs="Garamond"/>
          <w:i/>
          <w:iCs/>
          <w:sz w:val="24"/>
          <w:szCs w:val="24"/>
        </w:rPr>
      </w:pPr>
      <w:r w:rsidRPr="009B6D32">
        <w:rPr>
          <w:rFonts w:ascii="Garamond" w:hAnsi="Garamond" w:cs="Garamond"/>
          <w:sz w:val="24"/>
          <w:szCs w:val="24"/>
        </w:rPr>
        <w:t xml:space="preserve">Keith, M. (2005) </w:t>
      </w:r>
      <w:r w:rsidRPr="009B6D32">
        <w:rPr>
          <w:rFonts w:ascii="Garamond" w:hAnsi="Garamond" w:cs="Garamond"/>
          <w:i/>
          <w:iCs/>
          <w:sz w:val="24"/>
          <w:szCs w:val="24"/>
        </w:rPr>
        <w:t>After the Cosmopolitan? Multicultural Cities and the Future of Racism.</w:t>
      </w:r>
      <w:r w:rsidRPr="009B6D32">
        <w:rPr>
          <w:rFonts w:ascii="Garamond" w:hAnsi="Garamond" w:cs="Garamond"/>
          <w:sz w:val="24"/>
          <w:szCs w:val="24"/>
        </w:rPr>
        <w:t xml:space="preserve"> London: Routledge</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Kilani, S. (2003) ‘Boycott fever in Jordan’, </w:t>
      </w:r>
      <w:r w:rsidRPr="009B6D32">
        <w:rPr>
          <w:rFonts w:ascii="Garamond" w:hAnsi="Garamond" w:cs="Garamond"/>
          <w:i/>
          <w:iCs/>
          <w:sz w:val="24"/>
          <w:szCs w:val="24"/>
          <w:lang w:val="en-US"/>
        </w:rPr>
        <w:t xml:space="preserve">Middle East Report, </w:t>
      </w:r>
      <w:r w:rsidRPr="009B6D32">
        <w:rPr>
          <w:rFonts w:ascii="Garamond" w:hAnsi="Garamond" w:cs="Garamond"/>
          <w:iCs/>
          <w:sz w:val="24"/>
          <w:szCs w:val="24"/>
          <w:lang w:val="en-US"/>
        </w:rPr>
        <w:t xml:space="preserve">266, </w:t>
      </w:r>
      <w:r w:rsidRPr="009B6D32">
        <w:rPr>
          <w:rFonts w:ascii="Garamond" w:hAnsi="Garamond" w:cs="Garamond"/>
          <w:sz w:val="24"/>
          <w:szCs w:val="24"/>
          <w:lang w:val="en-US"/>
        </w:rPr>
        <w:t>pp. 24-27</w:t>
      </w:r>
    </w:p>
    <w:p w:rsidR="0001718F" w:rsidRPr="009B6D32" w:rsidRDefault="0001718F" w:rsidP="007437F5">
      <w:pPr>
        <w:autoSpaceDE w:val="0"/>
        <w:autoSpaceDN w:val="0"/>
        <w:adjustRightInd w:val="0"/>
        <w:spacing w:after="0" w:line="240" w:lineRule="auto"/>
        <w:ind w:hanging="720"/>
        <w:rPr>
          <w:rFonts w:ascii="Garamond" w:hAnsi="Garamond" w:cs="TimesNewRomanPSMT"/>
          <w:sz w:val="24"/>
          <w:szCs w:val="24"/>
        </w:rPr>
      </w:pPr>
      <w:r w:rsidRPr="009B6D32">
        <w:rPr>
          <w:rFonts w:ascii="Garamond" w:hAnsi="Garamond" w:cs="TimesNewRomanPSMT"/>
          <w:sz w:val="24"/>
          <w:szCs w:val="24"/>
        </w:rPr>
        <w:t>Kilgour, M. (1990)</w:t>
      </w:r>
      <w:r w:rsidRPr="009B6D32">
        <w:rPr>
          <w:rFonts w:ascii="Garamond" w:hAnsi="Garamond" w:cs="TimesNewRomanPSMT"/>
          <w:i/>
          <w:sz w:val="24"/>
          <w:szCs w:val="24"/>
        </w:rPr>
        <w:t xml:space="preserve"> From Communion to Cannibalism: An Anatomy to Metaphors of Incorporation.</w:t>
      </w:r>
      <w:r w:rsidRPr="009B6D32">
        <w:rPr>
          <w:rFonts w:ascii="Garamond" w:hAnsi="Garamond" w:cs="TimesNewRomanPSMT"/>
          <w:sz w:val="24"/>
          <w:szCs w:val="24"/>
        </w:rPr>
        <w:t xml:space="preserve"> New York: Princeton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Kincaid, J. (2000 [1986]) </w:t>
      </w:r>
      <w:r w:rsidRPr="009B6D32">
        <w:rPr>
          <w:rFonts w:ascii="Garamond" w:hAnsi="Garamond" w:cs="Garamond"/>
          <w:i/>
          <w:iCs/>
          <w:sz w:val="24"/>
          <w:szCs w:val="24"/>
        </w:rPr>
        <w:t xml:space="preserve">A Small Place. </w:t>
      </w:r>
      <w:r w:rsidRPr="009B6D32">
        <w:rPr>
          <w:rFonts w:ascii="Garamond" w:hAnsi="Garamond" w:cs="Garamond"/>
          <w:sz w:val="24"/>
          <w:szCs w:val="24"/>
        </w:rPr>
        <w:t>London: Farrar, Straus &amp; Giroux</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Klein, G. (2001) ‘The role of the anti-apartheid organizations in The Netherlands 1960-1995’ </w:t>
      </w:r>
      <w:r w:rsidRPr="009B6D32">
        <w:rPr>
          <w:rFonts w:ascii="Garamond" w:hAnsi="Garamond" w:cs="Garamond"/>
          <w:iCs/>
          <w:sz w:val="24"/>
          <w:szCs w:val="24"/>
        </w:rPr>
        <w:t>Unpublished MA Thesis. University of Pretoria</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Klein, J., Smith, N. and John, A. (2003) ‘Consumer Motivations for Boycott Participation: A Field Study’, </w:t>
      </w:r>
      <w:r w:rsidRPr="009B6D32">
        <w:rPr>
          <w:rFonts w:ascii="Garamond" w:hAnsi="Garamond" w:cs="Garamond"/>
          <w:i/>
          <w:iCs/>
          <w:sz w:val="24"/>
          <w:szCs w:val="24"/>
          <w:lang w:val="en-US"/>
        </w:rPr>
        <w:t>European Advances in Consumer Research</w:t>
      </w:r>
      <w:r w:rsidRPr="009B6D32">
        <w:rPr>
          <w:rFonts w:ascii="Garamond" w:hAnsi="Garamond" w:cs="Garamond"/>
          <w:i/>
          <w:sz w:val="24"/>
          <w:szCs w:val="24"/>
          <w:lang w:val="en-US"/>
        </w:rPr>
        <w:t xml:space="preserve">, </w:t>
      </w:r>
      <w:r w:rsidRPr="009B6D32">
        <w:rPr>
          <w:rFonts w:ascii="Garamond" w:hAnsi="Garamond" w:cs="Garamond"/>
          <w:sz w:val="24"/>
          <w:szCs w:val="24"/>
          <w:lang w:val="en-US"/>
        </w:rPr>
        <w:t>6, pp. 359</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Klein, N. (2000) </w:t>
      </w:r>
      <w:r w:rsidRPr="009B6D32">
        <w:rPr>
          <w:rFonts w:ascii="Garamond" w:hAnsi="Garamond" w:cs="Garamond"/>
          <w:i/>
          <w:iCs/>
          <w:sz w:val="24"/>
          <w:szCs w:val="24"/>
        </w:rPr>
        <w:t xml:space="preserve">No Logo. </w:t>
      </w:r>
      <w:r w:rsidRPr="009B6D32">
        <w:rPr>
          <w:rFonts w:ascii="Garamond" w:hAnsi="Garamond" w:cs="Garamond"/>
          <w:sz w:val="24"/>
          <w:szCs w:val="24"/>
        </w:rPr>
        <w:t>London: Flamingo</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Klotz, A. (2000) ‘Migration after Apartheid: Deracialising South African Foreign Policy’, </w:t>
      </w:r>
      <w:r w:rsidRPr="009B6D32">
        <w:rPr>
          <w:rFonts w:ascii="Garamond" w:hAnsi="Garamond" w:cs="Garamond"/>
          <w:i/>
          <w:sz w:val="24"/>
          <w:szCs w:val="24"/>
        </w:rPr>
        <w:t>Third World Quarterly</w:t>
      </w:r>
      <w:r w:rsidRPr="009B6D32">
        <w:rPr>
          <w:rFonts w:ascii="Garamond" w:hAnsi="Garamond" w:cs="Garamond"/>
          <w:sz w:val="24"/>
          <w:szCs w:val="24"/>
        </w:rPr>
        <w:t>, 21(5), pp. 831-847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Knights, D. and Thanem, T. (2005) 'Embodying Emotional Labour', in Morgan, D.,Brandth, B. and Kvande. E. (eds.), </w:t>
      </w:r>
      <w:r w:rsidRPr="009B6D32">
        <w:rPr>
          <w:rFonts w:ascii="Garamond" w:hAnsi="Garamond" w:cs="Garamond"/>
          <w:i/>
          <w:sz w:val="24"/>
          <w:szCs w:val="24"/>
        </w:rPr>
        <w:t xml:space="preserve">Gender, Bodies and Work,  pp31-44. </w:t>
      </w:r>
      <w:r w:rsidRPr="009B6D32">
        <w:rPr>
          <w:rFonts w:ascii="Garamond" w:hAnsi="Garamond" w:cs="Garamond"/>
          <w:sz w:val="24"/>
          <w:szCs w:val="24"/>
        </w:rPr>
        <w:t>Farnham: Ashgate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Koopman, S. (2008) 'Imperialism within: Can the master's tools bring down empire? </w:t>
      </w:r>
      <w:r w:rsidRPr="009B6D32">
        <w:rPr>
          <w:rFonts w:ascii="Garamond" w:hAnsi="Garamond" w:cs="Garamond"/>
          <w:i/>
          <w:sz w:val="24"/>
          <w:szCs w:val="24"/>
        </w:rPr>
        <w:t xml:space="preserve">ACME, </w:t>
      </w:r>
      <w:r w:rsidRPr="009B6D32">
        <w:rPr>
          <w:rFonts w:ascii="Garamond" w:hAnsi="Garamond" w:cs="Garamond"/>
          <w:sz w:val="24"/>
          <w:szCs w:val="24"/>
        </w:rPr>
        <w:t>7 (2), pp. 283-307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Kopytoff, I. (1986) </w:t>
      </w:r>
      <w:r w:rsidRPr="009B6D32">
        <w:rPr>
          <w:rFonts w:ascii="Garamond" w:hAnsi="Garamond" w:cs="Garamond"/>
          <w:i/>
          <w:iCs/>
          <w:sz w:val="24"/>
          <w:szCs w:val="24"/>
          <w:lang w:val="en-US"/>
        </w:rPr>
        <w:t xml:space="preserve">The Social Life of Things. </w:t>
      </w:r>
      <w:r w:rsidRPr="009B6D32">
        <w:rPr>
          <w:rFonts w:ascii="Garamond" w:hAnsi="Garamond" w:cs="Garamond"/>
          <w:sz w:val="24"/>
          <w:szCs w:val="24"/>
          <w:lang w:val="en-US"/>
        </w:rPr>
        <w:t>Cambridge: Cambridge University Press</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Korf, B. (2007) ‘Antinomies of Generosity: Moral Geographies and Post-Tsunami Aid in South East Asia’, </w:t>
      </w:r>
      <w:r w:rsidRPr="009B6D32">
        <w:rPr>
          <w:rFonts w:ascii="Garamond" w:hAnsi="Garamond" w:cs="Garamond"/>
          <w:i/>
          <w:sz w:val="24"/>
          <w:szCs w:val="24"/>
        </w:rPr>
        <w:t>Geoforum</w:t>
      </w:r>
      <w:r w:rsidRPr="009B6D32">
        <w:rPr>
          <w:rFonts w:ascii="Garamond" w:hAnsi="Garamond" w:cs="Garamond"/>
          <w:sz w:val="24"/>
          <w:szCs w:val="24"/>
        </w:rPr>
        <w:t>, 38(2), pp. 366-378</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Kozinets, R. (2002) ‘Can Consumers Escape the Market? Emancipatory illuminations from Burning Man’ </w:t>
      </w:r>
      <w:r w:rsidRPr="009B6D32">
        <w:rPr>
          <w:rFonts w:ascii="Garamond" w:hAnsi="Garamond" w:cs="Garamond"/>
          <w:i/>
          <w:iCs/>
          <w:sz w:val="24"/>
          <w:szCs w:val="24"/>
        </w:rPr>
        <w:t>Journal of Consumer Research</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29(1) pp. 20-38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Kozinets, R. and Handelman, J. (1998) ‘Ensouling Consumption: A Netnographic Exploration of Boycotting Behaviour’, </w:t>
      </w:r>
      <w:r w:rsidRPr="009B6D32">
        <w:rPr>
          <w:rFonts w:ascii="Garamond" w:hAnsi="Garamond" w:cs="Garamond"/>
          <w:i/>
          <w:iCs/>
          <w:sz w:val="24"/>
          <w:szCs w:val="24"/>
          <w:lang w:val="en-US"/>
        </w:rPr>
        <w:t>Advances in Consumer Research</w:t>
      </w:r>
      <w:r w:rsidRPr="009B6D32">
        <w:rPr>
          <w:rFonts w:ascii="Garamond" w:hAnsi="Garamond" w:cs="Garamond"/>
          <w:iCs/>
          <w:sz w:val="24"/>
          <w:szCs w:val="24"/>
          <w:lang w:val="en-US"/>
        </w:rPr>
        <w:t>, 25(1), pp.475-480</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Kozinets, R. and Handelman, J. (2002) ‘Adversaries of consumption: consumer movements, activism and ideology’, </w:t>
      </w:r>
      <w:r w:rsidRPr="009B6D32">
        <w:rPr>
          <w:rFonts w:ascii="Garamond" w:hAnsi="Garamond" w:cs="Garamond"/>
          <w:i/>
          <w:iCs/>
          <w:sz w:val="24"/>
          <w:szCs w:val="24"/>
          <w:lang w:val="en-US"/>
        </w:rPr>
        <w:t>Journal of Consumer Research</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28(1), pp. 67-88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Kraftl, P. (2008) ‘Young People, Hope, and Childhood Hope’, </w:t>
      </w:r>
      <w:r w:rsidRPr="009B6D32">
        <w:rPr>
          <w:rFonts w:ascii="Garamond" w:hAnsi="Garamond" w:cs="Garamond"/>
          <w:i/>
          <w:iCs/>
          <w:sz w:val="24"/>
          <w:szCs w:val="24"/>
          <w:lang w:val="en-US"/>
        </w:rPr>
        <w:t>Space &amp; Culture</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11(2), pp. 81-92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Krier, J-M. (2007) </w:t>
      </w:r>
      <w:r w:rsidRPr="009B6D32">
        <w:rPr>
          <w:rFonts w:ascii="Garamond" w:hAnsi="Garamond" w:cs="Garamond"/>
          <w:i/>
          <w:sz w:val="24"/>
          <w:szCs w:val="24"/>
        </w:rPr>
        <w:t>Fair Trade 2007: new facts and figures from an ongoing success story. A report on Fair Trade in 33 consumer countries</w:t>
      </w:r>
      <w:r w:rsidRPr="009B6D32">
        <w:rPr>
          <w:rFonts w:ascii="Garamond" w:hAnsi="Garamond" w:cs="Garamond"/>
          <w:sz w:val="24"/>
          <w:szCs w:val="24"/>
        </w:rPr>
        <w:t xml:space="preserve"> [Online]. Available at http://www.european-fair-trade-association.org/efta/Doc/FT-E-2007.pdf (Accessed 4 April 2012).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Kristeva, J. (1984) </w:t>
      </w:r>
      <w:r w:rsidRPr="009B6D32">
        <w:rPr>
          <w:rFonts w:ascii="Garamond" w:hAnsi="Garamond" w:cs="Garamond"/>
          <w:i/>
          <w:iCs/>
          <w:sz w:val="24"/>
          <w:szCs w:val="24"/>
          <w:lang w:val="en-US"/>
        </w:rPr>
        <w:t xml:space="preserve">Powers of Horror: An Essay on Abjection. </w:t>
      </w:r>
      <w:r w:rsidRPr="009B6D32">
        <w:rPr>
          <w:rFonts w:ascii="Garamond" w:hAnsi="Garamond" w:cs="Garamond"/>
          <w:sz w:val="24"/>
          <w:szCs w:val="24"/>
          <w:lang w:val="en-US"/>
        </w:rPr>
        <w:t>New York: Columbia University Press</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Kritikos, A. and Bolle, F. (2004) ‘Punishment as a public good. When should monopolists care about a consumer boycott?’, </w:t>
      </w:r>
      <w:r w:rsidRPr="009B6D32">
        <w:rPr>
          <w:rFonts w:ascii="Garamond" w:hAnsi="Garamond" w:cs="Garamond"/>
          <w:i/>
          <w:iCs/>
          <w:sz w:val="24"/>
          <w:szCs w:val="24"/>
          <w:lang w:val="en-US"/>
        </w:rPr>
        <w:t xml:space="preserve">Journal of Economic Psychology, </w:t>
      </w:r>
      <w:r w:rsidRPr="009B6D32">
        <w:rPr>
          <w:rFonts w:ascii="Garamond" w:hAnsi="Garamond" w:cs="Garamond"/>
          <w:sz w:val="24"/>
          <w:szCs w:val="24"/>
          <w:lang w:val="en-US"/>
        </w:rPr>
        <w:t>25(3), pp. 355-372</w:t>
      </w:r>
      <w:r w:rsidRPr="009B6D32">
        <w:rPr>
          <w:rFonts w:ascii="Garamond" w:hAnsi="Garamond" w:cs="Garamond"/>
          <w:i/>
          <w:iCs/>
          <w:sz w:val="24"/>
          <w:szCs w:val="24"/>
          <w:lang w:val="en-US"/>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rPr>
        <w:t xml:space="preserve">Kruger, S. and du Troit, A. (2007) 'Reconstructing Fairness: Fair Trade Conventions and Worker Empowerment in South African Horticulture', in Raynolds, L., Murray, D. and Wilkinson, J. (eds.) </w:t>
      </w:r>
      <w:r w:rsidRPr="009B6D32">
        <w:rPr>
          <w:rFonts w:ascii="Garamond" w:hAnsi="Garamond" w:cs="Garamond"/>
          <w:i/>
          <w:iCs/>
          <w:sz w:val="24"/>
          <w:szCs w:val="24"/>
        </w:rPr>
        <w:t xml:space="preserve">Fair Trade: The Challenges of Transforming Globalization. </w:t>
      </w:r>
      <w:r w:rsidRPr="009B6D32">
        <w:rPr>
          <w:rFonts w:ascii="Garamond" w:hAnsi="Garamond" w:cs="Garamond"/>
          <w:sz w:val="24"/>
          <w:szCs w:val="24"/>
        </w:rPr>
        <w:t>Abingdon: Routledge, pp. 200-221</w:t>
      </w:r>
    </w:p>
    <w:p w:rsidR="0001718F" w:rsidRPr="009B6D32" w:rsidRDefault="0001718F" w:rsidP="007437F5">
      <w:pPr>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Kulchyski, P. (1992) ‘Primitive subversions: Totalization and Resistance in Native Canadian Politics, </w:t>
      </w:r>
      <w:r w:rsidRPr="009B6D32">
        <w:rPr>
          <w:rFonts w:ascii="Garamond" w:hAnsi="Garamond" w:cs="Garamond"/>
          <w:i/>
          <w:iCs/>
          <w:sz w:val="24"/>
          <w:szCs w:val="24"/>
          <w:lang w:val="en-US"/>
        </w:rPr>
        <w:t>Cultural Critique</w:t>
      </w:r>
      <w:r w:rsidRPr="009B6D32">
        <w:rPr>
          <w:rFonts w:ascii="Garamond" w:hAnsi="Garamond" w:cs="Garamond"/>
          <w:iCs/>
          <w:sz w:val="24"/>
          <w:szCs w:val="24"/>
          <w:lang w:val="en-US"/>
        </w:rPr>
        <w:t>, 21, pp.</w:t>
      </w:r>
      <w:r w:rsidRPr="009B6D32">
        <w:rPr>
          <w:rFonts w:ascii="Garamond" w:hAnsi="Garamond" w:cs="Garamond"/>
          <w:sz w:val="24"/>
          <w:szCs w:val="24"/>
          <w:lang w:val="en-US"/>
        </w:rPr>
        <w:t>171 -195</w:t>
      </w:r>
    </w:p>
    <w:p w:rsidR="0001718F" w:rsidRPr="009B6D32" w:rsidRDefault="0001718F" w:rsidP="007437F5">
      <w:pPr>
        <w:spacing w:after="0" w:line="240" w:lineRule="auto"/>
        <w:ind w:hanging="720"/>
        <w:jc w:val="both"/>
        <w:rPr>
          <w:rFonts w:ascii="Garamond" w:hAnsi="Garamond" w:cs="Garamond"/>
          <w:iCs/>
          <w:sz w:val="24"/>
          <w:szCs w:val="24"/>
          <w:lang w:val="en-US"/>
        </w:rPr>
      </w:pPr>
      <w:r w:rsidRPr="009B6D32">
        <w:rPr>
          <w:rFonts w:ascii="Garamond" w:hAnsi="Garamond" w:cs="Garamond"/>
          <w:sz w:val="24"/>
          <w:szCs w:val="24"/>
          <w:lang w:val="en-US"/>
        </w:rPr>
        <w:t xml:space="preserve">Kulchyski, P. (2006) </w:t>
      </w:r>
      <w:r w:rsidRPr="009B6D32">
        <w:rPr>
          <w:rFonts w:ascii="Garamond" w:hAnsi="Garamond" w:cs="Garamond"/>
          <w:sz w:val="24"/>
          <w:szCs w:val="24"/>
        </w:rPr>
        <w:t>‘</w:t>
      </w:r>
      <w:r w:rsidRPr="009B6D32">
        <w:rPr>
          <w:rFonts w:ascii="Garamond" w:hAnsi="Garamond" w:cs="Garamond"/>
          <w:sz w:val="24"/>
          <w:szCs w:val="24"/>
          <w:lang w:val="en-US"/>
        </w:rPr>
        <w:t>Six gestures</w:t>
      </w:r>
      <w:r w:rsidRPr="009B6D32">
        <w:rPr>
          <w:rFonts w:ascii="Garamond" w:hAnsi="Garamond" w:cs="Garamond"/>
          <w:sz w:val="24"/>
          <w:szCs w:val="24"/>
        </w:rPr>
        <w:t>’</w:t>
      </w:r>
      <w:r w:rsidRPr="009B6D32">
        <w:rPr>
          <w:rFonts w:ascii="Garamond" w:hAnsi="Garamond" w:cs="Garamond"/>
          <w:sz w:val="24"/>
          <w:szCs w:val="24"/>
          <w:lang w:val="en-US"/>
        </w:rPr>
        <w:t xml:space="preserve"> in Stern, P. and Stevenson, L. </w:t>
      </w:r>
      <w:r w:rsidRPr="009B6D32">
        <w:rPr>
          <w:rFonts w:ascii="Garamond" w:hAnsi="Garamond" w:cs="Garamond"/>
          <w:i/>
          <w:iCs/>
          <w:sz w:val="24"/>
          <w:szCs w:val="24"/>
          <w:lang w:val="en-US"/>
        </w:rPr>
        <w:t>Critical Inuit Studies: An Anthology of Contemporary Arctic Ethnography</w:t>
      </w:r>
      <w:r w:rsidRPr="009B6D32">
        <w:rPr>
          <w:rFonts w:ascii="Garamond" w:hAnsi="Garamond" w:cs="Garamond"/>
          <w:iCs/>
          <w:sz w:val="24"/>
          <w:szCs w:val="24"/>
          <w:lang w:val="en-US"/>
        </w:rPr>
        <w:t>, Lincoln, NE: University of Nebraska Press</w:t>
      </w:r>
    </w:p>
    <w:p w:rsidR="0001718F" w:rsidRPr="009B6D32" w:rsidRDefault="0001718F" w:rsidP="007437F5">
      <w:pPr>
        <w:spacing w:after="0" w:line="240" w:lineRule="auto"/>
        <w:ind w:hanging="720"/>
        <w:jc w:val="both"/>
        <w:rPr>
          <w:rFonts w:ascii="Garamond" w:hAnsi="Garamond" w:cs="Garamond"/>
          <w:iCs/>
          <w:sz w:val="24"/>
          <w:szCs w:val="24"/>
          <w:lang w:val="en-US"/>
        </w:rPr>
      </w:pPr>
      <w:r w:rsidRPr="009B6D32">
        <w:rPr>
          <w:rFonts w:ascii="Garamond" w:hAnsi="Garamond" w:cs="Garamond"/>
          <w:iCs/>
          <w:sz w:val="24"/>
          <w:szCs w:val="24"/>
          <w:lang w:val="en-US"/>
        </w:rPr>
        <w:lastRenderedPageBreak/>
        <w:t xml:space="preserve">Kunene, M (1975) 'Europe', in </w:t>
      </w:r>
      <w:r w:rsidRPr="009B6D32">
        <w:rPr>
          <w:rStyle w:val="Emphasis"/>
          <w:rFonts w:ascii="Garamond" w:hAnsi="Garamond" w:cs="Arial"/>
          <w:bCs/>
          <w:sz w:val="24"/>
          <w:szCs w:val="24"/>
          <w:shd w:val="clear" w:color="auto" w:fill="FFFFFF"/>
        </w:rPr>
        <w:t>Soyinka, W</w:t>
      </w:r>
      <w:r w:rsidRPr="009B6D32">
        <w:rPr>
          <w:rStyle w:val="apple-converted-space"/>
          <w:rFonts w:ascii="Garamond" w:hAnsi="Garamond" w:cs="Arial"/>
          <w:sz w:val="24"/>
          <w:szCs w:val="24"/>
          <w:shd w:val="clear" w:color="auto" w:fill="FFFFFF"/>
        </w:rPr>
        <w:t> </w:t>
      </w:r>
      <w:r w:rsidRPr="009B6D32">
        <w:rPr>
          <w:rStyle w:val="ft"/>
          <w:rFonts w:ascii="Garamond" w:hAnsi="Garamond" w:cs="Arial"/>
          <w:sz w:val="24"/>
          <w:szCs w:val="24"/>
          <w:shd w:val="clear" w:color="auto" w:fill="FFFFFF"/>
        </w:rPr>
        <w:t xml:space="preserve">(Ed.), </w:t>
      </w:r>
      <w:r w:rsidRPr="009B6D32">
        <w:rPr>
          <w:rStyle w:val="ft"/>
          <w:rFonts w:ascii="Garamond" w:hAnsi="Garamond" w:cs="Arial"/>
          <w:i/>
          <w:sz w:val="24"/>
          <w:szCs w:val="24"/>
          <w:shd w:val="clear" w:color="auto" w:fill="FFFFFF"/>
        </w:rPr>
        <w:t>Poems of Black Africa</w:t>
      </w:r>
      <w:r w:rsidRPr="009B6D32">
        <w:rPr>
          <w:rStyle w:val="ft"/>
          <w:rFonts w:ascii="Garamond" w:hAnsi="Garamond" w:cs="Arial"/>
          <w:sz w:val="24"/>
          <w:szCs w:val="24"/>
          <w:shd w:val="clear" w:color="auto" w:fill="FFFFFF"/>
        </w:rPr>
        <w:t>. Ibadan: Heinemann, pp. 20</w:t>
      </w:r>
    </w:p>
    <w:p w:rsidR="0001718F" w:rsidRPr="009B6D32" w:rsidRDefault="0001718F" w:rsidP="007437F5">
      <w:pPr>
        <w:spacing w:after="0" w:line="240" w:lineRule="auto"/>
        <w:ind w:hanging="720"/>
        <w:jc w:val="both"/>
        <w:rPr>
          <w:rFonts w:ascii="Garamond" w:hAnsi="Garamond" w:cs="Garamond"/>
          <w:iCs/>
          <w:sz w:val="24"/>
          <w:szCs w:val="24"/>
          <w:lang w:val="en-US"/>
        </w:rPr>
      </w:pPr>
      <w:r w:rsidRPr="009B6D32">
        <w:rPr>
          <w:rFonts w:ascii="Garamond" w:hAnsi="Garamond" w:cs="Garamond"/>
          <w:iCs/>
          <w:sz w:val="24"/>
          <w:szCs w:val="24"/>
          <w:lang w:val="en-US"/>
        </w:rPr>
        <w:t xml:space="preserve">Kwame, A., Bunzl, M. and Bales, K. (2007) </w:t>
      </w:r>
      <w:r w:rsidRPr="009B6D32">
        <w:rPr>
          <w:rFonts w:ascii="Garamond" w:hAnsi="Garamond" w:cs="Garamond"/>
          <w:i/>
          <w:iCs/>
          <w:sz w:val="24"/>
          <w:szCs w:val="24"/>
          <w:lang w:val="en-US"/>
        </w:rPr>
        <w:t>Buying Freedom: The Ethics and Economics of Slave Redemption</w:t>
      </w:r>
      <w:r w:rsidRPr="009B6D32">
        <w:rPr>
          <w:rFonts w:ascii="Garamond" w:hAnsi="Garamond" w:cs="Garamond"/>
          <w:iCs/>
          <w:sz w:val="24"/>
          <w:szCs w:val="24"/>
          <w:lang w:val="en-US"/>
        </w:rPr>
        <w:t>. Princeton: Princeton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La Guma, A. (1971) </w:t>
      </w:r>
      <w:r w:rsidRPr="009B6D32">
        <w:rPr>
          <w:rFonts w:ascii="Garamond" w:hAnsi="Garamond" w:cs="Garamond"/>
          <w:i/>
          <w:iCs/>
          <w:sz w:val="24"/>
          <w:szCs w:val="24"/>
          <w:lang w:val="en-US"/>
        </w:rPr>
        <w:t>Apartheid: A Collection of Writings on South African Racism by South Africans.</w:t>
      </w:r>
      <w:r w:rsidRPr="009B6D32">
        <w:rPr>
          <w:rFonts w:ascii="Garamond" w:hAnsi="Garamond" w:cs="Garamond"/>
          <w:sz w:val="24"/>
          <w:szCs w:val="24"/>
          <w:lang w:val="en-US"/>
        </w:rPr>
        <w:t xml:space="preserve"> Berlin: Seven Seas Books</w:t>
      </w:r>
    </w:p>
    <w:p w:rsidR="0001718F" w:rsidRPr="009B6D32" w:rsidRDefault="0001718F" w:rsidP="007437F5">
      <w:pPr>
        <w:spacing w:after="0" w:line="240" w:lineRule="auto"/>
        <w:ind w:hanging="720"/>
        <w:jc w:val="both"/>
        <w:rPr>
          <w:rFonts w:ascii="Garamond" w:hAnsi="Garamond" w:cs="Garamond"/>
          <w:i/>
          <w:iCs/>
          <w:sz w:val="24"/>
          <w:szCs w:val="24"/>
          <w:lang w:val="en-US"/>
        </w:rPr>
      </w:pPr>
      <w:r w:rsidRPr="009B6D32">
        <w:rPr>
          <w:rFonts w:ascii="Garamond" w:hAnsi="Garamond" w:cs="Garamond"/>
          <w:sz w:val="24"/>
          <w:szCs w:val="24"/>
          <w:lang w:val="en-US"/>
        </w:rPr>
        <w:t xml:space="preserve">Laidler, H. (1913) </w:t>
      </w:r>
      <w:r w:rsidRPr="009B6D32">
        <w:rPr>
          <w:rFonts w:ascii="Garamond" w:hAnsi="Garamond" w:cs="Garamond"/>
          <w:i/>
          <w:iCs/>
          <w:sz w:val="24"/>
          <w:szCs w:val="24"/>
          <w:lang w:val="en-US"/>
        </w:rPr>
        <w:t xml:space="preserve">Boycotts and Labour Struggle. </w:t>
      </w:r>
      <w:r w:rsidRPr="009B6D32">
        <w:rPr>
          <w:rFonts w:ascii="Garamond" w:hAnsi="Garamond" w:cs="Garamond"/>
          <w:sz w:val="24"/>
          <w:szCs w:val="24"/>
          <w:lang w:val="en-US"/>
        </w:rPr>
        <w:t>New York: Russell and Russell</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Lakha, S. (2002) ‘From Swadeshi to globalisation: The Bharatiya Janata Party</w:t>
      </w:r>
      <w:r w:rsidRPr="009B6D32">
        <w:rPr>
          <w:rFonts w:ascii="Garamond" w:hAnsi="Garamond" w:cs="Garamond"/>
          <w:sz w:val="24"/>
          <w:szCs w:val="24"/>
        </w:rPr>
        <w:t>’</w:t>
      </w:r>
      <w:r w:rsidRPr="009B6D32">
        <w:rPr>
          <w:rFonts w:ascii="Garamond" w:hAnsi="Garamond" w:cs="Garamond"/>
          <w:sz w:val="24"/>
          <w:szCs w:val="24"/>
          <w:lang w:val="en-US"/>
        </w:rPr>
        <w:t xml:space="preserve">s shifting economic agenda’, </w:t>
      </w:r>
      <w:r w:rsidRPr="009B6D32">
        <w:rPr>
          <w:rFonts w:ascii="Garamond" w:hAnsi="Garamond" w:cs="Garamond"/>
          <w:i/>
          <w:iCs/>
          <w:sz w:val="24"/>
          <w:szCs w:val="24"/>
          <w:lang w:val="en-US"/>
        </w:rPr>
        <w:t>Journal of South Asian Studies</w:t>
      </w:r>
      <w:r w:rsidRPr="009B6D32">
        <w:rPr>
          <w:rFonts w:ascii="Garamond" w:hAnsi="Garamond" w:cs="Garamond"/>
          <w:sz w:val="24"/>
          <w:szCs w:val="24"/>
          <w:lang w:val="en-US"/>
        </w:rPr>
        <w:t>, 25(3), pp. 83-103</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Lambert, D. (2005) </w:t>
      </w:r>
      <w:r w:rsidRPr="009B6D32">
        <w:rPr>
          <w:rFonts w:ascii="Garamond" w:hAnsi="Garamond" w:cs="Garamond"/>
          <w:i/>
          <w:iCs/>
          <w:sz w:val="24"/>
          <w:szCs w:val="24"/>
        </w:rPr>
        <w:t>White Creole Culture, Politics and Identity during the Age of Abolition</w:t>
      </w:r>
      <w:r w:rsidRPr="009B6D32">
        <w:rPr>
          <w:rFonts w:ascii="Garamond" w:hAnsi="Garamond" w:cs="Garamond"/>
          <w:sz w:val="24"/>
          <w:szCs w:val="24"/>
        </w:rPr>
        <w:t>. New York, Cambridge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Lambert, D. (2008) ‘Review essay: The Atlantic World – Modernity, Colonialism and Slavery’, </w:t>
      </w:r>
      <w:r w:rsidRPr="009B6D32">
        <w:rPr>
          <w:rFonts w:ascii="Garamond" w:hAnsi="Garamond" w:cs="Garamond"/>
          <w:i/>
          <w:iCs/>
          <w:sz w:val="24"/>
          <w:szCs w:val="24"/>
        </w:rPr>
        <w:t>Cultural Geographies</w:t>
      </w:r>
      <w:r w:rsidRPr="009B6D32">
        <w:rPr>
          <w:rFonts w:ascii="Garamond" w:hAnsi="Garamond" w:cs="Garamond"/>
          <w:iCs/>
          <w:sz w:val="24"/>
          <w:szCs w:val="24"/>
        </w:rPr>
        <w:t xml:space="preserve">, </w:t>
      </w:r>
      <w:r w:rsidRPr="009B6D32">
        <w:rPr>
          <w:rFonts w:ascii="Garamond" w:hAnsi="Garamond" w:cs="Garamond"/>
          <w:sz w:val="24"/>
          <w:szCs w:val="24"/>
        </w:rPr>
        <w:t>15(2), pp. 271-280</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Lambert, D. (2011) 'Afterword: Critical Geographies of Slavery', </w:t>
      </w:r>
      <w:r w:rsidRPr="009B6D32">
        <w:rPr>
          <w:rFonts w:ascii="Garamond" w:hAnsi="Garamond" w:cs="Garamond"/>
          <w:i/>
          <w:sz w:val="24"/>
          <w:szCs w:val="24"/>
          <w:lang w:val="en-US"/>
        </w:rPr>
        <w:t xml:space="preserve">Historical Geography, </w:t>
      </w:r>
      <w:r w:rsidRPr="009B6D32">
        <w:rPr>
          <w:rFonts w:ascii="Garamond" w:hAnsi="Garamond" w:cs="Garamond"/>
          <w:sz w:val="24"/>
          <w:szCs w:val="24"/>
          <w:lang w:val="en-US"/>
        </w:rPr>
        <w:t>39, pp.174-181</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Lambert, D. and Lester, A. (2004) ‘Geographies of colonial philanthropy’, </w:t>
      </w:r>
      <w:r w:rsidRPr="009B6D32">
        <w:rPr>
          <w:rFonts w:ascii="Garamond" w:hAnsi="Garamond" w:cs="Garamond"/>
          <w:i/>
          <w:iCs/>
          <w:sz w:val="24"/>
          <w:szCs w:val="24"/>
          <w:lang w:val="en-US"/>
        </w:rPr>
        <w:t xml:space="preserve">Progress in Human Geography, </w:t>
      </w:r>
      <w:r w:rsidRPr="009B6D32">
        <w:rPr>
          <w:rFonts w:ascii="Garamond" w:hAnsi="Garamond" w:cs="Garamond"/>
          <w:sz w:val="24"/>
          <w:szCs w:val="24"/>
          <w:lang w:val="en-US"/>
        </w:rPr>
        <w:t>28(3), pp. 320-34</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Lamberts, H. (1975) '</w:t>
      </w:r>
      <w:r w:rsidRPr="009B6D32">
        <w:rPr>
          <w:rFonts w:ascii="Garamond" w:hAnsi="Garamond"/>
          <w:sz w:val="24"/>
          <w:szCs w:val="24"/>
        </w:rPr>
        <w:t xml:space="preserve"> Emigreren naar Zuid Afrika betekent apartheid steunen', </w:t>
      </w:r>
      <w:r w:rsidRPr="009B6D32">
        <w:rPr>
          <w:rFonts w:ascii="Garamond" w:hAnsi="Garamond"/>
          <w:i/>
          <w:sz w:val="24"/>
          <w:szCs w:val="24"/>
        </w:rPr>
        <w:t xml:space="preserve">De Nieuwe Linie, </w:t>
      </w:r>
      <w:r w:rsidRPr="009B6D32">
        <w:rPr>
          <w:rFonts w:ascii="Garamond" w:hAnsi="Garamond"/>
          <w:sz w:val="24"/>
          <w:szCs w:val="24"/>
        </w:rPr>
        <w:t>19 March 1975</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lang w:val="en-US"/>
        </w:rPr>
        <w:t xml:space="preserve">Lang, T. and Gabriel, Y. (2005) ‘A Brief History of Consumer Activism’, in Harrison, R., Newholm, T. and Shaw, D (eds.) </w:t>
      </w:r>
      <w:r w:rsidRPr="009B6D32">
        <w:rPr>
          <w:rFonts w:ascii="Garamond" w:hAnsi="Garamond" w:cs="Garamond"/>
          <w:i/>
          <w:iCs/>
          <w:sz w:val="24"/>
          <w:szCs w:val="24"/>
          <w:lang w:val="en-US"/>
        </w:rPr>
        <w:t xml:space="preserve">The Ethical Consumer. </w:t>
      </w:r>
      <w:r w:rsidRPr="009B6D32">
        <w:rPr>
          <w:rFonts w:ascii="Garamond" w:hAnsi="Garamond" w:cs="Garamond"/>
          <w:sz w:val="24"/>
          <w:szCs w:val="24"/>
          <w:lang w:val="en-US"/>
        </w:rPr>
        <w:t>London: Sage, pp. 39-52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kern w:val="28"/>
          <w:sz w:val="24"/>
          <w:szCs w:val="24"/>
          <w:lang w:eastAsia="en-GB"/>
        </w:rPr>
        <w:t xml:space="preserve">Langman, L. (2006) ‘From virtual public spheres to global justice: A critical theory of internetworked social movements’. </w:t>
      </w:r>
      <w:r w:rsidRPr="009B6D32">
        <w:rPr>
          <w:rFonts w:ascii="Garamond" w:hAnsi="Garamond" w:cs="Garamond"/>
          <w:iCs/>
          <w:kern w:val="28"/>
          <w:sz w:val="24"/>
          <w:szCs w:val="24"/>
          <w:lang w:eastAsia="en-GB"/>
        </w:rPr>
        <w:t>Unpublished Paper.</w:t>
      </w:r>
      <w:r w:rsidRPr="009B6D32">
        <w:rPr>
          <w:rFonts w:ascii="Garamond" w:hAnsi="Garamond" w:cs="Garamond"/>
          <w:i/>
          <w:iCs/>
          <w:kern w:val="28"/>
          <w:sz w:val="24"/>
          <w:szCs w:val="24"/>
          <w:lang w:eastAsia="en-GB"/>
        </w:rPr>
        <w:t xml:space="preserve"> </w:t>
      </w:r>
      <w:r w:rsidRPr="009B6D32">
        <w:rPr>
          <w:rFonts w:ascii="Garamond" w:hAnsi="Garamond" w:cs="Garamond"/>
          <w:kern w:val="28"/>
          <w:sz w:val="24"/>
          <w:szCs w:val="24"/>
          <w:lang w:eastAsia="en-GB"/>
        </w:rPr>
        <w:t>Department of Sociology, Loyola University of Chicago</w:t>
      </w:r>
      <w:r w:rsidRPr="009B6D32">
        <w:rPr>
          <w:rFonts w:ascii="Garamond" w:hAnsi="Garamond" w:cs="Garamond"/>
          <w:sz w:val="24"/>
          <w:szCs w:val="24"/>
          <w:shd w:val="clear" w:color="auto" w:fill="FFFFFF"/>
        </w:rPr>
        <w:t xml:space="preserve"> </w:t>
      </w:r>
    </w:p>
    <w:p w:rsidR="0001718F" w:rsidRPr="009B6D32" w:rsidRDefault="0001718F" w:rsidP="007437F5">
      <w:pPr>
        <w:autoSpaceDE w:val="0"/>
        <w:autoSpaceDN w:val="0"/>
        <w:adjustRightInd w:val="0"/>
        <w:spacing w:after="0" w:line="240" w:lineRule="auto"/>
        <w:ind w:hanging="720"/>
        <w:rPr>
          <w:rStyle w:val="citation"/>
        </w:rPr>
      </w:pPr>
      <w:r w:rsidRPr="009B6D32">
        <w:rPr>
          <w:rStyle w:val="citation"/>
          <w:rFonts w:ascii="Garamond" w:hAnsi="Garamond" w:cs="Garamond"/>
          <w:color w:val="000000"/>
          <w:sz w:val="24"/>
          <w:szCs w:val="24"/>
        </w:rPr>
        <w:t>Laqueur, T. (1990)</w:t>
      </w:r>
      <w:r w:rsidRPr="009B6D32">
        <w:rPr>
          <w:rStyle w:val="apple-converted-space"/>
          <w:rFonts w:ascii="Garamond" w:hAnsi="Garamond" w:cs="Garamond"/>
          <w:color w:val="000000"/>
          <w:sz w:val="24"/>
          <w:szCs w:val="24"/>
        </w:rPr>
        <w:t> </w:t>
      </w:r>
      <w:r w:rsidRPr="009B6D32">
        <w:rPr>
          <w:rStyle w:val="citation"/>
          <w:rFonts w:ascii="Garamond" w:hAnsi="Garamond" w:cs="Garamond"/>
          <w:i/>
          <w:iCs/>
          <w:color w:val="000000"/>
          <w:sz w:val="24"/>
          <w:szCs w:val="24"/>
        </w:rPr>
        <w:t>Making Sex: Body and Gender From the Greeks to Freud</w:t>
      </w:r>
      <w:r w:rsidRPr="009B6D32">
        <w:rPr>
          <w:rStyle w:val="citation"/>
          <w:rFonts w:ascii="Garamond" w:hAnsi="Garamond" w:cs="Garamond"/>
          <w:color w:val="000000"/>
          <w:sz w:val="24"/>
          <w:szCs w:val="24"/>
        </w:rPr>
        <w:t>.</w:t>
      </w:r>
      <w:r w:rsidRPr="009B6D32">
        <w:rPr>
          <w:rStyle w:val="apple-converted-space"/>
          <w:rFonts w:ascii="Garamond" w:hAnsi="Garamond" w:cs="Garamond"/>
          <w:color w:val="000000"/>
          <w:sz w:val="24"/>
          <w:szCs w:val="24"/>
        </w:rPr>
        <w:t xml:space="preserve"> New York: </w:t>
      </w:r>
      <w:r w:rsidRPr="009B6D32">
        <w:rPr>
          <w:rStyle w:val="citation"/>
          <w:rFonts w:ascii="Garamond" w:hAnsi="Garamond" w:cs="Garamond"/>
          <w:color w:val="000000"/>
          <w:sz w:val="24"/>
          <w:szCs w:val="24"/>
        </w:rPr>
        <w:t>Harvard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Latour, B. (1993) </w:t>
      </w:r>
      <w:r w:rsidRPr="009B6D32">
        <w:rPr>
          <w:rFonts w:ascii="Garamond" w:hAnsi="Garamond" w:cs="Garamond"/>
          <w:i/>
          <w:kern w:val="28"/>
          <w:sz w:val="24"/>
          <w:szCs w:val="24"/>
          <w:lang w:eastAsia="en-GB"/>
        </w:rPr>
        <w:t>We Have Never Been Modern</w:t>
      </w:r>
      <w:r w:rsidRPr="009B6D32">
        <w:rPr>
          <w:rFonts w:ascii="Garamond" w:hAnsi="Garamond" w:cs="Garamond"/>
          <w:kern w:val="28"/>
          <w:sz w:val="24"/>
          <w:szCs w:val="24"/>
          <w:lang w:eastAsia="en-GB"/>
        </w:rPr>
        <w:t>. Harvard University Press, New York</w:t>
      </w:r>
    </w:p>
    <w:p w:rsidR="0001718F" w:rsidRPr="009B6D32" w:rsidRDefault="0001718F" w:rsidP="007437F5">
      <w:pPr>
        <w:spacing w:after="0" w:line="240" w:lineRule="auto"/>
        <w:ind w:hanging="720"/>
        <w:jc w:val="both"/>
        <w:rPr>
          <w:rFonts w:ascii="Garamond" w:hAnsi="Garamond" w:cs="Garamond"/>
          <w:sz w:val="24"/>
          <w:szCs w:val="24"/>
          <w:lang w:val="en-US"/>
        </w:rPr>
      </w:pPr>
      <w:r w:rsidRPr="009B6D32">
        <w:rPr>
          <w:rFonts w:ascii="Garamond" w:hAnsi="Garamond" w:cs="Garamond"/>
          <w:sz w:val="24"/>
          <w:szCs w:val="24"/>
        </w:rPr>
        <w:t xml:space="preserve">Laurence, J. (1968) </w:t>
      </w:r>
      <w:r w:rsidRPr="009B6D32">
        <w:rPr>
          <w:rFonts w:ascii="Garamond" w:hAnsi="Garamond" w:cs="Garamond"/>
          <w:i/>
          <w:iCs/>
          <w:sz w:val="24"/>
          <w:szCs w:val="24"/>
        </w:rPr>
        <w:t>The Seeds of Disaster: A guide to the realities, race policies and world-wide propaganda campaigns of the republic of South Africa.</w:t>
      </w:r>
      <w:r w:rsidRPr="009B6D32">
        <w:rPr>
          <w:rFonts w:ascii="Garamond" w:hAnsi="Garamond" w:cs="Garamond"/>
          <w:sz w:val="24"/>
          <w:szCs w:val="24"/>
        </w:rPr>
        <w:t xml:space="preserve"> London: </w:t>
      </w:r>
      <w:r w:rsidRPr="009B6D32">
        <w:rPr>
          <w:rFonts w:ascii="Garamond" w:hAnsi="Garamond" w:cs="Garamond"/>
          <w:sz w:val="24"/>
          <w:szCs w:val="24"/>
          <w:shd w:val="clear" w:color="auto" w:fill="FFFFFF"/>
        </w:rPr>
        <w:t>Victor Gollancz Limited</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Law, J. (2004) </w:t>
      </w:r>
      <w:r w:rsidRPr="009B6D32">
        <w:rPr>
          <w:rFonts w:ascii="Garamond" w:hAnsi="Garamond" w:cs="Garamond"/>
          <w:i/>
          <w:iCs/>
          <w:sz w:val="24"/>
          <w:szCs w:val="24"/>
        </w:rPr>
        <w:t>After Method: Mess in Social Science Research</w:t>
      </w:r>
      <w:r w:rsidRPr="009B6D32">
        <w:rPr>
          <w:rFonts w:ascii="Garamond" w:hAnsi="Garamond" w:cs="Garamond"/>
          <w:sz w:val="24"/>
          <w:szCs w:val="24"/>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kern w:val="36"/>
          <w:sz w:val="24"/>
          <w:szCs w:val="24"/>
          <w:lang w:eastAsia="en-GB"/>
        </w:rPr>
        <w:t xml:space="preserve">Lawrance, B.N. (2010a) ‘Documenting Child Slavery with Personal Testimony: Anti-Trafficking NGOs and the Origins of Contemporary Neo-Abolitionism in Sub-Saharan Africa’, </w:t>
      </w:r>
      <w:r w:rsidRPr="009B6D32">
        <w:rPr>
          <w:rFonts w:ascii="Garamond" w:hAnsi="Garamond" w:cs="Garamond"/>
          <w:iCs/>
          <w:kern w:val="36"/>
          <w:sz w:val="24"/>
          <w:szCs w:val="24"/>
          <w:lang w:eastAsia="en-GB"/>
        </w:rPr>
        <w:t>Social Science Research Working Paper Series. Available at</w:t>
      </w:r>
      <w:r w:rsidRPr="009B6D32">
        <w:rPr>
          <w:rFonts w:ascii="Garamond" w:hAnsi="Garamond" w:cs="Garamond"/>
          <w:i/>
          <w:iCs/>
          <w:kern w:val="36"/>
          <w:sz w:val="24"/>
          <w:szCs w:val="24"/>
          <w:lang w:eastAsia="en-GB"/>
        </w:rPr>
        <w:t xml:space="preserve"> http://papers.ssrn.com/sol3/papers.cfm?abstract_id=1704682</w:t>
      </w:r>
      <w:r w:rsidRPr="009B6D32">
        <w:rPr>
          <w:rFonts w:ascii="Garamond" w:hAnsi="Garamond"/>
          <w:sz w:val="24"/>
          <w:szCs w:val="24"/>
        </w:rPr>
        <w:t xml:space="preserve"> (Accessed 30 August 2011)</w:t>
      </w:r>
    </w:p>
    <w:p w:rsidR="0001718F" w:rsidRPr="009B6D32" w:rsidRDefault="0001718F" w:rsidP="007437F5">
      <w:pPr>
        <w:spacing w:after="0" w:line="240" w:lineRule="auto"/>
        <w:ind w:hanging="720"/>
        <w:jc w:val="both"/>
        <w:rPr>
          <w:rFonts w:ascii="Garamond" w:hAnsi="Garamond" w:cs="Garamond"/>
          <w:i/>
          <w:iCs/>
          <w:kern w:val="36"/>
          <w:sz w:val="24"/>
          <w:szCs w:val="24"/>
          <w:lang w:eastAsia="en-GB"/>
        </w:rPr>
      </w:pPr>
      <w:r w:rsidRPr="009B6D32">
        <w:rPr>
          <w:rFonts w:ascii="Garamond" w:hAnsi="Garamond" w:cs="Garamond"/>
          <w:kern w:val="28"/>
          <w:sz w:val="24"/>
          <w:szCs w:val="24"/>
          <w:lang w:eastAsia="en-GB"/>
        </w:rPr>
        <w:t xml:space="preserve">Lawrance, B.N. (2010b) ‘From Child Labor “Problem” to Human Trafficking “Crisis”: Child Advocacy and Anti-Trafficking Legislation in Ghana’, </w:t>
      </w:r>
      <w:r w:rsidRPr="009B6D32">
        <w:rPr>
          <w:rFonts w:ascii="Garamond" w:hAnsi="Garamond" w:cs="Garamond"/>
          <w:i/>
          <w:iCs/>
          <w:kern w:val="28"/>
          <w:sz w:val="24"/>
          <w:szCs w:val="24"/>
          <w:lang w:eastAsia="en-GB"/>
        </w:rPr>
        <w:t>International Labor and Working-Class History</w:t>
      </w:r>
      <w:r w:rsidRPr="009B6D32">
        <w:rPr>
          <w:rFonts w:ascii="Garamond" w:hAnsi="Garamond" w:cs="Garamond"/>
          <w:iCs/>
          <w:kern w:val="28"/>
          <w:sz w:val="24"/>
          <w:szCs w:val="24"/>
          <w:lang w:eastAsia="en-GB"/>
        </w:rPr>
        <w:t xml:space="preserve">, </w:t>
      </w:r>
      <w:r w:rsidRPr="009B6D32">
        <w:rPr>
          <w:rFonts w:ascii="Garamond" w:hAnsi="Garamond" w:cs="Garamond"/>
          <w:kern w:val="28"/>
          <w:sz w:val="24"/>
          <w:szCs w:val="24"/>
          <w:lang w:eastAsia="en-GB"/>
        </w:rPr>
        <w:t>78(1), pp. 63-88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Le Billon, P. (2006) ‘Fatal Transactions: Conflict Diamonds and the (Anti) Terrorist Consumer’, </w:t>
      </w:r>
      <w:r w:rsidRPr="009B6D32">
        <w:rPr>
          <w:rFonts w:ascii="Garamond" w:hAnsi="Garamond" w:cs="Garamond"/>
          <w:i/>
          <w:iCs/>
          <w:sz w:val="24"/>
          <w:szCs w:val="24"/>
          <w:lang w:val="en-US"/>
        </w:rPr>
        <w:t xml:space="preserve">Antipode, </w:t>
      </w:r>
      <w:r w:rsidRPr="009B6D32">
        <w:rPr>
          <w:rFonts w:ascii="Garamond" w:hAnsi="Garamond" w:cs="Garamond"/>
          <w:sz w:val="24"/>
          <w:szCs w:val="24"/>
          <w:lang w:val="en-US"/>
        </w:rPr>
        <w:t>38(4), pp. 778-801</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sz w:val="24"/>
          <w:szCs w:val="24"/>
        </w:rPr>
        <w:t xml:space="preserve">Le </w:t>
      </w:r>
      <w:r w:rsidRPr="009B6D32">
        <w:rPr>
          <w:rFonts w:ascii="Garamond" w:hAnsi="Garamond" w:cs="Arial"/>
          <w:sz w:val="24"/>
          <w:szCs w:val="24"/>
          <w:shd w:val="clear" w:color="auto" w:fill="FFFFFF"/>
        </w:rPr>
        <w:t xml:space="preserve">Guérer, A. (1992) </w:t>
      </w:r>
      <w:r w:rsidRPr="009B6D32">
        <w:rPr>
          <w:rFonts w:ascii="Garamond" w:hAnsi="Garamond" w:cs="Arial"/>
          <w:i/>
          <w:sz w:val="24"/>
          <w:szCs w:val="24"/>
          <w:shd w:val="clear" w:color="auto" w:fill="FFFFFF"/>
        </w:rPr>
        <w:t xml:space="preserve">Scent: The Mysterious and Essential Powers of Smell. </w:t>
      </w:r>
      <w:r w:rsidRPr="009B6D32">
        <w:rPr>
          <w:rFonts w:ascii="Garamond" w:hAnsi="Garamond" w:cs="Arial"/>
          <w:sz w:val="24"/>
          <w:szCs w:val="24"/>
          <w:shd w:val="clear" w:color="auto" w:fill="FFFFFF"/>
        </w:rPr>
        <w:t>London: Random House</w:t>
      </w:r>
    </w:p>
    <w:p w:rsidR="0001718F" w:rsidRPr="009B6D32" w:rsidRDefault="0001718F" w:rsidP="007437F5">
      <w:pPr>
        <w:spacing w:after="0" w:line="240" w:lineRule="auto"/>
        <w:ind w:left="-720"/>
        <w:jc w:val="both"/>
        <w:rPr>
          <w:rFonts w:ascii="Garamond" w:hAnsi="Garamond" w:cs="Garamond"/>
          <w:sz w:val="24"/>
          <w:szCs w:val="24"/>
          <w:lang w:val="en-US"/>
        </w:rPr>
      </w:pPr>
      <w:r w:rsidRPr="009B6D32">
        <w:rPr>
          <w:rFonts w:ascii="Garamond" w:hAnsi="Garamond" w:cs="Garamond"/>
          <w:sz w:val="24"/>
          <w:szCs w:val="24"/>
        </w:rPr>
        <w:t xml:space="preserve">Leder, D. (1990) </w:t>
      </w:r>
      <w:r w:rsidRPr="009B6D32">
        <w:rPr>
          <w:rFonts w:ascii="Garamond" w:hAnsi="Garamond" w:cs="Garamond"/>
          <w:i/>
          <w:iCs/>
          <w:sz w:val="24"/>
          <w:szCs w:val="24"/>
        </w:rPr>
        <w:t xml:space="preserve">The Absent Body, </w:t>
      </w:r>
      <w:r w:rsidRPr="009B6D32">
        <w:rPr>
          <w:rFonts w:ascii="Garamond" w:hAnsi="Garamond" w:cs="Garamond"/>
          <w:sz w:val="24"/>
          <w:szCs w:val="24"/>
        </w:rPr>
        <w:t>Chicago: University of Chicago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Lee, B., LiPuma, E. (2002) ‘Cultures of circulation: the imaginations of modernity’, </w:t>
      </w:r>
      <w:r w:rsidRPr="009B6D32">
        <w:rPr>
          <w:rFonts w:ascii="Garamond" w:hAnsi="Garamond" w:cs="Garamond"/>
          <w:i/>
          <w:iCs/>
          <w:sz w:val="24"/>
          <w:szCs w:val="24"/>
        </w:rPr>
        <w:t xml:space="preserve">Public Culture, </w:t>
      </w:r>
      <w:r w:rsidRPr="009B6D32">
        <w:rPr>
          <w:rFonts w:ascii="Garamond" w:hAnsi="Garamond" w:cs="Garamond"/>
          <w:sz w:val="24"/>
          <w:szCs w:val="24"/>
        </w:rPr>
        <w:t>14(1), 191-213</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Lee, M., Motion, J., and Conroy, D. (2009) ‘Anti-Consumption and Brand Avoidance’ </w:t>
      </w:r>
      <w:r w:rsidRPr="009B6D32">
        <w:rPr>
          <w:rFonts w:ascii="Garamond" w:hAnsi="Garamond" w:cs="Garamond"/>
          <w:i/>
          <w:iCs/>
          <w:sz w:val="24"/>
          <w:szCs w:val="24"/>
          <w:lang w:val="en-US"/>
        </w:rPr>
        <w:t>Journal of Business Research</w:t>
      </w:r>
      <w:r w:rsidRPr="009B6D32">
        <w:rPr>
          <w:rFonts w:ascii="Garamond" w:hAnsi="Garamond" w:cs="Garamond"/>
          <w:iCs/>
          <w:sz w:val="24"/>
          <w:szCs w:val="24"/>
          <w:lang w:val="en-US"/>
        </w:rPr>
        <w:t>,</w:t>
      </w:r>
      <w:r w:rsidRPr="009B6D32">
        <w:rPr>
          <w:rFonts w:ascii="Garamond" w:hAnsi="Garamond" w:cs="Garamond"/>
          <w:sz w:val="24"/>
          <w:szCs w:val="24"/>
          <w:lang w:val="en-US"/>
        </w:rPr>
        <w:t xml:space="preserve"> 62(2), pp. 169-180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Legassick, M. (1995 [1972]) ‘British Hegemony and the origins of segregation in South Africa, 1901-14’, Beinart, W. and Dubow, S. (eds.) </w:t>
      </w:r>
      <w:r w:rsidRPr="009B6D32">
        <w:rPr>
          <w:rFonts w:ascii="Garamond" w:hAnsi="Garamond" w:cs="Garamond"/>
          <w:i/>
          <w:iCs/>
          <w:sz w:val="24"/>
          <w:szCs w:val="24"/>
        </w:rPr>
        <w:t>Segregation and Apartheid in Twentieth Century South Africa</w:t>
      </w:r>
      <w:r w:rsidRPr="009B6D32">
        <w:rPr>
          <w:rFonts w:ascii="Garamond" w:hAnsi="Garamond" w:cs="Garamond"/>
          <w:b/>
          <w:bCs/>
          <w:sz w:val="24"/>
          <w:szCs w:val="24"/>
        </w:rPr>
        <w:t xml:space="preserve">. </w:t>
      </w:r>
      <w:r w:rsidRPr="009B6D32">
        <w:rPr>
          <w:rFonts w:ascii="Garamond" w:hAnsi="Garamond" w:cs="Garamond"/>
          <w:sz w:val="24"/>
          <w:szCs w:val="24"/>
        </w:rPr>
        <w:t>Routledge: London, pp.43-59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Legassick, M. and Innes, D. (1977) ‘Capital restructuring and apartheid: a critique of constructive engagement’, </w:t>
      </w:r>
      <w:r w:rsidRPr="009B6D32">
        <w:rPr>
          <w:rFonts w:ascii="Garamond" w:hAnsi="Garamond" w:cs="Garamond"/>
          <w:i/>
          <w:iCs/>
          <w:sz w:val="24"/>
          <w:szCs w:val="24"/>
        </w:rPr>
        <w:t>African Affairs</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76(305), pp. 437-482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Legum, C. and Legum, M. (1964) </w:t>
      </w:r>
      <w:r w:rsidRPr="009B6D32">
        <w:rPr>
          <w:rFonts w:ascii="Garamond" w:hAnsi="Garamond" w:cs="Garamond"/>
          <w:i/>
          <w:iCs/>
          <w:kern w:val="28"/>
          <w:sz w:val="24"/>
          <w:szCs w:val="24"/>
          <w:lang w:val="en-US" w:eastAsia="en-GB"/>
        </w:rPr>
        <w:t xml:space="preserve">South Africa Crisis for the West. </w:t>
      </w:r>
      <w:r w:rsidRPr="009B6D32">
        <w:rPr>
          <w:rFonts w:ascii="Garamond" w:hAnsi="Garamond" w:cs="Garamond"/>
          <w:kern w:val="28"/>
          <w:sz w:val="24"/>
          <w:szCs w:val="24"/>
          <w:lang w:val="en-US" w:eastAsia="en-GB"/>
        </w:rPr>
        <w:t>London: Pall Mall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Leitner, H., Sheppard, E. and Sziarto, K. (2007) ‘The Spatialities of Contentious Politics’, </w:t>
      </w:r>
      <w:r w:rsidRPr="009B6D32">
        <w:rPr>
          <w:rFonts w:ascii="Garamond" w:hAnsi="Garamond" w:cs="Garamond"/>
          <w:i/>
          <w:iCs/>
          <w:sz w:val="24"/>
          <w:szCs w:val="24"/>
          <w:lang w:val="en-US"/>
        </w:rPr>
        <w:t>Transactions of the Institute of British Geographers</w:t>
      </w:r>
      <w:r w:rsidRPr="009B6D32">
        <w:rPr>
          <w:rFonts w:ascii="Garamond" w:hAnsi="Garamond" w:cs="Garamond"/>
          <w:i/>
          <w:iCs/>
          <w:kern w:val="28"/>
          <w:sz w:val="24"/>
          <w:szCs w:val="24"/>
          <w:lang w:val="en-US" w:eastAsia="en-GB"/>
        </w:rPr>
        <w:t>,</w:t>
      </w:r>
      <w:r w:rsidRPr="009B6D32">
        <w:rPr>
          <w:rFonts w:ascii="Garamond" w:hAnsi="Garamond" w:cs="Garamond"/>
          <w:kern w:val="28"/>
          <w:sz w:val="24"/>
          <w:szCs w:val="24"/>
          <w:lang w:val="en-US" w:eastAsia="en-GB"/>
        </w:rPr>
        <w:t xml:space="preserve"> 33(2), pp. 157-172</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rPr>
        <w:lastRenderedPageBreak/>
        <w:t xml:space="preserve">Lemke, T. (2001) ‘The birth of bio-politics: Michael Foucault’s lectures at the College de France on neo-liberal governmentality’, </w:t>
      </w:r>
      <w:r w:rsidRPr="009B6D32">
        <w:rPr>
          <w:rFonts w:ascii="Garamond" w:hAnsi="Garamond" w:cs="Garamond"/>
          <w:i/>
          <w:iCs/>
          <w:sz w:val="24"/>
          <w:szCs w:val="24"/>
        </w:rPr>
        <w:t>Economy and Society</w:t>
      </w:r>
      <w:r w:rsidRPr="009B6D32">
        <w:rPr>
          <w:rFonts w:ascii="Garamond" w:hAnsi="Garamond" w:cs="Garamond"/>
          <w:iCs/>
          <w:sz w:val="24"/>
          <w:szCs w:val="24"/>
        </w:rPr>
        <w:t>,</w:t>
      </w:r>
      <w:r w:rsidRPr="009B6D32">
        <w:rPr>
          <w:rFonts w:ascii="Garamond" w:hAnsi="Garamond" w:cs="Garamond"/>
          <w:sz w:val="24"/>
          <w:szCs w:val="24"/>
        </w:rPr>
        <w:t xml:space="preserve"> 30(2), pp. 190–207</w:t>
      </w:r>
    </w:p>
    <w:p w:rsidR="0001718F" w:rsidRPr="009B6D32" w:rsidRDefault="0001718F" w:rsidP="007437F5">
      <w:pPr>
        <w:autoSpaceDE w:val="0"/>
        <w:autoSpaceDN w:val="0"/>
        <w:adjustRightInd w:val="0"/>
        <w:spacing w:after="0" w:line="240" w:lineRule="auto"/>
        <w:ind w:hanging="720"/>
        <w:rPr>
          <w:rFonts w:ascii="Garamond" w:hAnsi="Garamond" w:cs="TimesNewRomanPSMT"/>
          <w:sz w:val="24"/>
          <w:szCs w:val="24"/>
        </w:rPr>
      </w:pPr>
      <w:r w:rsidRPr="009B6D32">
        <w:rPr>
          <w:rFonts w:ascii="Garamond" w:hAnsi="Garamond"/>
          <w:sz w:val="24"/>
          <w:szCs w:val="24"/>
          <w:shd w:val="clear" w:color="auto" w:fill="FFFFFF"/>
        </w:rPr>
        <w:t xml:space="preserve">Lentin, A. (2000) </w:t>
      </w:r>
      <w:r w:rsidRPr="009B6D32">
        <w:rPr>
          <w:rFonts w:ascii="Garamond" w:hAnsi="Garamond" w:cs="TimesNewRomanPS-BoldMT"/>
          <w:bCs/>
          <w:sz w:val="24"/>
          <w:szCs w:val="24"/>
        </w:rPr>
        <w:t xml:space="preserve">‘“Race”, Racism, Anti-Racism: challenging contemporary classifications’, </w:t>
      </w:r>
      <w:r w:rsidRPr="009B6D32">
        <w:rPr>
          <w:rFonts w:ascii="Garamond" w:hAnsi="Garamond" w:cs="TimesNewRomanPS-ItalicMT"/>
          <w:i/>
          <w:iCs/>
          <w:sz w:val="24"/>
          <w:szCs w:val="24"/>
        </w:rPr>
        <w:t>Social Identities</w:t>
      </w:r>
      <w:r w:rsidRPr="009B6D32">
        <w:rPr>
          <w:rFonts w:ascii="Garamond" w:hAnsi="Garamond" w:cs="TimesNewRomanPS-ItalicMT"/>
          <w:iCs/>
          <w:sz w:val="24"/>
          <w:szCs w:val="24"/>
        </w:rPr>
        <w:t>,</w:t>
      </w:r>
      <w:r w:rsidRPr="009B6D32">
        <w:rPr>
          <w:rFonts w:ascii="Garamond" w:hAnsi="Garamond" w:cs="TimesNewRomanPS-ItalicMT"/>
          <w:i/>
          <w:iCs/>
          <w:sz w:val="24"/>
          <w:szCs w:val="24"/>
        </w:rPr>
        <w:t xml:space="preserve"> </w:t>
      </w:r>
      <w:r w:rsidRPr="009B6D32">
        <w:rPr>
          <w:rFonts w:ascii="Garamond" w:hAnsi="Garamond" w:cs="TimesNewRomanPS-BoldMT"/>
          <w:bCs/>
          <w:sz w:val="24"/>
          <w:szCs w:val="24"/>
        </w:rPr>
        <w:t>6(</w:t>
      </w:r>
      <w:r w:rsidRPr="009B6D32">
        <w:rPr>
          <w:rFonts w:ascii="Garamond" w:hAnsi="Garamond" w:cs="TimesNewRomanPSMT"/>
          <w:sz w:val="24"/>
          <w:szCs w:val="24"/>
        </w:rPr>
        <w:t>1), pp. 91-106</w:t>
      </w:r>
    </w:p>
    <w:p w:rsidR="0001718F" w:rsidRPr="009B6D32" w:rsidRDefault="0001718F" w:rsidP="007437F5">
      <w:pPr>
        <w:autoSpaceDE w:val="0"/>
        <w:autoSpaceDN w:val="0"/>
        <w:adjustRightInd w:val="0"/>
        <w:spacing w:after="0" w:line="240" w:lineRule="auto"/>
        <w:ind w:hanging="720"/>
        <w:rPr>
          <w:rFonts w:ascii="Garamond" w:hAnsi="Garamond" w:cs="TimesNewRomanPSMT"/>
          <w:sz w:val="24"/>
          <w:szCs w:val="24"/>
        </w:rPr>
      </w:pPr>
      <w:r w:rsidRPr="009B6D32">
        <w:rPr>
          <w:rFonts w:ascii="Garamond" w:hAnsi="Garamond" w:cs="TimesNewRomanPSMT"/>
          <w:sz w:val="24"/>
          <w:szCs w:val="24"/>
        </w:rPr>
        <w:t xml:space="preserve">Lentin, A. (2007) 'Racism, anti-racism and the western state', in Delanty, G., Wodak, R., and Jones, P. (eds.) </w:t>
      </w:r>
      <w:r w:rsidRPr="009B6D32">
        <w:rPr>
          <w:rFonts w:ascii="Garamond" w:hAnsi="Garamond" w:cs="TimesNewRomanPS-ItalicMT"/>
          <w:i/>
          <w:iCs/>
          <w:sz w:val="24"/>
          <w:szCs w:val="24"/>
        </w:rPr>
        <w:t>Migrant Voices: Discourses of Belonging and Exclusion</w:t>
      </w:r>
      <w:r w:rsidRPr="009B6D32">
        <w:rPr>
          <w:rFonts w:ascii="Garamond" w:hAnsi="Garamond" w:cs="TimesNewRomanPSMT"/>
          <w:sz w:val="24"/>
          <w:szCs w:val="24"/>
        </w:rPr>
        <w:t>. Liverpool: Liverpool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shd w:val="clear" w:color="auto" w:fill="FFFFFF"/>
        </w:rPr>
        <w:t xml:space="preserve">Lentin, A. and Titley, G. (2011) </w:t>
      </w:r>
      <w:r w:rsidRPr="009B6D32">
        <w:rPr>
          <w:rFonts w:ascii="Garamond" w:hAnsi="Garamond" w:cs="Garamond"/>
          <w:i/>
          <w:iCs/>
          <w:sz w:val="24"/>
          <w:szCs w:val="24"/>
          <w:shd w:val="clear" w:color="auto" w:fill="FFFFFF"/>
        </w:rPr>
        <w:t>The Crisis of Multiculturalism: Racism in a Neoliberal Age</w:t>
      </w:r>
      <w:r w:rsidRPr="009B6D32">
        <w:rPr>
          <w:rFonts w:ascii="Garamond" w:hAnsi="Garamond" w:cs="Garamond"/>
          <w:sz w:val="24"/>
          <w:szCs w:val="24"/>
          <w:shd w:val="clear" w:color="auto" w:fill="FFFFFF"/>
        </w:rPr>
        <w:t>. London: Zed Books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rPr>
        <w:t xml:space="preserve">Lester, A. (1996) </w:t>
      </w:r>
      <w:r w:rsidRPr="009B6D32">
        <w:rPr>
          <w:rStyle w:val="Emphasis"/>
          <w:rFonts w:ascii="Garamond" w:hAnsi="Garamond" w:cs="Garamond"/>
          <w:sz w:val="24"/>
          <w:szCs w:val="24"/>
          <w:shd w:val="clear" w:color="auto" w:fill="FFFFFF"/>
        </w:rPr>
        <w:t>From Colonization To Democracy</w:t>
      </w:r>
      <w:r w:rsidRPr="009B6D32">
        <w:rPr>
          <w:rFonts w:ascii="Garamond" w:hAnsi="Garamond" w:cs="Garamond"/>
          <w:sz w:val="24"/>
          <w:szCs w:val="24"/>
          <w:shd w:val="clear" w:color="auto" w:fill="FFFFFF"/>
        </w:rPr>
        <w:t xml:space="preserve">: </w:t>
      </w:r>
      <w:r w:rsidRPr="009B6D32">
        <w:rPr>
          <w:rFonts w:ascii="Garamond" w:hAnsi="Garamond" w:cs="Garamond"/>
          <w:i/>
          <w:sz w:val="24"/>
          <w:szCs w:val="24"/>
          <w:shd w:val="clear" w:color="auto" w:fill="FFFFFF"/>
        </w:rPr>
        <w:t>A New Historical Geography of South Africa</w:t>
      </w:r>
      <w:r w:rsidRPr="009B6D32">
        <w:rPr>
          <w:rFonts w:ascii="Garamond" w:hAnsi="Garamond" w:cs="Garamond"/>
          <w:sz w:val="24"/>
          <w:szCs w:val="24"/>
          <w:shd w:val="clear" w:color="auto" w:fill="FFFFFF"/>
        </w:rPr>
        <w:t>. London: I. B. Tauris Publishers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Lester, A. (2001) </w:t>
      </w:r>
      <w:r w:rsidRPr="009B6D32">
        <w:rPr>
          <w:rFonts w:ascii="Garamond" w:hAnsi="Garamond" w:cs="Garamond"/>
          <w:i/>
          <w:iCs/>
          <w:sz w:val="24"/>
          <w:szCs w:val="24"/>
        </w:rPr>
        <w:t>Imperial Networks: Creating Identities in Nineteenth Century South Africa and Britain</w:t>
      </w:r>
      <w:r w:rsidRPr="009B6D32">
        <w:rPr>
          <w:rFonts w:ascii="Garamond" w:hAnsi="Garamond" w:cs="Garamond"/>
          <w:sz w:val="24"/>
          <w:szCs w:val="24"/>
        </w:rPr>
        <w:t xml:space="preserve">. London: </w:t>
      </w:r>
      <w:r w:rsidRPr="009B6D32">
        <w:rPr>
          <w:rFonts w:ascii="Garamond" w:hAnsi="Garamond" w:cs="Garamond"/>
          <w:kern w:val="28"/>
          <w:sz w:val="24"/>
          <w:szCs w:val="24"/>
          <w:lang w:val="en-US" w:eastAsia="en-GB"/>
        </w:rPr>
        <w:t>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Lévi-Strauss, C. (1992) </w:t>
      </w:r>
      <w:r w:rsidRPr="009B6D32">
        <w:rPr>
          <w:rFonts w:ascii="Garamond" w:hAnsi="Garamond" w:cs="Garamond"/>
          <w:i/>
          <w:iCs/>
          <w:kern w:val="28"/>
          <w:sz w:val="24"/>
          <w:szCs w:val="24"/>
          <w:lang w:val="en-US" w:eastAsia="en-GB"/>
        </w:rPr>
        <w:t>Tristes Tropiques</w:t>
      </w:r>
      <w:r w:rsidRPr="009B6D32">
        <w:rPr>
          <w:rFonts w:ascii="Garamond" w:hAnsi="Garamond" w:cs="Garamond"/>
          <w:iCs/>
          <w:kern w:val="28"/>
          <w:sz w:val="24"/>
          <w:szCs w:val="24"/>
          <w:lang w:val="en-US" w:eastAsia="en-GB"/>
        </w:rPr>
        <w:t>.</w:t>
      </w:r>
      <w:r w:rsidRPr="009B6D32">
        <w:rPr>
          <w:rFonts w:ascii="Garamond" w:hAnsi="Garamond" w:cs="Garamond"/>
          <w:i/>
          <w:iCs/>
          <w:kern w:val="28"/>
          <w:sz w:val="24"/>
          <w:szCs w:val="24"/>
          <w:lang w:val="en-US" w:eastAsia="en-GB"/>
        </w:rPr>
        <w:t xml:space="preserve"> </w:t>
      </w:r>
      <w:r w:rsidRPr="009B6D32">
        <w:rPr>
          <w:rFonts w:ascii="Garamond" w:hAnsi="Garamond" w:cs="Garamond"/>
          <w:kern w:val="28"/>
          <w:sz w:val="24"/>
          <w:szCs w:val="24"/>
          <w:lang w:val="en-US" w:eastAsia="en-GB"/>
        </w:rPr>
        <w:t>United States: Penguin</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Linebaugh, P. (2007) ‘Whitewashing the Slave Trade: An Amazing Disgrace’, </w:t>
      </w:r>
      <w:r w:rsidRPr="009B6D32">
        <w:rPr>
          <w:rFonts w:ascii="Garamond" w:hAnsi="Garamond" w:cs="Garamond"/>
          <w:i/>
          <w:iCs/>
          <w:sz w:val="24"/>
          <w:szCs w:val="24"/>
        </w:rPr>
        <w:t>Counterpunch Online</w:t>
      </w:r>
      <w:r w:rsidRPr="009B6D32">
        <w:rPr>
          <w:rFonts w:ascii="Garamond" w:hAnsi="Garamond" w:cs="Garamond"/>
          <w:iCs/>
          <w:sz w:val="24"/>
          <w:szCs w:val="24"/>
        </w:rPr>
        <w:t>, 28 February.</w:t>
      </w:r>
      <w:r w:rsidRPr="009B6D32">
        <w:rPr>
          <w:rFonts w:ascii="Garamond" w:hAnsi="Garamond" w:cs="Garamond"/>
          <w:i/>
          <w:iCs/>
          <w:sz w:val="24"/>
          <w:szCs w:val="24"/>
        </w:rPr>
        <w:t xml:space="preserve"> </w:t>
      </w:r>
      <w:r w:rsidRPr="009B6D32">
        <w:rPr>
          <w:rFonts w:ascii="Garamond" w:hAnsi="Garamond" w:cs="Garamond"/>
          <w:sz w:val="24"/>
          <w:szCs w:val="24"/>
        </w:rPr>
        <w:t>Available at http://www.counterpunch.org/2007/02/28/an-amazing-disgrace/ (Accessed: 14 March 2010)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Lipsitz, G. (2006) </w:t>
      </w:r>
      <w:r w:rsidRPr="009B6D32">
        <w:rPr>
          <w:rFonts w:ascii="Garamond" w:hAnsi="Garamond" w:cs="Garamond"/>
          <w:i/>
          <w:sz w:val="24"/>
          <w:szCs w:val="24"/>
        </w:rPr>
        <w:t xml:space="preserve">The Progressive Investment in Whiteness: How White People Profit from Identity Politics. </w:t>
      </w:r>
      <w:r w:rsidRPr="009B6D32">
        <w:rPr>
          <w:rFonts w:ascii="Garamond" w:hAnsi="Garamond" w:cs="Garamond"/>
          <w:sz w:val="24"/>
          <w:szCs w:val="24"/>
        </w:rPr>
        <w:t>Philadelphia: Temple University Press</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rPr>
      </w:pPr>
      <w:r w:rsidRPr="009B6D32">
        <w:rPr>
          <w:rFonts w:ascii="Garamond" w:hAnsi="Garamond" w:cs="Garamond"/>
          <w:iCs/>
          <w:sz w:val="24"/>
          <w:szCs w:val="24"/>
        </w:rPr>
        <w:t xml:space="preserve">Lipsitz, G. (2011) </w:t>
      </w:r>
      <w:r w:rsidRPr="009B6D32">
        <w:rPr>
          <w:rFonts w:ascii="Garamond" w:hAnsi="Garamond" w:cs="Garamond"/>
          <w:i/>
          <w:iCs/>
          <w:sz w:val="24"/>
          <w:szCs w:val="24"/>
        </w:rPr>
        <w:t xml:space="preserve">How Racism Takes Place. </w:t>
      </w:r>
      <w:r w:rsidRPr="009B6D32">
        <w:rPr>
          <w:rFonts w:ascii="Garamond" w:hAnsi="Garamond" w:cs="Garamond"/>
          <w:iCs/>
          <w:sz w:val="24"/>
          <w:szCs w:val="24"/>
        </w:rPr>
        <w:t xml:space="preserve">Philadelphia: Temple University Press </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shd w:val="clear" w:color="auto" w:fill="FFFFFF"/>
        </w:rPr>
        <w:t xml:space="preserve">Lipton, M. (1985) </w:t>
      </w:r>
      <w:r w:rsidRPr="009B6D32">
        <w:rPr>
          <w:rFonts w:ascii="Garamond" w:hAnsi="Garamond" w:cs="Garamond"/>
          <w:i/>
          <w:iCs/>
          <w:sz w:val="24"/>
          <w:szCs w:val="24"/>
          <w:shd w:val="clear" w:color="auto" w:fill="FFFFFF"/>
        </w:rPr>
        <w:t xml:space="preserve">Capitalism and Apartheid: South Africa, 1910-1984. </w:t>
      </w:r>
      <w:r w:rsidRPr="009B6D32">
        <w:rPr>
          <w:rFonts w:ascii="Garamond" w:hAnsi="Garamond" w:cs="Garamond"/>
          <w:sz w:val="24"/>
          <w:szCs w:val="24"/>
          <w:shd w:val="clear" w:color="auto" w:fill="FFFFFF"/>
        </w:rPr>
        <w:t>Aldershot: Gower</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Littler, J. (2005) ‘Beyond the Boycott: Anti Consumerism, Cultural Change and the Limits of Reflexivity’ </w:t>
      </w:r>
      <w:r w:rsidRPr="009B6D32">
        <w:rPr>
          <w:rFonts w:ascii="Garamond" w:hAnsi="Garamond" w:cs="Garamond"/>
          <w:i/>
          <w:iCs/>
          <w:kern w:val="28"/>
          <w:sz w:val="24"/>
          <w:szCs w:val="24"/>
          <w:lang w:val="en-US" w:eastAsia="en-GB"/>
        </w:rPr>
        <w:t xml:space="preserve">Cultural Studies, </w:t>
      </w:r>
      <w:r w:rsidRPr="009B6D32">
        <w:rPr>
          <w:rFonts w:ascii="Garamond" w:hAnsi="Garamond" w:cs="Garamond"/>
          <w:kern w:val="28"/>
          <w:sz w:val="24"/>
          <w:szCs w:val="24"/>
          <w:lang w:val="en-US" w:eastAsia="en-GB"/>
        </w:rPr>
        <w:t>19(2), pp. 227-252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lang w:val="en-US"/>
        </w:rPr>
        <w:t>Lockwood, W. (1937) ‘Economics of a Silk Boycott’</w:t>
      </w:r>
      <w:r w:rsidRPr="009B6D32">
        <w:rPr>
          <w:rFonts w:ascii="Garamond" w:hAnsi="Garamond" w:cs="Garamond"/>
          <w:i/>
          <w:iCs/>
          <w:sz w:val="24"/>
          <w:szCs w:val="24"/>
          <w:lang w:val="en-US"/>
        </w:rPr>
        <w:t>, Far Eastern Survey</w:t>
      </w:r>
      <w:r w:rsidRPr="009B6D32">
        <w:rPr>
          <w:rFonts w:ascii="Garamond" w:hAnsi="Garamond" w:cs="Garamond"/>
          <w:sz w:val="24"/>
          <w:szCs w:val="24"/>
          <w:lang w:val="en-US"/>
        </w:rPr>
        <w:t>, 6(22), pp. 247-51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shd w:val="clear" w:color="auto" w:fill="FFFFFF"/>
        </w:rPr>
        <w:t>Lodge, T. (2011) ‘Resistance and Reform 1973-1994’</w:t>
      </w:r>
      <w:r w:rsidRPr="009B6D32">
        <w:rPr>
          <w:rFonts w:ascii="Garamond" w:hAnsi="Garamond" w:cs="Garamond"/>
          <w:i/>
          <w:iCs/>
          <w:sz w:val="24"/>
          <w:szCs w:val="24"/>
          <w:shd w:val="clear" w:color="auto" w:fill="FFFFFF"/>
        </w:rPr>
        <w:t xml:space="preserve"> </w:t>
      </w:r>
      <w:r w:rsidRPr="009B6D32">
        <w:rPr>
          <w:rFonts w:ascii="Garamond" w:hAnsi="Garamond" w:cs="Garamond"/>
          <w:sz w:val="24"/>
          <w:szCs w:val="24"/>
        </w:rPr>
        <w:t xml:space="preserve">in Ross, R., Kelk-Mager, A. and Nasson, B. (eds.), </w:t>
      </w:r>
      <w:r w:rsidRPr="009B6D32">
        <w:rPr>
          <w:rFonts w:ascii="Garamond" w:hAnsi="Garamond" w:cs="Garamond"/>
          <w:i/>
          <w:iCs/>
          <w:sz w:val="24"/>
          <w:szCs w:val="24"/>
        </w:rPr>
        <w:t>The Cambridge History of South Africa, Volume 2 1885-1994.</w:t>
      </w:r>
      <w:r w:rsidRPr="009B6D32">
        <w:rPr>
          <w:rFonts w:ascii="Garamond" w:hAnsi="Garamond" w:cs="Garamond"/>
          <w:sz w:val="24"/>
          <w:szCs w:val="24"/>
        </w:rPr>
        <w:t xml:space="preserve"> London: Cambridge University Press, pp. 319-368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shd w:val="clear" w:color="auto" w:fill="FFFFFF"/>
        </w:rPr>
        <w:t xml:space="preserve">Longhurst, R. (1997) 'Disembodied Geographies', </w:t>
      </w:r>
      <w:r w:rsidRPr="009B6D32">
        <w:rPr>
          <w:rFonts w:ascii="Garamond" w:hAnsi="Garamond" w:cs="Garamond"/>
          <w:i/>
          <w:sz w:val="24"/>
          <w:szCs w:val="24"/>
          <w:shd w:val="clear" w:color="auto" w:fill="FFFFFF"/>
        </w:rPr>
        <w:t>Progress in Human Geographies,</w:t>
      </w:r>
      <w:r w:rsidRPr="009B6D32">
        <w:rPr>
          <w:rFonts w:ascii="Garamond" w:hAnsi="Garamond" w:cs="Garamond"/>
          <w:sz w:val="24"/>
          <w:szCs w:val="24"/>
          <w:shd w:val="clear" w:color="auto" w:fill="FFFFFF"/>
        </w:rPr>
        <w:t xml:space="preserve"> 21(4), pp. 486-501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Longhurst, R. (2000) </w:t>
      </w:r>
      <w:r w:rsidRPr="009B6D32">
        <w:rPr>
          <w:rFonts w:ascii="Garamond" w:hAnsi="Garamond" w:cs="Garamond"/>
          <w:i/>
          <w:iCs/>
          <w:sz w:val="24"/>
          <w:szCs w:val="24"/>
        </w:rPr>
        <w:t>Bodies: Exploring Fluid Boundaries.</w:t>
      </w:r>
      <w:r w:rsidRPr="009B6D32">
        <w:rPr>
          <w:rFonts w:ascii="Garamond" w:hAnsi="Garamond" w:cs="Garamond"/>
          <w:sz w:val="24"/>
          <w:szCs w:val="24"/>
        </w:rPr>
        <w:t xml:space="preserve">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Longhurst, R. (2005) 'Situating Bodies', in Nelson L, Seager J (eds.) </w:t>
      </w:r>
      <w:r w:rsidRPr="009B6D32">
        <w:rPr>
          <w:rFonts w:ascii="Garamond" w:hAnsi="Garamond" w:cs="Garamond"/>
          <w:i/>
          <w:sz w:val="24"/>
          <w:szCs w:val="24"/>
        </w:rPr>
        <w:t>A Companion to Feminist Geography.</w:t>
      </w:r>
      <w:r w:rsidRPr="009B6D32">
        <w:rPr>
          <w:rFonts w:ascii="Garamond" w:hAnsi="Garamond" w:cs="Garamond"/>
          <w:sz w:val="24"/>
          <w:szCs w:val="24"/>
        </w:rPr>
        <w:t xml:space="preserve"> Malden: Blackwell</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Losurdo, D. (2011) </w:t>
      </w:r>
      <w:r w:rsidRPr="009B6D32">
        <w:rPr>
          <w:rFonts w:ascii="Garamond" w:hAnsi="Garamond"/>
          <w:i/>
          <w:sz w:val="24"/>
          <w:szCs w:val="24"/>
        </w:rPr>
        <w:t>Liberalism: A Counter-History.</w:t>
      </w:r>
      <w:r w:rsidRPr="009B6D32">
        <w:rPr>
          <w:rFonts w:ascii="Garamond" w:hAnsi="Garamond"/>
          <w:sz w:val="24"/>
          <w:szCs w:val="24"/>
        </w:rPr>
        <w:t xml:space="preserve"> London, New York: Verso</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Low, W. and Davenport, E. (2007) ‘To boldly go…exploring ethical spaces to re-politicise ethical consumption and fair trade’,</w:t>
      </w:r>
      <w:r w:rsidRPr="009B6D32">
        <w:rPr>
          <w:rFonts w:ascii="Garamond" w:hAnsi="Garamond" w:cs="Garamond"/>
          <w:i/>
          <w:iCs/>
          <w:sz w:val="24"/>
          <w:szCs w:val="24"/>
        </w:rPr>
        <w:t xml:space="preserve"> Journal of Consumer Behaviour</w:t>
      </w:r>
      <w:r w:rsidRPr="009B6D32">
        <w:rPr>
          <w:rFonts w:ascii="Garamond" w:hAnsi="Garamond" w:cs="Garamond"/>
          <w:iCs/>
          <w:sz w:val="24"/>
          <w:szCs w:val="24"/>
        </w:rPr>
        <w:t xml:space="preserve">, </w:t>
      </w:r>
      <w:r w:rsidRPr="009B6D32">
        <w:rPr>
          <w:rFonts w:ascii="Garamond" w:hAnsi="Garamond" w:cs="Garamond"/>
          <w:sz w:val="24"/>
          <w:szCs w:val="24"/>
        </w:rPr>
        <w:t>6(5), pp. 336–348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Luckhardt, K. and Wall, B. (1980) </w:t>
      </w:r>
      <w:r w:rsidRPr="009B6D32">
        <w:rPr>
          <w:rFonts w:ascii="Garamond" w:hAnsi="Garamond" w:cs="Garamond"/>
          <w:i/>
          <w:iCs/>
          <w:sz w:val="24"/>
          <w:szCs w:val="24"/>
        </w:rPr>
        <w:t xml:space="preserve">Organize of Starve: A History of the South African Congress of Trade Unions. </w:t>
      </w:r>
      <w:r w:rsidRPr="009B6D32">
        <w:rPr>
          <w:rFonts w:ascii="Garamond" w:hAnsi="Garamond" w:cs="Garamond"/>
          <w:sz w:val="24"/>
          <w:szCs w:val="24"/>
        </w:rPr>
        <w:t>London: Lawrence and Wishart</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Lupton, D. (1997) </w:t>
      </w:r>
      <w:r w:rsidRPr="009B6D32">
        <w:rPr>
          <w:rFonts w:ascii="Garamond" w:hAnsi="Garamond" w:cs="Garamond"/>
          <w:i/>
          <w:iCs/>
          <w:sz w:val="24"/>
          <w:szCs w:val="24"/>
        </w:rPr>
        <w:t>Food, the Body and the Self</w:t>
      </w:r>
      <w:r w:rsidRPr="009B6D32">
        <w:rPr>
          <w:rFonts w:ascii="Garamond" w:hAnsi="Garamond" w:cs="Garamond"/>
          <w:sz w:val="24"/>
          <w:szCs w:val="24"/>
        </w:rPr>
        <w:t>. London: Sage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Lury, C. (1996) </w:t>
      </w:r>
      <w:r w:rsidRPr="009B6D32">
        <w:rPr>
          <w:rFonts w:ascii="Garamond" w:hAnsi="Garamond" w:cs="Garamond"/>
          <w:i/>
          <w:iCs/>
          <w:sz w:val="24"/>
          <w:szCs w:val="24"/>
          <w:lang w:val="en-US"/>
        </w:rPr>
        <w:t xml:space="preserve">Consumer Culture. </w:t>
      </w:r>
      <w:r w:rsidRPr="009B6D32">
        <w:rPr>
          <w:rFonts w:ascii="Garamond" w:hAnsi="Garamond" w:cs="Garamond"/>
          <w:sz w:val="24"/>
          <w:szCs w:val="24"/>
          <w:lang w:val="en-US"/>
        </w:rPr>
        <w:t>Cambridge: Polity</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rPr>
        <w:t xml:space="preserve">Lury, C. (2004) </w:t>
      </w:r>
      <w:r w:rsidRPr="009B6D32">
        <w:rPr>
          <w:rFonts w:ascii="Garamond" w:hAnsi="Garamond" w:cs="Garamond"/>
          <w:i/>
          <w:iCs/>
          <w:sz w:val="24"/>
          <w:szCs w:val="24"/>
        </w:rPr>
        <w:t>Brands: The Logos of the Global Economy</w:t>
      </w:r>
      <w:r w:rsidRPr="009B6D32">
        <w:rPr>
          <w:rFonts w:ascii="Garamond" w:hAnsi="Garamond" w:cs="Garamond"/>
          <w:sz w:val="24"/>
          <w:szCs w:val="24"/>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MacDonald, I. (1983) </w:t>
      </w:r>
      <w:r w:rsidRPr="009B6D32">
        <w:rPr>
          <w:rFonts w:ascii="Garamond" w:hAnsi="Garamond" w:cs="Garamond"/>
          <w:i/>
          <w:iCs/>
          <w:sz w:val="24"/>
          <w:szCs w:val="24"/>
        </w:rPr>
        <w:t xml:space="preserve">Immigration Law and Practice. </w:t>
      </w:r>
      <w:r w:rsidRPr="009B6D32">
        <w:rPr>
          <w:rFonts w:ascii="Garamond" w:hAnsi="Garamond" w:cs="Garamond"/>
          <w:sz w:val="24"/>
          <w:szCs w:val="24"/>
        </w:rPr>
        <w:t>London: Butterworths Law</w:t>
      </w:r>
    </w:p>
    <w:p w:rsidR="0001718F" w:rsidRPr="009B6D32" w:rsidRDefault="0001718F" w:rsidP="007437F5">
      <w:pPr>
        <w:autoSpaceDE w:val="0"/>
        <w:autoSpaceDN w:val="0"/>
        <w:adjustRightInd w:val="0"/>
        <w:spacing w:after="0" w:line="240" w:lineRule="auto"/>
        <w:ind w:hanging="720"/>
        <w:rPr>
          <w:rFonts w:ascii="Garamond" w:hAnsi="Garamond" w:cs="Times New Roman"/>
          <w:sz w:val="24"/>
          <w:szCs w:val="24"/>
          <w:lang w:val="en-US"/>
        </w:rPr>
      </w:pPr>
      <w:r w:rsidRPr="009B6D32">
        <w:rPr>
          <w:rFonts w:ascii="Garamond" w:hAnsi="Garamond" w:cs="Times New Roman"/>
          <w:sz w:val="24"/>
          <w:szCs w:val="24"/>
          <w:lang w:val="en-US"/>
        </w:rPr>
        <w:t xml:space="preserve">Malbon, B. (1999) </w:t>
      </w:r>
      <w:r w:rsidRPr="009B6D32">
        <w:rPr>
          <w:rFonts w:ascii="Garamond" w:hAnsi="Garamond" w:cs="Times New Roman"/>
          <w:i/>
          <w:iCs/>
          <w:sz w:val="24"/>
          <w:szCs w:val="24"/>
          <w:lang w:val="en-US"/>
        </w:rPr>
        <w:t xml:space="preserve">Clubbing, Dancing, Ecstasy and Vitality. </w:t>
      </w:r>
      <w:r w:rsidRPr="009B6D32">
        <w:rPr>
          <w:rFonts w:ascii="Garamond" w:hAnsi="Garamond" w:cs="Times New Roman"/>
          <w:sz w:val="24"/>
          <w:szCs w:val="24"/>
          <w:lang w:val="en-US"/>
        </w:rPr>
        <w:t>Abingdon: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eastAsia="en-GB"/>
        </w:rPr>
        <w:t>Malbon, B. and Crang, M. (1995) ‘Review: Consuming Geographies’,</w:t>
      </w:r>
      <w:r w:rsidRPr="009B6D32">
        <w:rPr>
          <w:rFonts w:ascii="Garamond" w:hAnsi="Garamond" w:cs="Garamond"/>
          <w:sz w:val="24"/>
          <w:szCs w:val="24"/>
        </w:rPr>
        <w:t xml:space="preserve"> </w:t>
      </w:r>
      <w:r w:rsidRPr="009B6D32">
        <w:rPr>
          <w:rStyle w:val="HTMLCite"/>
          <w:rFonts w:ascii="Garamond" w:hAnsi="Garamond" w:cs="Garamond"/>
          <w:sz w:val="24"/>
          <w:szCs w:val="24"/>
        </w:rPr>
        <w:t>Transactions of the Institute of British Geographers</w:t>
      </w:r>
      <w:r w:rsidRPr="009B6D32">
        <w:rPr>
          <w:rFonts w:ascii="Garamond" w:hAnsi="Garamond" w:cs="Garamond"/>
          <w:sz w:val="24"/>
          <w:szCs w:val="24"/>
        </w:rPr>
        <w:t>, 21(4), pp. 704-711</w:t>
      </w:r>
    </w:p>
    <w:p w:rsidR="0001718F" w:rsidRPr="009B6D32" w:rsidRDefault="0001718F" w:rsidP="007437F5">
      <w:pPr>
        <w:autoSpaceDE w:val="0"/>
        <w:autoSpaceDN w:val="0"/>
        <w:adjustRightInd w:val="0"/>
        <w:spacing w:after="0" w:line="240" w:lineRule="auto"/>
        <w:ind w:hanging="720"/>
        <w:rPr>
          <w:rFonts w:ascii="Garamond" w:hAnsi="Garamond" w:cs="Times New Roman"/>
          <w:sz w:val="24"/>
          <w:szCs w:val="24"/>
          <w:lang w:val="en-US"/>
        </w:rPr>
      </w:pPr>
      <w:r w:rsidRPr="009B6D32">
        <w:rPr>
          <w:rFonts w:ascii="Garamond" w:hAnsi="Garamond" w:cs="Times New Roman"/>
          <w:sz w:val="24"/>
          <w:szCs w:val="24"/>
          <w:lang w:val="en-US"/>
        </w:rPr>
        <w:t>Malkii, L. (1992) '</w:t>
      </w:r>
      <w:r w:rsidRPr="009B6D32">
        <w:rPr>
          <w:rFonts w:ascii="Garamond" w:hAnsi="Garamond"/>
          <w:color w:val="000000"/>
          <w:sz w:val="24"/>
          <w:szCs w:val="24"/>
          <w:shd w:val="clear" w:color="auto" w:fill="FFFFFF"/>
        </w:rPr>
        <w:t>National Geographic: The Rooting of Peoples and the Territorialization of National Identity among Scholars and Refugees;,</w:t>
      </w:r>
      <w:r w:rsidRPr="009B6D32">
        <w:rPr>
          <w:rStyle w:val="apple-converted-space"/>
          <w:rFonts w:ascii="Garamond" w:hAnsi="Garamond"/>
          <w:color w:val="000000"/>
          <w:sz w:val="24"/>
          <w:szCs w:val="24"/>
          <w:shd w:val="clear" w:color="auto" w:fill="FFFFFF"/>
        </w:rPr>
        <w:t> </w:t>
      </w:r>
      <w:r w:rsidRPr="009B6D32">
        <w:rPr>
          <w:rStyle w:val="Emphasis"/>
          <w:rFonts w:ascii="Garamond" w:hAnsi="Garamond"/>
          <w:color w:val="000000"/>
          <w:sz w:val="24"/>
          <w:szCs w:val="24"/>
          <w:shd w:val="clear" w:color="auto" w:fill="FFFFFF"/>
        </w:rPr>
        <w:t>Cultural Anthropology</w:t>
      </w:r>
      <w:r w:rsidRPr="009B6D32">
        <w:rPr>
          <w:rFonts w:ascii="Garamond" w:hAnsi="Garamond"/>
          <w:color w:val="000000"/>
          <w:sz w:val="24"/>
          <w:szCs w:val="24"/>
          <w:shd w:val="clear" w:color="auto" w:fill="FFFFFF"/>
        </w:rPr>
        <w:t>, 7(1), pp. 24-44</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Malpass, A., Cloke, P., Barnett, C. and Clarke, N. (2007) ‘Fairtrade urbanism? The politics of place beyond place in the Bristol fairtrade city campaign’, </w:t>
      </w:r>
      <w:r w:rsidRPr="009B6D32">
        <w:rPr>
          <w:rFonts w:ascii="Garamond" w:hAnsi="Garamond" w:cs="Garamond"/>
          <w:i/>
          <w:iCs/>
          <w:sz w:val="24"/>
          <w:szCs w:val="24"/>
          <w:lang w:val="en-US"/>
        </w:rPr>
        <w:t>International Journal of Urban and Regional Research</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31(3), pp. 633 -645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Mansvelt, J. (2010) ‘Geographies of consumption: engaging with absent presences’, </w:t>
      </w:r>
      <w:r w:rsidRPr="009B6D32">
        <w:rPr>
          <w:rFonts w:ascii="Garamond" w:hAnsi="Garamond" w:cs="Garamond"/>
          <w:i/>
          <w:iCs/>
          <w:sz w:val="24"/>
          <w:szCs w:val="24"/>
        </w:rPr>
        <w:t>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34(2), pp. 224–233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Manzo, K, (2005) ‘Exploiting West Africa’s Children: Trafficking, Slavery and Uneven Development’ </w:t>
      </w:r>
      <w:r w:rsidRPr="009B6D32">
        <w:rPr>
          <w:rFonts w:ascii="Garamond" w:hAnsi="Garamond" w:cs="Garamond"/>
          <w:i/>
          <w:iCs/>
          <w:sz w:val="24"/>
          <w:szCs w:val="24"/>
        </w:rPr>
        <w:t>Area</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iCs/>
          <w:sz w:val="24"/>
          <w:szCs w:val="24"/>
        </w:rPr>
        <w:t xml:space="preserve">pp. </w:t>
      </w:r>
      <w:r w:rsidRPr="009B6D32">
        <w:rPr>
          <w:rFonts w:ascii="Garamond" w:hAnsi="Garamond" w:cs="Garamond"/>
          <w:sz w:val="24"/>
          <w:szCs w:val="24"/>
        </w:rPr>
        <w:t>37(4), pp. 393-401</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Martin, B. (2001) </w:t>
      </w:r>
      <w:r w:rsidRPr="009B6D32">
        <w:rPr>
          <w:rFonts w:ascii="Garamond" w:hAnsi="Garamond" w:cs="Garamond"/>
          <w:i/>
          <w:iCs/>
          <w:sz w:val="24"/>
          <w:szCs w:val="24"/>
          <w:lang w:val="en-US"/>
        </w:rPr>
        <w:t>Technology for Nonviolent Struggle.</w:t>
      </w:r>
      <w:r w:rsidRPr="009B6D32">
        <w:rPr>
          <w:rFonts w:ascii="Garamond" w:hAnsi="Garamond" w:cs="Garamond"/>
          <w:sz w:val="24"/>
          <w:szCs w:val="24"/>
          <w:lang w:val="en-US"/>
        </w:rPr>
        <w:t xml:space="preserve"> London: War Resisters’ International</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cs="Arial"/>
          <w:sz w:val="24"/>
          <w:szCs w:val="24"/>
        </w:rPr>
        <w:t xml:space="preserve">Martinot, S. (2010) </w:t>
      </w:r>
      <w:r w:rsidRPr="009B6D32">
        <w:rPr>
          <w:rFonts w:ascii="Garamond" w:hAnsi="Garamond" w:cs="Verdana"/>
          <w:i/>
          <w:sz w:val="24"/>
          <w:szCs w:val="24"/>
        </w:rPr>
        <w:t xml:space="preserve">The Machinery of Whiteness: Studies in the structure of racialization. </w:t>
      </w:r>
      <w:r w:rsidRPr="009B6D32">
        <w:rPr>
          <w:rFonts w:ascii="Garamond" w:hAnsi="Garamond" w:cs="Verdana"/>
          <w:sz w:val="24"/>
          <w:szCs w:val="24"/>
        </w:rPr>
        <w:t>Philadelphia: Temple University Press</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Verdana"/>
          <w:sz w:val="24"/>
          <w:szCs w:val="24"/>
        </w:rPr>
        <w:t xml:space="preserve">Marx, K. (1969[1844]) 'Theses on Feuerbach' in </w:t>
      </w:r>
      <w:r w:rsidRPr="009B6D32">
        <w:rPr>
          <w:rFonts w:ascii="Garamond" w:hAnsi="Garamond" w:cs="Verdana"/>
          <w:i/>
          <w:sz w:val="24"/>
          <w:szCs w:val="24"/>
        </w:rPr>
        <w:t>Marx/Engels Selected Works</w:t>
      </w:r>
      <w:r w:rsidRPr="009B6D32">
        <w:rPr>
          <w:rFonts w:ascii="Garamond" w:hAnsi="Garamond" w:cs="Verdana"/>
          <w:sz w:val="24"/>
          <w:szCs w:val="24"/>
        </w:rPr>
        <w:t xml:space="preserve">. Moscow: Progress Publishers. Available online at </w:t>
      </w:r>
      <w:r w:rsidRPr="007437F5">
        <w:rPr>
          <w:rFonts w:ascii="Garamond" w:hAnsi="Garamond"/>
          <w:sz w:val="24"/>
          <w:szCs w:val="24"/>
        </w:rPr>
        <w:t>http://www.marxists.org/archive/marx/works/1845/theses/theses.htm</w:t>
      </w:r>
      <w:r w:rsidRPr="009B6D32">
        <w:rPr>
          <w:rFonts w:ascii="Garamond" w:hAnsi="Garamond"/>
          <w:sz w:val="24"/>
          <w:szCs w:val="24"/>
        </w:rPr>
        <w:t>. (Accessed 10 August 2012)</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sz w:val="24"/>
          <w:szCs w:val="24"/>
          <w:shd w:val="clear" w:color="auto" w:fill="FFFFFF"/>
        </w:rPr>
        <w:t>Marx, K. (1977 [1859])</w:t>
      </w:r>
      <w:r w:rsidRPr="009B6D32">
        <w:rPr>
          <w:rStyle w:val="apple-converted-space"/>
          <w:rFonts w:ascii="Garamond" w:hAnsi="Garamond"/>
          <w:sz w:val="24"/>
          <w:szCs w:val="24"/>
          <w:shd w:val="clear" w:color="auto" w:fill="FFFFFF"/>
        </w:rPr>
        <w:t> </w:t>
      </w:r>
      <w:r w:rsidRPr="009B6D32">
        <w:rPr>
          <w:rStyle w:val="Emphasis"/>
          <w:rFonts w:ascii="Garamond" w:hAnsi="Garamond"/>
          <w:sz w:val="24"/>
          <w:szCs w:val="24"/>
          <w:shd w:val="clear" w:color="auto" w:fill="FFFFFF"/>
        </w:rPr>
        <w:t>A Contribution to the Critique of Political Economy</w:t>
      </w:r>
      <w:r w:rsidRPr="009B6D32">
        <w:rPr>
          <w:rFonts w:ascii="Garamond" w:hAnsi="Garamond"/>
          <w:sz w:val="24"/>
          <w:szCs w:val="24"/>
          <w:shd w:val="clear" w:color="auto" w:fill="FFFFFF"/>
        </w:rPr>
        <w:t xml:space="preserve">. Moscow: Progress Publishers. Available Online at </w:t>
      </w:r>
      <w:r w:rsidRPr="007437F5">
        <w:rPr>
          <w:rFonts w:ascii="Garamond" w:hAnsi="Garamond"/>
          <w:sz w:val="24"/>
          <w:szCs w:val="24"/>
        </w:rPr>
        <w:t>http://www.marxists.org/archive/marx/works/1859/critique-pol-economy/preface.htm</w:t>
      </w:r>
      <w:r w:rsidRPr="009B6D32">
        <w:rPr>
          <w:rFonts w:ascii="Garamond" w:hAnsi="Garamond"/>
          <w:sz w:val="24"/>
          <w:szCs w:val="24"/>
        </w:rPr>
        <w:t>. (Accessed 6 June 2012)</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Marx, K. (2010 [1887]) </w:t>
      </w:r>
      <w:r w:rsidRPr="009B6D32">
        <w:rPr>
          <w:rFonts w:ascii="Garamond" w:hAnsi="Garamond"/>
          <w:i/>
          <w:sz w:val="24"/>
          <w:szCs w:val="24"/>
        </w:rPr>
        <w:t>Capital: A Critique of Political Economy</w:t>
      </w:r>
      <w:r w:rsidRPr="009B6D32">
        <w:rPr>
          <w:rFonts w:ascii="Garamond" w:hAnsi="Garamond"/>
          <w:sz w:val="24"/>
          <w:szCs w:val="24"/>
        </w:rPr>
        <w:t>, Vol. I, 1st edn., translated by Moore, S. and Aveling, G. Moscow: Progress Publishers</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sz w:val="24"/>
          <w:szCs w:val="24"/>
        </w:rPr>
        <w:t xml:space="preserve">Marxist Encyclopaedia. (2013) 'Solidarity'. Available online at http://www.marxists.org/glossary/frame.htm. Accessed 4 September 2012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color w:val="000000"/>
          <w:sz w:val="24"/>
          <w:szCs w:val="24"/>
          <w:shd w:val="clear" w:color="auto" w:fill="FFFFFF"/>
        </w:rPr>
        <w:t>Mason, K., Brown, G. and Pickerill, J. (2013) ‘Epistemologies of Participation, or, What Do Critical Human Geographers Know That's of Any Use</w:t>
      </w:r>
      <w:r w:rsidRPr="009B6D32">
        <w:rPr>
          <w:rFonts w:ascii="Garamond" w:hAnsi="Garamond" w:cs="Garamond"/>
          <w:i/>
          <w:iCs/>
          <w:color w:val="000000"/>
          <w:sz w:val="24"/>
          <w:szCs w:val="24"/>
          <w:shd w:val="clear" w:color="auto" w:fill="FFFFFF"/>
        </w:rPr>
        <w:t>?</w:t>
      </w:r>
      <w:r w:rsidRPr="009B6D32">
        <w:rPr>
          <w:rFonts w:ascii="Garamond" w:hAnsi="Garamond" w:cs="Garamond"/>
          <w:iCs/>
          <w:color w:val="000000"/>
          <w:sz w:val="24"/>
          <w:szCs w:val="24"/>
          <w:shd w:val="clear" w:color="auto" w:fill="FFFFFF"/>
        </w:rPr>
        <w:t>’</w:t>
      </w:r>
      <w:r w:rsidRPr="009B6D32">
        <w:rPr>
          <w:rFonts w:ascii="Garamond" w:hAnsi="Garamond" w:cs="Garamond"/>
          <w:i/>
          <w:iCs/>
          <w:color w:val="000000"/>
          <w:sz w:val="24"/>
          <w:szCs w:val="24"/>
          <w:shd w:val="clear" w:color="auto" w:fill="FFFFFF"/>
        </w:rPr>
        <w:t xml:space="preserve"> Antipode,</w:t>
      </w:r>
      <w:r w:rsidRPr="009B6D32">
        <w:rPr>
          <w:rFonts w:ascii="Garamond" w:hAnsi="Garamond" w:cs="Garamond"/>
          <w:color w:val="000000"/>
          <w:sz w:val="24"/>
          <w:szCs w:val="24"/>
          <w:shd w:val="clear" w:color="auto" w:fill="FFFFFF"/>
        </w:rPr>
        <w:t xml:space="preserve"> 45(2), pp. 252–255</w:t>
      </w:r>
    </w:p>
    <w:p w:rsidR="0001718F" w:rsidRDefault="0001718F" w:rsidP="0001718F">
      <w:pPr>
        <w:spacing w:after="0" w:line="240" w:lineRule="auto"/>
        <w:ind w:hanging="720"/>
        <w:jc w:val="both"/>
        <w:rPr>
          <w:rFonts w:ascii="Garamond" w:hAnsi="Garamond" w:cs="Garamond"/>
          <w:sz w:val="24"/>
          <w:szCs w:val="24"/>
        </w:rPr>
      </w:pPr>
      <w:r>
        <w:rPr>
          <w:rFonts w:ascii="Garamond" w:hAnsi="Garamond" w:cs="F18"/>
          <w:sz w:val="24"/>
          <w:szCs w:val="24"/>
        </w:rPr>
        <w:t xml:space="preserve">Massey, D, (2003) 'Imagining The Field', in Pryke, M. Rose, G. Whatmore, S. (eds.) </w:t>
      </w:r>
      <w:r>
        <w:rPr>
          <w:rFonts w:ascii="Garamond" w:hAnsi="Garamond" w:cs="F18"/>
          <w:i/>
          <w:sz w:val="24"/>
          <w:szCs w:val="24"/>
        </w:rPr>
        <w:t xml:space="preserve">Using Social Theory: Thinking Through Research. </w:t>
      </w:r>
      <w:r>
        <w:rPr>
          <w:rFonts w:ascii="Garamond" w:hAnsi="Garamond" w:cs="F18"/>
          <w:sz w:val="24"/>
          <w:szCs w:val="24"/>
        </w:rPr>
        <w:t>London: Sage, pp. 71-89</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Massey, D. (1991) ‘A Global Sense of Place’, </w:t>
      </w:r>
      <w:r w:rsidRPr="009B6D32">
        <w:rPr>
          <w:rFonts w:ascii="Garamond" w:hAnsi="Garamond" w:cs="Garamond"/>
          <w:i/>
          <w:iCs/>
          <w:sz w:val="24"/>
          <w:szCs w:val="24"/>
          <w:lang w:val="en-US"/>
        </w:rPr>
        <w:t>Marxism Today</w:t>
      </w:r>
      <w:r w:rsidRPr="009B6D32">
        <w:rPr>
          <w:rFonts w:ascii="Garamond" w:hAnsi="Garamond" w:cs="Garamond"/>
          <w:iCs/>
          <w:sz w:val="24"/>
          <w:szCs w:val="24"/>
          <w:lang w:val="en-US"/>
        </w:rPr>
        <w:t>, 38,</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pp. 24-29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Massey, D. (1999) ‘Spaces of Politics’, in Massey, D., Allen, J. and Sarre, P. (eds.) </w:t>
      </w:r>
      <w:r w:rsidRPr="009B6D32">
        <w:rPr>
          <w:rFonts w:ascii="Garamond" w:hAnsi="Garamond" w:cs="Garamond"/>
          <w:i/>
          <w:iCs/>
          <w:sz w:val="24"/>
          <w:szCs w:val="24"/>
          <w:lang w:val="en-US"/>
        </w:rPr>
        <w:t xml:space="preserve">Human Geography Today. </w:t>
      </w:r>
      <w:r w:rsidRPr="009B6D32">
        <w:rPr>
          <w:rFonts w:ascii="Garamond" w:hAnsi="Garamond" w:cs="Garamond"/>
          <w:sz w:val="24"/>
          <w:szCs w:val="24"/>
          <w:lang w:val="en-US"/>
        </w:rPr>
        <w:t>Cambridge: Polity, pp. 247-60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Massey, D. (2004) ‘Geographies of responsibility’. </w:t>
      </w:r>
      <w:r w:rsidRPr="009B6D32">
        <w:rPr>
          <w:rFonts w:ascii="Garamond" w:hAnsi="Garamond" w:cs="Garamond"/>
          <w:i/>
          <w:iCs/>
          <w:sz w:val="24"/>
          <w:szCs w:val="24"/>
        </w:rPr>
        <w:t>Geografiska Annaler: Series B, Human Geography</w:t>
      </w:r>
      <w:r w:rsidRPr="009B6D32">
        <w:rPr>
          <w:rFonts w:ascii="Garamond" w:hAnsi="Garamond" w:cs="Garamond"/>
          <w:sz w:val="24"/>
          <w:szCs w:val="24"/>
        </w:rPr>
        <w:t>, 86(1), pp. 5-18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Massey, D. (2005a) </w:t>
      </w:r>
      <w:r w:rsidRPr="009B6D32">
        <w:rPr>
          <w:rFonts w:ascii="Garamond" w:hAnsi="Garamond" w:cs="Garamond"/>
          <w:i/>
          <w:iCs/>
          <w:sz w:val="24"/>
          <w:szCs w:val="24"/>
          <w:lang w:val="en-US"/>
        </w:rPr>
        <w:t xml:space="preserve">For Space. </w:t>
      </w:r>
      <w:r w:rsidRPr="009B6D32">
        <w:rPr>
          <w:rFonts w:ascii="Garamond" w:hAnsi="Garamond" w:cs="Garamond"/>
          <w:sz w:val="24"/>
          <w:szCs w:val="24"/>
          <w:lang w:val="en-US"/>
        </w:rPr>
        <w:t>London: Sage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shd w:val="clear" w:color="auto" w:fill="FFFFFF"/>
        </w:rPr>
      </w:pPr>
      <w:r w:rsidRPr="009B6D32">
        <w:rPr>
          <w:rFonts w:ascii="Garamond" w:hAnsi="Garamond" w:cs="Garamond"/>
          <w:sz w:val="24"/>
          <w:szCs w:val="24"/>
          <w:lang w:val="en-US"/>
        </w:rPr>
        <w:t>Massey, D. (2005b) ‘</w:t>
      </w:r>
      <w:r w:rsidRPr="009B6D32">
        <w:rPr>
          <w:rStyle w:val="Emphasis"/>
          <w:rFonts w:ascii="Garamond" w:hAnsi="Garamond" w:cs="Garamond"/>
          <w:sz w:val="24"/>
          <w:szCs w:val="24"/>
          <w:shd w:val="clear" w:color="auto" w:fill="FFFFFF"/>
        </w:rPr>
        <w:t xml:space="preserve">Power-Geometry and a Progressive Sense of Place’, </w:t>
      </w:r>
      <w:r w:rsidRPr="009B6D32">
        <w:rPr>
          <w:rFonts w:ascii="Garamond" w:hAnsi="Garamond" w:cs="Garamond"/>
          <w:sz w:val="24"/>
          <w:szCs w:val="24"/>
          <w:shd w:val="clear" w:color="auto" w:fill="FFFFFF"/>
        </w:rPr>
        <w:t xml:space="preserve">Bird, J., Curtis, B., Putnam, T., Robertson, G. and Tickner, L. (eds.) </w:t>
      </w:r>
      <w:r w:rsidRPr="009B6D32">
        <w:rPr>
          <w:rFonts w:ascii="Garamond" w:hAnsi="Garamond" w:cs="Garamond"/>
          <w:i/>
          <w:sz w:val="24"/>
          <w:szCs w:val="24"/>
          <w:shd w:val="clear" w:color="auto" w:fill="FFFFFF"/>
        </w:rPr>
        <w:t>Mapping the Futures: Local Cultures, Global Changes.</w:t>
      </w:r>
      <w:r w:rsidRPr="009B6D32">
        <w:rPr>
          <w:rFonts w:ascii="Garamond" w:hAnsi="Garamond" w:cs="Garamond"/>
          <w:sz w:val="24"/>
          <w:szCs w:val="24"/>
          <w:shd w:val="clear" w:color="auto" w:fill="FFFFFF"/>
        </w:rPr>
        <w:t xml:space="preserve">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Massey, D. (2006) ‘Space, time and political responsibility in the midst of global inequality’, </w:t>
      </w:r>
      <w:r w:rsidRPr="009B6D32">
        <w:rPr>
          <w:rFonts w:ascii="Garamond" w:hAnsi="Garamond" w:cs="Garamond"/>
          <w:i/>
          <w:sz w:val="24"/>
          <w:szCs w:val="24"/>
          <w:lang w:val="en-US"/>
        </w:rPr>
        <w:t>Erkunde</w:t>
      </w:r>
      <w:r w:rsidRPr="009B6D32">
        <w:rPr>
          <w:rFonts w:ascii="Garamond" w:hAnsi="Garamond" w:cs="Garamond"/>
          <w:sz w:val="24"/>
          <w:szCs w:val="24"/>
          <w:lang w:val="en-US"/>
        </w:rPr>
        <w:t>, 60, pp. 89-95.</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Massey, D. (2007) </w:t>
      </w:r>
      <w:r w:rsidRPr="009B6D32">
        <w:rPr>
          <w:rFonts w:ascii="Garamond" w:hAnsi="Garamond" w:cs="Garamond"/>
          <w:i/>
          <w:iCs/>
          <w:sz w:val="24"/>
          <w:szCs w:val="24"/>
          <w:lang w:val="en-US"/>
        </w:rPr>
        <w:t>World City</w:t>
      </w:r>
      <w:r w:rsidRPr="009B6D32">
        <w:rPr>
          <w:rFonts w:ascii="Garamond" w:hAnsi="Garamond" w:cs="Garamond"/>
          <w:sz w:val="24"/>
          <w:szCs w:val="24"/>
          <w:lang w:val="en-US"/>
        </w:rPr>
        <w:t>. Cambridge: Polity</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AdvOT681422bb"/>
          <w:sz w:val="24"/>
          <w:szCs w:val="24"/>
        </w:rPr>
        <w:t xml:space="preserve">Massey, D. (2008) 'Geographies of solidarities', In Clark, N., Massey, D. and Sarre, P. (eds.) </w:t>
      </w:r>
      <w:r w:rsidRPr="009B6D32">
        <w:rPr>
          <w:rFonts w:ascii="Garamond" w:hAnsi="Garamond" w:cs="AdvOTef299c07.I"/>
          <w:i/>
          <w:sz w:val="24"/>
          <w:szCs w:val="24"/>
        </w:rPr>
        <w:t>Material</w:t>
      </w:r>
      <w:r w:rsidRPr="009B6D32">
        <w:rPr>
          <w:rFonts w:ascii="Garamond" w:hAnsi="Garamond" w:cs="Garamond"/>
          <w:i/>
          <w:sz w:val="24"/>
          <w:szCs w:val="24"/>
          <w:lang w:val="en-US"/>
        </w:rPr>
        <w:t xml:space="preserve"> </w:t>
      </w:r>
      <w:r w:rsidRPr="009B6D32">
        <w:rPr>
          <w:rFonts w:ascii="Garamond" w:hAnsi="Garamond" w:cs="AdvOTef299c07.I"/>
          <w:i/>
          <w:sz w:val="24"/>
          <w:szCs w:val="24"/>
        </w:rPr>
        <w:t>Geographies</w:t>
      </w:r>
      <w:r w:rsidRPr="009B6D32">
        <w:rPr>
          <w:rFonts w:ascii="Garamond" w:hAnsi="Garamond" w:cs="AdvOTef299c07.I"/>
          <w:sz w:val="24"/>
          <w:szCs w:val="24"/>
        </w:rPr>
        <w:t xml:space="preserve">. </w:t>
      </w:r>
      <w:r w:rsidRPr="009B6D32">
        <w:rPr>
          <w:rFonts w:ascii="Garamond" w:hAnsi="Garamond" w:cs="AdvOT681422bb"/>
          <w:sz w:val="24"/>
          <w:szCs w:val="24"/>
        </w:rPr>
        <w:t>London: Sage, pp. 311</w:t>
      </w:r>
      <w:r w:rsidRPr="009B6D32">
        <w:rPr>
          <w:rFonts w:ascii="Garamond" w:hAnsi="Garamond" w:cs="AdvOT681422bb+20"/>
          <w:sz w:val="24"/>
          <w:szCs w:val="24"/>
        </w:rPr>
        <w:t>–</w:t>
      </w:r>
      <w:r w:rsidRPr="009B6D32">
        <w:rPr>
          <w:rFonts w:ascii="Garamond" w:hAnsi="Garamond" w:cs="AdvOT681422bb"/>
          <w:sz w:val="24"/>
          <w:szCs w:val="24"/>
        </w:rPr>
        <w:t>362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Mather, C. and Mackenzie, C. (2006) ‘The Body in Transnational Commodity Cultures: South Africa’s Outspan ‘Girl’s’ Campaign’, </w:t>
      </w:r>
      <w:r w:rsidR="00F152DB">
        <w:rPr>
          <w:rFonts w:ascii="Garamond" w:hAnsi="Garamond" w:cs="Garamond"/>
          <w:i/>
          <w:iCs/>
          <w:sz w:val="24"/>
          <w:szCs w:val="24"/>
          <w:lang w:val="en-US"/>
        </w:rPr>
        <w:t>Social &amp; Cultural</w:t>
      </w:r>
      <w:r w:rsidRPr="009B6D32">
        <w:rPr>
          <w:rFonts w:ascii="Garamond" w:hAnsi="Garamond" w:cs="Garamond"/>
          <w:i/>
          <w:iCs/>
          <w:sz w:val="24"/>
          <w:szCs w:val="24"/>
          <w:lang w:val="en-US"/>
        </w:rPr>
        <w:t xml:space="preserve"> Geography, </w:t>
      </w:r>
      <w:r w:rsidRPr="009B6D32">
        <w:rPr>
          <w:rFonts w:ascii="Garamond" w:hAnsi="Garamond" w:cs="Garamond"/>
          <w:sz w:val="24"/>
          <w:szCs w:val="24"/>
          <w:lang w:val="en-US"/>
        </w:rPr>
        <w:t>7(3), pp. 403-20</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Mather, C. and Rowcroft, C. (2004) ‘Citrus, Apartheid, and the Struggle to (Re)present Outspan Oranges’ in Reimer, A. and Hughes, S. (eds.), </w:t>
      </w:r>
      <w:r w:rsidRPr="009B6D32">
        <w:rPr>
          <w:rFonts w:ascii="Garamond" w:hAnsi="Garamond" w:cs="Garamond"/>
          <w:i/>
          <w:iCs/>
          <w:sz w:val="24"/>
          <w:szCs w:val="24"/>
          <w:lang w:val="en-US"/>
        </w:rPr>
        <w:t xml:space="preserve">Geographies of Commodity Chains. </w:t>
      </w:r>
      <w:r w:rsidRPr="009B6D32">
        <w:rPr>
          <w:rFonts w:ascii="Garamond" w:hAnsi="Garamond" w:cs="Garamond"/>
          <w:sz w:val="24"/>
          <w:szCs w:val="24"/>
          <w:lang w:val="en-US"/>
        </w:rPr>
        <w:t>London: Routledge, pp. 156-171</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pacing w:val="-13"/>
          <w:sz w:val="24"/>
          <w:szCs w:val="24"/>
          <w:lang w:eastAsia="en-GB"/>
        </w:rPr>
        <w:t>Mattoni, A. (2013) 'Repertoires of Communication in Social Movement Processes' in Cammaerts, B., Mattoni , A. and McCurdy, P. (eds.)</w:t>
      </w:r>
      <w:r w:rsidRPr="009B6D32">
        <w:rPr>
          <w:rFonts w:ascii="Garamond" w:hAnsi="Garamond" w:cs="Garamond"/>
          <w:color w:val="000000"/>
          <w:sz w:val="24"/>
          <w:szCs w:val="24"/>
          <w:lang w:eastAsia="en-GB"/>
        </w:rPr>
        <w:t xml:space="preserve">, </w:t>
      </w:r>
      <w:r w:rsidRPr="009B6D32">
        <w:rPr>
          <w:rFonts w:ascii="Garamond" w:hAnsi="Garamond" w:cs="Garamond"/>
          <w:i/>
          <w:iCs/>
          <w:color w:val="000000"/>
          <w:sz w:val="24"/>
          <w:szCs w:val="24"/>
          <w:lang w:eastAsia="en-GB"/>
        </w:rPr>
        <w:t>Mediation and Protest Movements</w:t>
      </w:r>
      <w:r w:rsidRPr="009B6D32">
        <w:rPr>
          <w:rFonts w:ascii="Garamond" w:hAnsi="Garamond" w:cs="Garamond"/>
          <w:color w:val="000000"/>
          <w:sz w:val="24"/>
          <w:szCs w:val="24"/>
          <w:lang w:eastAsia="en-GB"/>
        </w:rPr>
        <w:t>. Bristol: Intellect Publishing, pp. 39-56</w:t>
      </w:r>
    </w:p>
    <w:p w:rsidR="0001718F" w:rsidRPr="00B1495D" w:rsidRDefault="0001718F" w:rsidP="007437F5">
      <w:pPr>
        <w:autoSpaceDE w:val="0"/>
        <w:autoSpaceDN w:val="0"/>
        <w:adjustRightInd w:val="0"/>
        <w:spacing w:after="0" w:line="240" w:lineRule="auto"/>
        <w:ind w:hanging="720"/>
        <w:rPr>
          <w:rFonts w:ascii="Garamond" w:hAnsi="Garamond" w:cs="Garamond"/>
          <w:sz w:val="24"/>
          <w:szCs w:val="24"/>
          <w:lang w:val="en-US"/>
        </w:rPr>
      </w:pPr>
      <w:r w:rsidRPr="003064A9">
        <w:rPr>
          <w:rFonts w:ascii="Garamond" w:hAnsi="Garamond" w:cs="Garamond"/>
          <w:sz w:val="24"/>
          <w:szCs w:val="24"/>
        </w:rPr>
        <w:t>Mayson, C</w:t>
      </w:r>
      <w:r>
        <w:rPr>
          <w:rFonts w:ascii="Garamond" w:hAnsi="Garamond" w:cs="Garamond"/>
          <w:sz w:val="24"/>
          <w:szCs w:val="24"/>
        </w:rPr>
        <w:t>.</w:t>
      </w:r>
      <w:r w:rsidRPr="003064A9">
        <w:rPr>
          <w:rFonts w:ascii="Garamond" w:hAnsi="Garamond" w:cs="Garamond"/>
          <w:sz w:val="24"/>
          <w:szCs w:val="24"/>
        </w:rPr>
        <w:t xml:space="preserve"> (1983) The Spirit of Liberation.</w:t>
      </w:r>
      <w:r>
        <w:rPr>
          <w:rFonts w:ascii="Garamond" w:hAnsi="Garamond" w:cs="Garamond"/>
          <w:sz w:val="24"/>
          <w:szCs w:val="24"/>
        </w:rPr>
        <w:t xml:space="preserve"> Leiden Lecture. </w:t>
      </w:r>
      <w:r w:rsidRPr="00B1495D">
        <w:rPr>
          <w:rFonts w:ascii="Garamond" w:hAnsi="Garamond" w:cs="Garamond"/>
          <w:iCs/>
          <w:sz w:val="24"/>
          <w:szCs w:val="24"/>
        </w:rPr>
        <w:t>Private Archive du Plessis</w:t>
      </w:r>
      <w:r>
        <w:rPr>
          <w:rFonts w:ascii="Garamond" w:hAnsi="Garamond" w:cs="Garamond"/>
          <w:iCs/>
          <w:sz w:val="24"/>
          <w:szCs w:val="24"/>
        </w:rPr>
        <w:t>, E</w:t>
      </w:r>
    </w:p>
    <w:p w:rsidR="0001718F"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Mayson, C. (1985) </w:t>
      </w:r>
      <w:r w:rsidRPr="009B6D32">
        <w:rPr>
          <w:rFonts w:ascii="Garamond" w:hAnsi="Garamond" w:cs="Garamond"/>
          <w:i/>
          <w:iCs/>
          <w:sz w:val="24"/>
          <w:szCs w:val="24"/>
          <w:lang w:val="en-US"/>
        </w:rPr>
        <w:t xml:space="preserve">A Certain Sound: The Struggle for Liberation in South Africa. </w:t>
      </w:r>
      <w:r w:rsidRPr="009B6D32">
        <w:rPr>
          <w:rFonts w:ascii="Garamond" w:hAnsi="Garamond" w:cs="Garamond"/>
          <w:sz w:val="24"/>
          <w:szCs w:val="24"/>
          <w:lang w:val="en-US"/>
        </w:rPr>
        <w:t>New York: Orbis Books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Mbembe, A. (2001) </w:t>
      </w:r>
      <w:r w:rsidRPr="009B6D32">
        <w:rPr>
          <w:rFonts w:ascii="Garamond" w:hAnsi="Garamond" w:cs="Garamond"/>
          <w:i/>
          <w:iCs/>
          <w:sz w:val="24"/>
          <w:szCs w:val="24"/>
        </w:rPr>
        <w:t xml:space="preserve">On the Postcolony, </w:t>
      </w:r>
      <w:r w:rsidRPr="009B6D32">
        <w:rPr>
          <w:rFonts w:ascii="Garamond" w:hAnsi="Garamond" w:cs="Garamond"/>
          <w:sz w:val="24"/>
          <w:szCs w:val="24"/>
        </w:rPr>
        <w:t>translated by Berret et al.</w:t>
      </w:r>
      <w:r w:rsidRPr="009B6D32">
        <w:rPr>
          <w:rFonts w:ascii="Garamond" w:hAnsi="Garamond" w:cs="Garamond"/>
          <w:i/>
          <w:iCs/>
          <w:sz w:val="24"/>
          <w:szCs w:val="24"/>
        </w:rPr>
        <w:t xml:space="preserve">, </w:t>
      </w:r>
      <w:r w:rsidRPr="009B6D32">
        <w:rPr>
          <w:rFonts w:ascii="Garamond" w:hAnsi="Garamond" w:cs="Garamond"/>
          <w:sz w:val="24"/>
          <w:szCs w:val="24"/>
        </w:rPr>
        <w:t>London: University of California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McClintock, A. (1995)</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Imperial Leather: Race, Gender and Sexuality in the Colonial Contest</w:t>
      </w:r>
      <w:r w:rsidRPr="009B6D32">
        <w:rPr>
          <w:rFonts w:ascii="Garamond" w:hAnsi="Garamond" w:cs="Garamond"/>
          <w:sz w:val="24"/>
          <w:szCs w:val="24"/>
        </w:rPr>
        <w:t>. London: Routledge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Times New Roman"/>
          <w:sz w:val="24"/>
          <w:szCs w:val="24"/>
          <w:lang w:val="en-US"/>
        </w:rPr>
        <w:t xml:space="preserve">McDowell, L. (1998) Elites in the City of London: some methodological considerations. </w:t>
      </w:r>
      <w:r w:rsidRPr="009B6D32">
        <w:rPr>
          <w:rFonts w:ascii="Garamond" w:hAnsi="Garamond" w:cs="Times New Roman"/>
          <w:i/>
          <w:iCs/>
          <w:sz w:val="24"/>
          <w:szCs w:val="24"/>
          <w:lang w:val="en-US"/>
        </w:rPr>
        <w:t>Environment &amp; Planning A,</w:t>
      </w:r>
      <w:r w:rsidRPr="009B6D32">
        <w:rPr>
          <w:rFonts w:ascii="Garamond" w:hAnsi="Garamond" w:cs="Times New Roman"/>
          <w:sz w:val="24"/>
          <w:szCs w:val="24"/>
          <w:lang w:val="en-US"/>
        </w:rPr>
        <w:t xml:space="preserve"> 30(12), pp. 2133-2146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McDowell, L. (2001) ‘‘It’s that Linda again’: Ethical, practical and political issues involved in longitudinal research with young men’, </w:t>
      </w:r>
      <w:r w:rsidRPr="009B6D32">
        <w:rPr>
          <w:rFonts w:ascii="Garamond" w:hAnsi="Garamond" w:cs="Garamond"/>
          <w:i/>
          <w:iCs/>
          <w:sz w:val="24"/>
          <w:szCs w:val="24"/>
        </w:rPr>
        <w:t>Ethics, Place and Environment</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4(2), pp. 87-100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Times New Roman"/>
          <w:sz w:val="24"/>
          <w:szCs w:val="24"/>
          <w:lang w:val="en-US"/>
        </w:rPr>
        <w:t xml:space="preserve">McDowell, L. (2004) 'Work, welfare, work/life balance and an ethic of care', </w:t>
      </w:r>
      <w:r w:rsidRPr="009B6D32">
        <w:rPr>
          <w:rFonts w:ascii="Garamond" w:hAnsi="Garamond" w:cs="Times New Roman"/>
          <w:i/>
          <w:iCs/>
          <w:sz w:val="24"/>
          <w:szCs w:val="24"/>
          <w:lang w:val="en-US"/>
        </w:rPr>
        <w:t>Progress in Human Geography,</w:t>
      </w:r>
      <w:r w:rsidRPr="009B6D32">
        <w:rPr>
          <w:rFonts w:ascii="Garamond" w:hAnsi="Garamond" w:cs="Times New Roman"/>
          <w:sz w:val="24"/>
          <w:szCs w:val="24"/>
          <w:lang w:val="en-US"/>
        </w:rPr>
        <w:t xml:space="preserve"> 28 (2), pp. 145-163</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Times New Roman"/>
          <w:sz w:val="24"/>
          <w:szCs w:val="24"/>
          <w:lang w:val="en-US"/>
        </w:rPr>
        <w:t>McDowell, L. and Court, G. (1994) 'Performing work: bodily representations in merchant banks'</w:t>
      </w:r>
      <w:r w:rsidRPr="009B6D32">
        <w:rPr>
          <w:rFonts w:ascii="Garamond" w:hAnsi="Garamond" w:cs="Times New Roman"/>
          <w:i/>
          <w:iCs/>
          <w:sz w:val="24"/>
          <w:szCs w:val="24"/>
          <w:lang w:val="en-US"/>
        </w:rPr>
        <w:t xml:space="preserve"> Environment &amp; Planning D: Society and Space, </w:t>
      </w:r>
      <w:r w:rsidRPr="009B6D32">
        <w:rPr>
          <w:rFonts w:ascii="Garamond" w:hAnsi="Garamond" w:cs="Times New Roman"/>
          <w:sz w:val="24"/>
          <w:szCs w:val="24"/>
          <w:lang w:val="en-US"/>
        </w:rPr>
        <w:t>12(6), pp. 727-750</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McDowell, L. and Sharp, J. (eds.) (1999) </w:t>
      </w:r>
      <w:r w:rsidRPr="009B6D32">
        <w:rPr>
          <w:rFonts w:ascii="Garamond" w:hAnsi="Garamond" w:cs="Garamond"/>
          <w:i/>
          <w:iCs/>
          <w:sz w:val="24"/>
          <w:szCs w:val="24"/>
          <w:lang w:val="en-US"/>
        </w:rPr>
        <w:t xml:space="preserve">A Feminist Glossary of Human Geography. </w:t>
      </w:r>
      <w:r w:rsidRPr="009B6D32">
        <w:rPr>
          <w:rFonts w:ascii="Garamond" w:hAnsi="Garamond" w:cs="Garamond"/>
          <w:sz w:val="24"/>
          <w:szCs w:val="24"/>
          <w:lang w:val="en-US"/>
        </w:rPr>
        <w:t>London: Arnold</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McGinnis, L. and Gentry, J. (2009) ‘Underdog Consumption: An exploration into meanings and motives’, </w:t>
      </w:r>
      <w:r w:rsidRPr="009B6D32">
        <w:rPr>
          <w:rFonts w:ascii="Garamond" w:hAnsi="Garamond" w:cs="Garamond"/>
          <w:i/>
          <w:iCs/>
          <w:sz w:val="24"/>
          <w:szCs w:val="24"/>
          <w:lang w:val="en-US"/>
        </w:rPr>
        <w:t>Journal of Business Research</w:t>
      </w:r>
      <w:r w:rsidRPr="009B6D32">
        <w:rPr>
          <w:rFonts w:ascii="Garamond" w:hAnsi="Garamond" w:cs="Garamond"/>
          <w:iCs/>
          <w:sz w:val="24"/>
          <w:szCs w:val="24"/>
          <w:lang w:val="en-US"/>
        </w:rPr>
        <w:t xml:space="preserve">, </w:t>
      </w:r>
      <w:r w:rsidRPr="009B6D32">
        <w:rPr>
          <w:rFonts w:ascii="Garamond" w:hAnsi="Garamond" w:cs="Garamond"/>
          <w:sz w:val="24"/>
          <w:szCs w:val="24"/>
          <w:lang w:val="en-US"/>
        </w:rPr>
        <w:t>62(2), pp. 191-199</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McGowan, A. (2006) ‘An all consuming subject? Women and consumption in Late Nineteenth and Early Twentieth Century Western India’, </w:t>
      </w:r>
      <w:r w:rsidRPr="009B6D32">
        <w:rPr>
          <w:rFonts w:ascii="Garamond" w:hAnsi="Garamond" w:cs="Garamond"/>
          <w:i/>
          <w:iCs/>
          <w:sz w:val="24"/>
          <w:szCs w:val="24"/>
          <w:lang w:val="en-US"/>
        </w:rPr>
        <w:t>Journal of Women</w:t>
      </w:r>
      <w:r w:rsidRPr="009B6D32">
        <w:rPr>
          <w:rFonts w:ascii="Garamond" w:hAnsi="Garamond" w:cs="Garamond"/>
          <w:i/>
          <w:iCs/>
          <w:sz w:val="24"/>
          <w:szCs w:val="24"/>
        </w:rPr>
        <w:t>’</w:t>
      </w:r>
      <w:r w:rsidRPr="009B6D32">
        <w:rPr>
          <w:rFonts w:ascii="Garamond" w:hAnsi="Garamond" w:cs="Garamond"/>
          <w:i/>
          <w:iCs/>
          <w:sz w:val="24"/>
          <w:szCs w:val="24"/>
          <w:lang w:val="en-US"/>
        </w:rPr>
        <w:t>s History</w:t>
      </w:r>
      <w:r w:rsidRPr="009B6D32">
        <w:rPr>
          <w:rFonts w:ascii="Garamond" w:hAnsi="Garamond" w:cs="Garamond"/>
          <w:iCs/>
          <w:sz w:val="24"/>
          <w:szCs w:val="24"/>
          <w:lang w:val="en-US"/>
        </w:rPr>
        <w:t xml:space="preserve">, </w:t>
      </w:r>
      <w:r w:rsidRPr="009B6D32">
        <w:rPr>
          <w:rFonts w:ascii="Garamond" w:hAnsi="Garamond" w:cs="Garamond"/>
          <w:sz w:val="24"/>
          <w:szCs w:val="24"/>
          <w:lang w:val="en-US"/>
        </w:rPr>
        <w:t>18(4), pp. 31-54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McIntyre, M. (2011) ‘Race, Surplus Population and the Marxist Theory of Imperialism’,</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Antipode</w:t>
      </w:r>
      <w:r w:rsidRPr="009B6D32">
        <w:rPr>
          <w:rStyle w:val="apple-converted-space"/>
          <w:rFonts w:ascii="Garamond" w:hAnsi="Garamond" w:cs="Garamond"/>
          <w:i/>
          <w:iCs/>
          <w:sz w:val="24"/>
          <w:szCs w:val="24"/>
          <w:bdr w:val="none" w:sz="0" w:space="0" w:color="auto" w:frame="1"/>
        </w:rPr>
        <w:t> </w:t>
      </w:r>
      <w:r w:rsidRPr="009B6D32">
        <w:rPr>
          <w:rFonts w:ascii="Garamond" w:hAnsi="Garamond" w:cs="Garamond"/>
          <w:sz w:val="24"/>
          <w:szCs w:val="24"/>
        </w:rPr>
        <w:t>43(5), pp. 1489-1515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McKittrick, K. (2006) </w:t>
      </w:r>
      <w:r w:rsidRPr="009B6D32">
        <w:rPr>
          <w:rFonts w:ascii="Garamond" w:hAnsi="Garamond" w:cs="Garamond"/>
          <w:i/>
          <w:iCs/>
          <w:kern w:val="28"/>
          <w:sz w:val="24"/>
          <w:szCs w:val="24"/>
          <w:lang w:val="en-US" w:eastAsia="en-GB"/>
        </w:rPr>
        <w:t xml:space="preserve">Demonic Grounds: Black Women and the Cartographies of Struggle. </w:t>
      </w:r>
      <w:r w:rsidRPr="009B6D32">
        <w:rPr>
          <w:rFonts w:ascii="Garamond" w:hAnsi="Garamond" w:cs="Garamond"/>
          <w:kern w:val="28"/>
          <w:sz w:val="24"/>
          <w:szCs w:val="24"/>
          <w:lang w:val="en-US" w:eastAsia="en-GB"/>
        </w:rPr>
        <w:t>Minnesota: University of Minnesota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Merleau-Ponty, M. (1962) </w:t>
      </w:r>
      <w:r w:rsidRPr="009B6D32">
        <w:rPr>
          <w:rFonts w:ascii="Garamond" w:hAnsi="Garamond" w:cs="Garamond"/>
          <w:i/>
          <w:iCs/>
          <w:sz w:val="24"/>
          <w:szCs w:val="24"/>
        </w:rPr>
        <w:t xml:space="preserve">Phenomenology of Perception, </w:t>
      </w:r>
      <w:r w:rsidRPr="009B6D32">
        <w:rPr>
          <w:rFonts w:ascii="Garamond" w:hAnsi="Garamond" w:cs="Garamond"/>
          <w:sz w:val="24"/>
          <w:szCs w:val="24"/>
        </w:rPr>
        <w:t>translated by Smith</w:t>
      </w:r>
      <w:r w:rsidRPr="009B6D32">
        <w:rPr>
          <w:rFonts w:ascii="Garamond" w:hAnsi="Garamond" w:cs="Garamond"/>
          <w:i/>
          <w:iCs/>
          <w:sz w:val="24"/>
          <w:szCs w:val="24"/>
        </w:rPr>
        <w:t>,</w:t>
      </w:r>
      <w:r w:rsidRPr="009B6D32">
        <w:rPr>
          <w:rFonts w:ascii="Garamond" w:hAnsi="Garamond" w:cs="Garamond"/>
          <w:iCs/>
          <w:sz w:val="24"/>
          <w:szCs w:val="24"/>
        </w:rPr>
        <w:t xml:space="preserve"> C.</w:t>
      </w:r>
      <w:r w:rsidRPr="009B6D32">
        <w:rPr>
          <w:rFonts w:ascii="Garamond" w:hAnsi="Garamond" w:cs="Garamond"/>
          <w:i/>
          <w:iCs/>
          <w:sz w:val="24"/>
          <w:szCs w:val="24"/>
        </w:rPr>
        <w:t xml:space="preserve">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Arial"/>
          <w:sz w:val="24"/>
          <w:szCs w:val="24"/>
        </w:rPr>
      </w:pPr>
      <w:r w:rsidRPr="009B6D32">
        <w:rPr>
          <w:rFonts w:ascii="Garamond" w:hAnsi="Garamond"/>
          <w:sz w:val="24"/>
          <w:szCs w:val="24"/>
        </w:rPr>
        <w:t xml:space="preserve">Merrifield, A. (2011) </w:t>
      </w:r>
      <w:r w:rsidRPr="009B6D32">
        <w:rPr>
          <w:rFonts w:ascii="Garamond" w:hAnsi="Garamond"/>
          <w:i/>
          <w:sz w:val="24"/>
          <w:szCs w:val="24"/>
        </w:rPr>
        <w:t xml:space="preserve">Magical </w:t>
      </w:r>
      <w:r w:rsidRPr="009B6D32">
        <w:rPr>
          <w:rFonts w:ascii="Garamond" w:hAnsi="Garamond" w:cs="Arial"/>
          <w:i/>
          <w:sz w:val="24"/>
          <w:szCs w:val="24"/>
        </w:rPr>
        <w:t>Marxism: Subversive Politics and the Imagination</w:t>
      </w:r>
      <w:r w:rsidRPr="009B6D32">
        <w:rPr>
          <w:rFonts w:ascii="Garamond" w:hAnsi="Garamond" w:cs="Arial"/>
          <w:sz w:val="24"/>
          <w:szCs w:val="24"/>
        </w:rPr>
        <w:t>. London: Pluto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Micheletti, M. (2003) </w:t>
      </w:r>
      <w:r w:rsidRPr="009B6D32">
        <w:rPr>
          <w:rFonts w:ascii="Garamond" w:hAnsi="Garamond" w:cs="Garamond"/>
          <w:i/>
          <w:iCs/>
          <w:sz w:val="24"/>
          <w:szCs w:val="24"/>
          <w:lang w:val="en-US"/>
        </w:rPr>
        <w:t>Political Virtue and Shopping: Individuals, Consumerism and Collective Action</w:t>
      </w:r>
      <w:r w:rsidRPr="009B6D32">
        <w:rPr>
          <w:rFonts w:ascii="Garamond" w:hAnsi="Garamond" w:cs="Garamond"/>
          <w:sz w:val="24"/>
          <w:szCs w:val="24"/>
          <w:lang w:val="en-US"/>
        </w:rPr>
        <w:t>. New York: Palgrave, MacMillan</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Micheletti, M. (2006) ‘Anti-Sweatshop &amp; Anti-Slavery: The Moral Force of Capitalism’. </w:t>
      </w:r>
      <w:r w:rsidRPr="009B6D32">
        <w:rPr>
          <w:rFonts w:ascii="Garamond" w:hAnsi="Garamond" w:cs="Garamond"/>
          <w:iCs/>
          <w:sz w:val="24"/>
          <w:szCs w:val="24"/>
          <w:lang w:val="en-US"/>
        </w:rPr>
        <w:t>Conference of Citizenship &amp; Consumption. University of Sweden. 30 March – 1 April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Micheletti, M., Follesdal, A. and Stolle, D. (2006)</w:t>
      </w:r>
      <w:r w:rsidRPr="009B6D32">
        <w:rPr>
          <w:rFonts w:ascii="Garamond" w:hAnsi="Garamond" w:cs="Garamond"/>
          <w:i/>
          <w:iCs/>
          <w:sz w:val="24"/>
          <w:szCs w:val="24"/>
          <w:lang w:val="en-US"/>
        </w:rPr>
        <w:t xml:space="preserve"> </w:t>
      </w:r>
      <w:r w:rsidRPr="009B6D32">
        <w:rPr>
          <w:rFonts w:ascii="Garamond" w:hAnsi="Garamond" w:cs="Garamond"/>
          <w:sz w:val="24"/>
          <w:szCs w:val="24"/>
        </w:rPr>
        <w:t xml:space="preserve">‘Introduction: </w:t>
      </w:r>
      <w:r w:rsidRPr="009B6D32">
        <w:rPr>
          <w:rFonts w:ascii="Garamond" w:hAnsi="Garamond" w:cs="Garamond"/>
          <w:sz w:val="24"/>
          <w:szCs w:val="24"/>
          <w:lang w:val="en-US"/>
        </w:rPr>
        <w:t>The Market as a Site of Politics</w:t>
      </w:r>
      <w:r w:rsidRPr="009B6D32">
        <w:rPr>
          <w:rFonts w:ascii="Garamond" w:hAnsi="Garamond" w:cs="Garamond"/>
          <w:sz w:val="24"/>
          <w:szCs w:val="24"/>
        </w:rPr>
        <w:t>’</w:t>
      </w:r>
      <w:r w:rsidRPr="009B6D32">
        <w:rPr>
          <w:rFonts w:ascii="Garamond" w:hAnsi="Garamond" w:cs="Garamond"/>
          <w:sz w:val="24"/>
          <w:szCs w:val="24"/>
          <w:lang w:val="en-US"/>
        </w:rPr>
        <w:t xml:space="preserve">, in Micheletti, M., Follesdal, A. and Stolle, D. (eds.) </w:t>
      </w:r>
      <w:r w:rsidRPr="009B6D32">
        <w:rPr>
          <w:rFonts w:ascii="Garamond" w:hAnsi="Garamond" w:cs="Garamond"/>
          <w:i/>
          <w:sz w:val="24"/>
          <w:szCs w:val="24"/>
          <w:lang w:val="en-US"/>
        </w:rPr>
        <w:t>Politics, Products and Markets</w:t>
      </w:r>
      <w:r w:rsidRPr="009B6D32">
        <w:rPr>
          <w:rFonts w:ascii="Garamond" w:hAnsi="Garamond" w:cs="Garamond"/>
          <w:sz w:val="24"/>
          <w:szCs w:val="24"/>
          <w:lang w:val="en-US"/>
        </w:rPr>
        <w:t>, New Jersey: Transaction Publishers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Micheletti, M., Follesdal, A. and Stolle, D. (eds.) (2006) </w:t>
      </w:r>
      <w:r w:rsidRPr="009B6D32">
        <w:rPr>
          <w:rFonts w:ascii="Garamond" w:hAnsi="Garamond" w:cs="Garamond"/>
          <w:i/>
          <w:iCs/>
          <w:sz w:val="24"/>
          <w:szCs w:val="24"/>
          <w:lang w:val="en-US"/>
        </w:rPr>
        <w:t xml:space="preserve">Politics, Products and Markets. </w:t>
      </w:r>
      <w:r w:rsidRPr="009B6D32">
        <w:rPr>
          <w:rFonts w:ascii="Garamond" w:hAnsi="Garamond" w:cs="Garamond"/>
          <w:sz w:val="24"/>
          <w:szCs w:val="24"/>
          <w:lang w:val="en-US"/>
        </w:rPr>
        <w:t>New Jersey: Transaction Publishers</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Midgley, C. (1992) </w:t>
      </w:r>
      <w:r w:rsidRPr="009B6D32">
        <w:rPr>
          <w:rFonts w:ascii="Garamond" w:hAnsi="Garamond" w:cs="Garamond"/>
          <w:i/>
          <w:iCs/>
          <w:sz w:val="24"/>
          <w:szCs w:val="24"/>
          <w:lang w:val="en-US"/>
        </w:rPr>
        <w:t xml:space="preserve">Women Against Slavery: The British Campaigns, 1780-1870. </w:t>
      </w:r>
      <w:r w:rsidRPr="009B6D32">
        <w:rPr>
          <w:rFonts w:ascii="Garamond" w:hAnsi="Garamond" w:cs="Garamond"/>
          <w:sz w:val="24"/>
          <w:szCs w:val="24"/>
          <w:lang w:val="en-US"/>
        </w:rPr>
        <w:t>London: Routledge</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 xml:space="preserve">Midgley, C. (1996) ‘Slave sugar boycotts, female activism and the domestic base of British anti-slavery culture’, </w:t>
      </w:r>
      <w:r w:rsidRPr="009B6D32">
        <w:rPr>
          <w:rFonts w:ascii="Garamond" w:hAnsi="Garamond" w:cs="Garamond"/>
          <w:i/>
          <w:iCs/>
          <w:sz w:val="24"/>
          <w:szCs w:val="24"/>
          <w:lang w:val="en-US"/>
        </w:rPr>
        <w:t xml:space="preserve">Slavery &amp; Abolition, </w:t>
      </w:r>
      <w:r w:rsidRPr="009B6D32">
        <w:rPr>
          <w:rFonts w:ascii="Garamond" w:hAnsi="Garamond" w:cs="Garamond"/>
          <w:sz w:val="24"/>
          <w:szCs w:val="24"/>
          <w:lang w:val="en-US"/>
        </w:rPr>
        <w:t>17(3), pp. 137-62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Midgley, C. (2007)</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Feminism and Empire. Women Activists in Imperial Britain, 1790-1865.</w:t>
      </w:r>
      <w:r w:rsidRPr="009B6D32">
        <w:rPr>
          <w:rStyle w:val="apple-converted-space"/>
          <w:rFonts w:ascii="Garamond" w:hAnsi="Garamond" w:cs="Garamond"/>
          <w:i/>
          <w:iCs/>
          <w:sz w:val="24"/>
          <w:szCs w:val="24"/>
          <w:bdr w:val="none" w:sz="0" w:space="0" w:color="auto" w:frame="1"/>
        </w:rPr>
        <w:t>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Miles, R. (1982) </w:t>
      </w:r>
      <w:r w:rsidRPr="009B6D32">
        <w:rPr>
          <w:rFonts w:ascii="Garamond" w:hAnsi="Garamond" w:cs="Garamond"/>
          <w:i/>
          <w:iCs/>
          <w:sz w:val="24"/>
          <w:szCs w:val="24"/>
        </w:rPr>
        <w:t xml:space="preserve">Racism and Migrant Labour.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Miller, D. (1995) ‘Consumption as the vanguard of history: A polemic way of introduction’, in Miller, D. (ed.) </w:t>
      </w:r>
      <w:r w:rsidRPr="009B6D32">
        <w:rPr>
          <w:rFonts w:ascii="Garamond" w:hAnsi="Garamond" w:cs="Garamond"/>
          <w:i/>
          <w:iCs/>
          <w:sz w:val="24"/>
          <w:szCs w:val="24"/>
        </w:rPr>
        <w:t>Acknowledging Consumption: A Review of New Studies</w:t>
      </w:r>
      <w:r w:rsidRPr="009B6D32">
        <w:rPr>
          <w:rFonts w:ascii="Garamond" w:hAnsi="Garamond" w:cs="Garamond"/>
          <w:sz w:val="24"/>
          <w:szCs w:val="24"/>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Miller, D. (1998) </w:t>
      </w:r>
      <w:r w:rsidRPr="009B6D32">
        <w:rPr>
          <w:rFonts w:ascii="Garamond" w:hAnsi="Garamond" w:cs="Garamond"/>
          <w:i/>
          <w:iCs/>
          <w:sz w:val="24"/>
          <w:szCs w:val="24"/>
        </w:rPr>
        <w:t>A Theory of Shopping</w:t>
      </w:r>
      <w:r w:rsidRPr="009B6D32">
        <w:rPr>
          <w:rFonts w:ascii="Garamond" w:hAnsi="Garamond" w:cs="Garamond"/>
          <w:sz w:val="24"/>
          <w:szCs w:val="24"/>
        </w:rPr>
        <w:t>. Ithaca, NY: Cornell University Press</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Miller, W. (1998) </w:t>
      </w:r>
      <w:r w:rsidRPr="009B6D32">
        <w:rPr>
          <w:rFonts w:ascii="Garamond" w:hAnsi="Garamond" w:cs="Garamond"/>
          <w:i/>
          <w:iCs/>
          <w:sz w:val="24"/>
          <w:szCs w:val="24"/>
        </w:rPr>
        <w:t xml:space="preserve">The Anatomy of Disgust. </w:t>
      </w:r>
      <w:r w:rsidRPr="009B6D32">
        <w:rPr>
          <w:rFonts w:ascii="Garamond" w:hAnsi="Garamond" w:cs="Garamond"/>
          <w:sz w:val="24"/>
          <w:szCs w:val="24"/>
        </w:rPr>
        <w:t>Cambridge, MA: Harvard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Mills, C. W. (1997) </w:t>
      </w:r>
      <w:r w:rsidRPr="009B6D32">
        <w:rPr>
          <w:rFonts w:ascii="Garamond" w:hAnsi="Garamond" w:cs="Garamond"/>
          <w:i/>
          <w:iCs/>
          <w:sz w:val="24"/>
          <w:szCs w:val="24"/>
        </w:rPr>
        <w:t xml:space="preserve">The Racial Contract. </w:t>
      </w:r>
      <w:r w:rsidRPr="009B6D32">
        <w:rPr>
          <w:rFonts w:ascii="Garamond" w:hAnsi="Garamond" w:cs="Garamond"/>
          <w:sz w:val="24"/>
          <w:szCs w:val="24"/>
        </w:rPr>
        <w:t>Ithaca, London: Cornell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Milonakis, D. and Fine, B. (2009) </w:t>
      </w:r>
      <w:r w:rsidRPr="009B6D32">
        <w:rPr>
          <w:rFonts w:ascii="Garamond" w:hAnsi="Garamond" w:cs="Garamond"/>
          <w:i/>
          <w:iCs/>
          <w:sz w:val="24"/>
          <w:szCs w:val="24"/>
        </w:rPr>
        <w:t xml:space="preserve">From Political Economy to Economics.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Mintz, S. (1985) </w:t>
      </w:r>
      <w:r w:rsidRPr="009B6D32">
        <w:rPr>
          <w:rFonts w:ascii="Garamond" w:hAnsi="Garamond" w:cs="Garamond"/>
          <w:i/>
          <w:iCs/>
          <w:sz w:val="24"/>
          <w:szCs w:val="24"/>
          <w:lang w:val="en-US"/>
        </w:rPr>
        <w:t>Sweetness and Power – The Place of Sugar in Modern History.</w:t>
      </w:r>
      <w:r w:rsidRPr="009B6D32">
        <w:rPr>
          <w:rFonts w:ascii="Garamond" w:hAnsi="Garamond" w:cs="Garamond"/>
          <w:sz w:val="24"/>
          <w:szCs w:val="24"/>
          <w:lang w:val="en-US"/>
        </w:rPr>
        <w:t xml:space="preserve"> New York: Penguin</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Mintz, S. (1993) ‘The changing roles of food in the study of consumption’,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261-73</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Mises, L. (1948) </w:t>
      </w:r>
      <w:r w:rsidRPr="009B6D32">
        <w:rPr>
          <w:rFonts w:ascii="Garamond" w:hAnsi="Garamond" w:cs="Garamond"/>
          <w:i/>
          <w:iCs/>
          <w:sz w:val="24"/>
          <w:szCs w:val="24"/>
          <w:lang w:val="en-US"/>
        </w:rPr>
        <w:t xml:space="preserve">Human Action: A Treatise on Economics. </w:t>
      </w:r>
      <w:r w:rsidRPr="009B6D32">
        <w:rPr>
          <w:rFonts w:ascii="Garamond" w:hAnsi="Garamond" w:cs="Garamond"/>
          <w:sz w:val="24"/>
          <w:szCs w:val="24"/>
          <w:lang w:val="en-US"/>
        </w:rPr>
        <w:t>London: William Hodge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Misra, M. (2007) </w:t>
      </w:r>
      <w:r w:rsidRPr="009B6D32">
        <w:rPr>
          <w:rFonts w:ascii="Garamond" w:hAnsi="Garamond" w:cs="Garamond"/>
          <w:i/>
          <w:iCs/>
          <w:sz w:val="24"/>
          <w:szCs w:val="24"/>
          <w:lang w:val="en-US"/>
        </w:rPr>
        <w:t>Vishnu</w:t>
      </w:r>
      <w:r w:rsidRPr="009B6D32">
        <w:rPr>
          <w:rFonts w:ascii="Garamond" w:hAnsi="Garamond" w:cs="Garamond"/>
          <w:i/>
          <w:iCs/>
          <w:sz w:val="24"/>
          <w:szCs w:val="24"/>
        </w:rPr>
        <w:t>’</w:t>
      </w:r>
      <w:r w:rsidRPr="009B6D32">
        <w:rPr>
          <w:rFonts w:ascii="Garamond" w:hAnsi="Garamond" w:cs="Garamond"/>
          <w:i/>
          <w:iCs/>
          <w:sz w:val="24"/>
          <w:szCs w:val="24"/>
          <w:lang w:val="en-US"/>
        </w:rPr>
        <w:t xml:space="preserve">s Crowded Temple. </w:t>
      </w:r>
      <w:r w:rsidRPr="009B6D32">
        <w:rPr>
          <w:rFonts w:ascii="Garamond" w:hAnsi="Garamond" w:cs="Garamond"/>
          <w:sz w:val="24"/>
          <w:szCs w:val="24"/>
          <w:lang w:val="en-US"/>
        </w:rPr>
        <w:t>Allen Lane: Penguin</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Mitchell, D. (2000) </w:t>
      </w:r>
      <w:r w:rsidRPr="009B6D32">
        <w:rPr>
          <w:rFonts w:ascii="Garamond" w:hAnsi="Garamond" w:cs="Garamond"/>
          <w:i/>
          <w:iCs/>
          <w:sz w:val="24"/>
          <w:szCs w:val="24"/>
          <w:lang w:val="en-US"/>
        </w:rPr>
        <w:t xml:space="preserve">Cultural Geography –A Critical Introduction. </w:t>
      </w:r>
      <w:r w:rsidRPr="009B6D32">
        <w:rPr>
          <w:rFonts w:ascii="Garamond" w:hAnsi="Garamond" w:cs="Garamond"/>
          <w:sz w:val="24"/>
          <w:szCs w:val="24"/>
          <w:lang w:val="en-US"/>
        </w:rPr>
        <w:t>Malden: Blackwell</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Mitchell, W. (2005) </w:t>
      </w:r>
      <w:r w:rsidRPr="009B6D32">
        <w:rPr>
          <w:rFonts w:ascii="Garamond" w:hAnsi="Garamond" w:cs="Garamond"/>
          <w:i/>
          <w:iCs/>
          <w:sz w:val="24"/>
          <w:szCs w:val="24"/>
          <w:lang w:val="en-US"/>
        </w:rPr>
        <w:t xml:space="preserve">What Do Pictures Want? The Lives and Loves of Images. </w:t>
      </w:r>
      <w:r w:rsidRPr="009B6D32">
        <w:rPr>
          <w:rFonts w:ascii="Garamond" w:hAnsi="Garamond" w:cs="Garamond"/>
          <w:sz w:val="24"/>
          <w:szCs w:val="24"/>
          <w:lang w:val="en-US"/>
        </w:rPr>
        <w:t>London: University of Chicago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eastAsia="en-GB"/>
        </w:rPr>
      </w:pPr>
      <w:r w:rsidRPr="009B6D32">
        <w:rPr>
          <w:rFonts w:ascii="Garamond" w:hAnsi="Garamond" w:cs="Garamond"/>
          <w:sz w:val="24"/>
          <w:szCs w:val="24"/>
          <w:lang w:eastAsia="en-GB"/>
        </w:rPr>
        <w:t xml:space="preserve">Moberg, D. (1961) ‘Social Differentiation in The Netherlands’, </w:t>
      </w:r>
      <w:r w:rsidRPr="009B6D32">
        <w:rPr>
          <w:rFonts w:ascii="Garamond" w:hAnsi="Garamond" w:cs="Garamond"/>
          <w:i/>
          <w:iCs/>
          <w:sz w:val="24"/>
          <w:szCs w:val="24"/>
          <w:lang w:eastAsia="en-GB"/>
        </w:rPr>
        <w:t>Social Forces</w:t>
      </w:r>
      <w:r w:rsidRPr="009B6D32">
        <w:rPr>
          <w:rFonts w:ascii="Garamond" w:hAnsi="Garamond" w:cs="Garamond"/>
          <w:i/>
          <w:sz w:val="24"/>
          <w:szCs w:val="24"/>
          <w:lang w:eastAsia="en-GB"/>
        </w:rPr>
        <w:t>,</w:t>
      </w:r>
      <w:r w:rsidRPr="009B6D32">
        <w:rPr>
          <w:rFonts w:ascii="Garamond" w:hAnsi="Garamond" w:cs="Garamond"/>
          <w:sz w:val="24"/>
          <w:szCs w:val="24"/>
          <w:lang w:eastAsia="en-GB"/>
        </w:rPr>
        <w:t xml:space="preserve"> 39(4), pp. 333-337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Mol, A-M. (2008) ‘I eat an apple. On theorizing subjectivities’, </w:t>
      </w:r>
      <w:r w:rsidRPr="009B6D32">
        <w:rPr>
          <w:rFonts w:ascii="Garamond" w:hAnsi="Garamond" w:cs="Garamond"/>
          <w:i/>
          <w:iCs/>
          <w:sz w:val="24"/>
          <w:szCs w:val="24"/>
        </w:rPr>
        <w:t>Subjectivity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22, pp. 28–37</w:t>
      </w:r>
    </w:p>
    <w:p w:rsidR="0001718F" w:rsidRPr="009B6D32" w:rsidRDefault="0001718F" w:rsidP="007437F5">
      <w:pPr>
        <w:autoSpaceDE w:val="0"/>
        <w:autoSpaceDN w:val="0"/>
        <w:adjustRightInd w:val="0"/>
        <w:spacing w:after="0" w:line="240" w:lineRule="auto"/>
        <w:ind w:hanging="720"/>
        <w:rPr>
          <w:rFonts w:ascii="Garamond" w:hAnsi="Garamond" w:cs="Verdana"/>
          <w:sz w:val="24"/>
          <w:szCs w:val="24"/>
        </w:rPr>
      </w:pPr>
      <w:r w:rsidRPr="009B6D32">
        <w:rPr>
          <w:rFonts w:ascii="Garamond" w:hAnsi="Garamond" w:cs="Verdana"/>
          <w:sz w:val="24"/>
          <w:szCs w:val="24"/>
        </w:rPr>
        <w:t>Mol, A-M. (2013) ‘Feeling, wording, eating. On cultivating bodies’, Conference Paper: Emotional Geographies. Groningen, Holland, 7-9 July</w:t>
      </w:r>
    </w:p>
    <w:p w:rsidR="0001718F" w:rsidRPr="009B6D32" w:rsidRDefault="0001718F" w:rsidP="007437F5">
      <w:pPr>
        <w:autoSpaceDE w:val="0"/>
        <w:autoSpaceDN w:val="0"/>
        <w:adjustRightInd w:val="0"/>
        <w:spacing w:after="0" w:line="240" w:lineRule="auto"/>
        <w:ind w:hanging="720"/>
        <w:rPr>
          <w:rFonts w:ascii="Garamond" w:hAnsi="Garamond" w:cs="Arial"/>
          <w:sz w:val="24"/>
          <w:szCs w:val="24"/>
          <w:shd w:val="clear" w:color="auto" w:fill="FFFFFF"/>
        </w:rPr>
      </w:pPr>
      <w:r w:rsidRPr="009B6D32">
        <w:rPr>
          <w:rStyle w:val="Emphasis"/>
          <w:rFonts w:ascii="Garamond" w:hAnsi="Garamond" w:cs="Arial"/>
          <w:bCs/>
          <w:sz w:val="24"/>
          <w:szCs w:val="24"/>
          <w:shd w:val="clear" w:color="auto" w:fill="FFFFFF"/>
        </w:rPr>
        <w:t>Mol, A-M.</w:t>
      </w:r>
      <w:r w:rsidRPr="009B6D32">
        <w:rPr>
          <w:rStyle w:val="apple-converted-space"/>
          <w:rFonts w:ascii="Garamond" w:hAnsi="Garamond" w:cs="Arial"/>
          <w:sz w:val="24"/>
          <w:szCs w:val="24"/>
          <w:shd w:val="clear" w:color="auto" w:fill="FFFFFF"/>
        </w:rPr>
        <w:t> </w:t>
      </w:r>
      <w:r w:rsidRPr="009B6D32">
        <w:rPr>
          <w:rFonts w:ascii="Garamond" w:hAnsi="Garamond" w:cs="Arial"/>
          <w:sz w:val="24"/>
          <w:szCs w:val="24"/>
          <w:shd w:val="clear" w:color="auto" w:fill="FFFFFF"/>
        </w:rPr>
        <w:t>(</w:t>
      </w:r>
      <w:r w:rsidRPr="009B6D32">
        <w:rPr>
          <w:rStyle w:val="Emphasis"/>
          <w:rFonts w:ascii="Garamond" w:hAnsi="Garamond" w:cs="Arial"/>
          <w:bCs/>
          <w:sz w:val="24"/>
          <w:szCs w:val="24"/>
          <w:shd w:val="clear" w:color="auto" w:fill="FFFFFF"/>
        </w:rPr>
        <w:t>2002</w:t>
      </w:r>
      <w:r w:rsidRPr="009B6D32">
        <w:rPr>
          <w:rFonts w:ascii="Garamond" w:hAnsi="Garamond" w:cs="Arial"/>
          <w:sz w:val="24"/>
          <w:szCs w:val="24"/>
          <w:shd w:val="clear" w:color="auto" w:fill="FFFFFF"/>
        </w:rPr>
        <w:t xml:space="preserve">) </w:t>
      </w:r>
      <w:r w:rsidRPr="009B6D32">
        <w:rPr>
          <w:rFonts w:ascii="Garamond" w:hAnsi="Garamond" w:cs="Arial"/>
          <w:i/>
          <w:sz w:val="24"/>
          <w:szCs w:val="24"/>
          <w:shd w:val="clear" w:color="auto" w:fill="FFFFFF"/>
        </w:rPr>
        <w:t>The Body Multiple: Ontology in Medical Practice</w:t>
      </w:r>
      <w:r w:rsidRPr="009B6D32">
        <w:rPr>
          <w:rFonts w:ascii="Garamond" w:hAnsi="Garamond" w:cs="Arial"/>
          <w:sz w:val="24"/>
          <w:szCs w:val="24"/>
          <w:shd w:val="clear" w:color="auto" w:fill="FFFFFF"/>
        </w:rPr>
        <w:t>. Durham: Duke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lastRenderedPageBreak/>
        <w:t xml:space="preserve">Moor, L. (2005) ‘Property and the person: brands and cultural politics’. </w:t>
      </w:r>
      <w:r w:rsidRPr="009B6D32">
        <w:rPr>
          <w:rFonts w:ascii="Garamond" w:hAnsi="Garamond" w:cs="Garamond"/>
          <w:iCs/>
          <w:sz w:val="24"/>
          <w:szCs w:val="24"/>
          <w:lang w:val="en-US"/>
        </w:rPr>
        <w:t xml:space="preserve">Brands Workshop, </w:t>
      </w:r>
      <w:r w:rsidRPr="009B6D32">
        <w:rPr>
          <w:rFonts w:ascii="Garamond" w:hAnsi="Garamond" w:cs="Garamond"/>
          <w:iCs/>
          <w:sz w:val="24"/>
          <w:szCs w:val="24"/>
        </w:rPr>
        <w:t xml:space="preserve">Centre for the Study of Invention and Social Processes. Goldsmiths, University of London. </w:t>
      </w:r>
      <w:r w:rsidRPr="009B6D32">
        <w:rPr>
          <w:rFonts w:ascii="Garamond" w:hAnsi="Garamond" w:cs="Garamond"/>
          <w:sz w:val="24"/>
          <w:szCs w:val="24"/>
        </w:rPr>
        <w:t>8 April</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lang w:val="en-US"/>
        </w:rPr>
      </w:pPr>
      <w:r w:rsidRPr="009B6D32">
        <w:rPr>
          <w:rFonts w:ascii="Garamond" w:hAnsi="Garamond" w:cs="Garamond"/>
          <w:iCs/>
          <w:sz w:val="24"/>
          <w:szCs w:val="24"/>
          <w:lang w:val="en-US"/>
        </w:rPr>
        <w:t xml:space="preserve">Morrison, T. (1987) </w:t>
      </w:r>
      <w:r w:rsidRPr="009B6D32">
        <w:rPr>
          <w:rFonts w:ascii="Garamond" w:hAnsi="Garamond" w:cs="Garamond"/>
          <w:i/>
          <w:iCs/>
          <w:sz w:val="24"/>
          <w:szCs w:val="24"/>
          <w:lang w:val="en-US"/>
        </w:rPr>
        <w:t xml:space="preserve">Beloved. </w:t>
      </w:r>
      <w:r w:rsidRPr="009B6D32">
        <w:rPr>
          <w:rFonts w:ascii="Garamond" w:hAnsi="Garamond" w:cs="Garamond"/>
          <w:iCs/>
          <w:sz w:val="24"/>
          <w:szCs w:val="24"/>
          <w:lang w:val="en-US"/>
        </w:rPr>
        <w:t>New York: Alfred A. Knorf</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Morrow, S., Maaba, B. and Pulumani, L. (2004) </w:t>
      </w:r>
      <w:r w:rsidRPr="009B6D32">
        <w:rPr>
          <w:rFonts w:ascii="Garamond" w:hAnsi="Garamond" w:cs="Garamond"/>
          <w:i/>
          <w:iCs/>
          <w:sz w:val="24"/>
          <w:szCs w:val="24"/>
        </w:rPr>
        <w:t xml:space="preserve">Education in exile: SOMAFCO, the ANC school in Tanzania, 1978-1992. </w:t>
      </w:r>
      <w:r w:rsidRPr="009B6D32">
        <w:rPr>
          <w:rFonts w:ascii="Garamond" w:hAnsi="Garamond" w:cs="Garamond"/>
          <w:sz w:val="24"/>
          <w:szCs w:val="24"/>
        </w:rPr>
        <w:t>Cape Town: HRSC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Morton, T. (2000) </w:t>
      </w:r>
      <w:r w:rsidRPr="009B6D32">
        <w:rPr>
          <w:rFonts w:ascii="Garamond" w:hAnsi="Garamond" w:cs="Garamond"/>
          <w:i/>
          <w:iCs/>
          <w:kern w:val="28"/>
          <w:sz w:val="24"/>
          <w:szCs w:val="24"/>
          <w:lang w:val="en-US" w:eastAsia="en-GB"/>
        </w:rPr>
        <w:t xml:space="preserve">The Poetics of Spice: Romantic Consumerism and the Exotic. </w:t>
      </w:r>
      <w:r w:rsidRPr="009B6D32">
        <w:rPr>
          <w:rFonts w:ascii="Garamond" w:hAnsi="Garamond" w:cs="Garamond"/>
          <w:kern w:val="28"/>
          <w:sz w:val="24"/>
          <w:szCs w:val="24"/>
          <w:lang w:val="en-US" w:eastAsia="en-GB"/>
        </w:rPr>
        <w:t>New York: Cambridge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Murji, K. and Solomos, J. (2005) </w:t>
      </w:r>
      <w:r w:rsidRPr="009B6D32">
        <w:rPr>
          <w:rFonts w:ascii="Garamond" w:hAnsi="Garamond" w:cs="Garamond"/>
          <w:i/>
          <w:kern w:val="28"/>
          <w:sz w:val="24"/>
          <w:szCs w:val="24"/>
          <w:lang w:val="en-US" w:eastAsia="en-GB"/>
        </w:rPr>
        <w:t xml:space="preserve">Racialization: Studies in Theory and Practice. </w:t>
      </w:r>
      <w:r w:rsidRPr="009B6D32">
        <w:rPr>
          <w:rFonts w:ascii="Garamond" w:hAnsi="Garamond" w:cs="Garamond"/>
          <w:kern w:val="28"/>
          <w:sz w:val="24"/>
          <w:szCs w:val="24"/>
          <w:lang w:val="en-US" w:eastAsia="en-GB"/>
        </w:rPr>
        <w:t>Oxford: Oxford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Muskens, R. (2013) </w:t>
      </w:r>
      <w:r w:rsidRPr="009B6D32">
        <w:rPr>
          <w:rFonts w:ascii="Garamond" w:hAnsi="Garamond" w:cs="Garamond"/>
          <w:i/>
          <w:kern w:val="28"/>
          <w:sz w:val="24"/>
          <w:szCs w:val="24"/>
          <w:lang w:val="en-US" w:eastAsia="en-GB"/>
        </w:rPr>
        <w:t>Aan de goede kant – Een geschiedenis van de Nederlandse anti-apartheidsbeweging 1960-1990</w:t>
      </w:r>
      <w:r w:rsidRPr="009B6D32">
        <w:rPr>
          <w:rFonts w:ascii="Garamond" w:hAnsi="Garamond" w:cs="Garamond"/>
          <w:kern w:val="28"/>
          <w:sz w:val="24"/>
          <w:szCs w:val="24"/>
          <w:lang w:val="en-US" w:eastAsia="en-GB"/>
        </w:rPr>
        <w:t>. Unpublished PhD Thesis. University of Amsterdam</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rPr>
        <w:t>Nash, C. (2000) ‘Performativity in practice: some recent work in cultural geography</w:t>
      </w:r>
      <w:r w:rsidRPr="009B6D32">
        <w:rPr>
          <w:rFonts w:ascii="Garamond" w:hAnsi="Garamond" w:cs="Garamond"/>
          <w:iCs/>
          <w:sz w:val="24"/>
          <w:szCs w:val="24"/>
        </w:rPr>
        <w:t>’,</w:t>
      </w:r>
      <w:r w:rsidRPr="009B6D32">
        <w:rPr>
          <w:rFonts w:ascii="Garamond" w:hAnsi="Garamond" w:cs="Garamond"/>
          <w:i/>
          <w:iCs/>
          <w:sz w:val="24"/>
          <w:szCs w:val="24"/>
        </w:rPr>
        <w:t xml:space="preserve"> 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24(4), pp. 653-664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Nash, C. (2003) ‘Cultural geography: antiracist geographies’ </w:t>
      </w:r>
      <w:r w:rsidRPr="009B6D32">
        <w:rPr>
          <w:rFonts w:ascii="Garamond" w:hAnsi="Garamond" w:cs="Garamond"/>
          <w:i/>
          <w:iCs/>
          <w:sz w:val="24"/>
          <w:szCs w:val="24"/>
        </w:rPr>
        <w:t>Progress in Human Geography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27(5), pp. 637-648</w:t>
      </w:r>
    </w:p>
    <w:p w:rsidR="0001718F" w:rsidRPr="009B6D32" w:rsidRDefault="0001718F" w:rsidP="007437F5">
      <w:pPr>
        <w:autoSpaceDE w:val="0"/>
        <w:autoSpaceDN w:val="0"/>
        <w:adjustRightInd w:val="0"/>
        <w:spacing w:after="0" w:line="240" w:lineRule="auto"/>
        <w:ind w:hanging="720"/>
        <w:rPr>
          <w:rFonts w:ascii="Garamond" w:hAnsi="Garamond" w:cs="Trebuchet MS"/>
          <w:sz w:val="24"/>
          <w:szCs w:val="24"/>
        </w:rPr>
      </w:pPr>
      <w:r w:rsidRPr="009B6D32">
        <w:rPr>
          <w:rFonts w:ascii="Garamond" w:hAnsi="Garamond" w:cs="Trebuchet MS"/>
          <w:sz w:val="24"/>
          <w:szCs w:val="24"/>
        </w:rPr>
        <w:t>Nast, H. J. (2000) 'Mapping the “Unconscious”: Racism and the Oedipal</w:t>
      </w:r>
      <w:r w:rsidRPr="009B6D32">
        <w:rPr>
          <w:rFonts w:ascii="Garamond" w:hAnsi="Garamond" w:cs="Garamond"/>
          <w:sz w:val="24"/>
          <w:szCs w:val="24"/>
        </w:rPr>
        <w:t xml:space="preserve"> </w:t>
      </w:r>
      <w:r w:rsidRPr="009B6D32">
        <w:rPr>
          <w:rFonts w:ascii="Garamond" w:hAnsi="Garamond" w:cs="Trebuchet MS"/>
          <w:sz w:val="24"/>
          <w:szCs w:val="24"/>
        </w:rPr>
        <w:t>Family'</w:t>
      </w:r>
      <w:r w:rsidRPr="009B6D32">
        <w:rPr>
          <w:rFonts w:ascii="Garamond" w:hAnsi="Garamond" w:cs="Trebuchet MS"/>
          <w:i/>
          <w:sz w:val="24"/>
          <w:szCs w:val="24"/>
        </w:rPr>
        <w:t>, Annals of the Association of American Geographers</w:t>
      </w:r>
      <w:r w:rsidRPr="009B6D32">
        <w:rPr>
          <w:rFonts w:ascii="Garamond" w:hAnsi="Garamond" w:cs="Trebuchet MS"/>
          <w:sz w:val="24"/>
          <w:szCs w:val="24"/>
        </w:rPr>
        <w:t>, 90(2), pp. 215-255</w:t>
      </w:r>
    </w:p>
    <w:p w:rsidR="0001718F" w:rsidRPr="009B6D32" w:rsidRDefault="0001718F" w:rsidP="007437F5">
      <w:pPr>
        <w:autoSpaceDE w:val="0"/>
        <w:autoSpaceDN w:val="0"/>
        <w:adjustRightInd w:val="0"/>
        <w:spacing w:after="0" w:line="240" w:lineRule="auto"/>
        <w:ind w:hanging="720"/>
        <w:rPr>
          <w:rStyle w:val="ft"/>
        </w:rPr>
      </w:pPr>
      <w:r w:rsidRPr="009B6D32">
        <w:rPr>
          <w:rStyle w:val="Emphasis"/>
          <w:rFonts w:ascii="Garamond" w:hAnsi="Garamond" w:cs="Arial"/>
          <w:bCs/>
          <w:sz w:val="24"/>
          <w:szCs w:val="24"/>
          <w:shd w:val="clear" w:color="auto" w:fill="FFFFFF"/>
        </w:rPr>
        <w:t>Nast, H. J. (2011)</w:t>
      </w:r>
      <w:r w:rsidRPr="009B6D32">
        <w:rPr>
          <w:rStyle w:val="apple-converted-space"/>
          <w:rFonts w:ascii="Garamond" w:hAnsi="Garamond" w:cs="Arial"/>
          <w:sz w:val="24"/>
          <w:szCs w:val="24"/>
          <w:shd w:val="clear" w:color="auto" w:fill="FFFFFF"/>
        </w:rPr>
        <w:t> '</w:t>
      </w:r>
      <w:r w:rsidRPr="009B6D32">
        <w:rPr>
          <w:rStyle w:val="ft"/>
          <w:rFonts w:ascii="Garamond" w:hAnsi="Garamond" w:cs="Arial"/>
          <w:sz w:val="24"/>
          <w:szCs w:val="24"/>
          <w:shd w:val="clear" w:color="auto" w:fill="FFFFFF"/>
        </w:rPr>
        <w:t xml:space="preserve">"Race" and the Bio(necro)polis',  </w:t>
      </w:r>
      <w:r w:rsidRPr="009B6D32">
        <w:rPr>
          <w:rStyle w:val="ft"/>
          <w:rFonts w:ascii="Garamond" w:hAnsi="Garamond" w:cs="Arial"/>
          <w:i/>
          <w:sz w:val="24"/>
          <w:szCs w:val="24"/>
          <w:shd w:val="clear" w:color="auto" w:fill="FFFFFF"/>
        </w:rPr>
        <w:t>Antipode</w:t>
      </w:r>
      <w:r w:rsidRPr="009B6D32">
        <w:rPr>
          <w:rStyle w:val="ft"/>
          <w:rFonts w:ascii="Garamond" w:hAnsi="Garamond" w:cs="Arial"/>
          <w:sz w:val="24"/>
          <w:szCs w:val="24"/>
          <w:shd w:val="clear" w:color="auto" w:fill="FFFFFF"/>
        </w:rPr>
        <w:t>, 43(5), pp.1457-1464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Style w:val="ft"/>
          <w:rFonts w:ascii="Garamond" w:hAnsi="Garamond" w:cs="Arial"/>
          <w:sz w:val="24"/>
          <w:szCs w:val="24"/>
          <w:shd w:val="clear" w:color="auto" w:fill="FFFFFF"/>
        </w:rPr>
        <w:t xml:space="preserve">Nayak, A. (2006) 'After race: Ethnography, race and post-race theory', </w:t>
      </w:r>
      <w:r w:rsidRPr="009B6D32">
        <w:rPr>
          <w:rStyle w:val="ft"/>
          <w:rFonts w:ascii="Garamond" w:hAnsi="Garamond" w:cs="Arial"/>
          <w:i/>
          <w:sz w:val="24"/>
          <w:szCs w:val="24"/>
          <w:shd w:val="clear" w:color="auto" w:fill="FFFFFF"/>
        </w:rPr>
        <w:t xml:space="preserve">Ethnic and Racial Studies, </w:t>
      </w:r>
      <w:r w:rsidRPr="009B6D32">
        <w:rPr>
          <w:rStyle w:val="ft"/>
          <w:rFonts w:ascii="Garamond" w:hAnsi="Garamond" w:cs="Arial"/>
          <w:sz w:val="24"/>
          <w:szCs w:val="24"/>
          <w:shd w:val="clear" w:color="auto" w:fill="FFFFFF"/>
        </w:rPr>
        <w:t>29(3), pp.411-430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Nayak, A. (2010) ‘Race, affect, and emotion: young people, racism, and graffiti in the postcolonial English suburbs’, </w:t>
      </w:r>
      <w:r w:rsidRPr="009B6D32">
        <w:rPr>
          <w:rFonts w:ascii="Garamond" w:hAnsi="Garamond" w:cs="Garamond"/>
          <w:i/>
          <w:iCs/>
          <w:sz w:val="24"/>
          <w:szCs w:val="24"/>
        </w:rPr>
        <w:t>Environment and Planning A</w:t>
      </w:r>
      <w:r w:rsidRPr="009B6D32">
        <w:rPr>
          <w:rFonts w:ascii="Garamond" w:hAnsi="Garamond" w:cs="Garamond"/>
          <w:sz w:val="24"/>
          <w:szCs w:val="24"/>
        </w:rPr>
        <w:t>, 42(2), pp. 2370-2392</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Nettleton, S. and Watson, J. (1998) </w:t>
      </w:r>
      <w:r w:rsidRPr="009B6D32">
        <w:rPr>
          <w:rFonts w:ascii="Garamond" w:hAnsi="Garamond" w:cs="Garamond"/>
          <w:i/>
          <w:iCs/>
          <w:sz w:val="24"/>
          <w:szCs w:val="24"/>
        </w:rPr>
        <w:t xml:space="preserve">The Body in Everyday Life.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cs="Garamond"/>
          <w:sz w:val="24"/>
          <w:szCs w:val="24"/>
        </w:rPr>
        <w:t>Neuhaus, T. (2010) 'Ten Factors That Have Contributed to the Impoverishment of the Ivorian Cocoa Farmer',</w:t>
      </w:r>
      <w:r w:rsidRPr="009B6D32">
        <w:rPr>
          <w:rFonts w:ascii="Garamond" w:hAnsi="Garamond" w:cs="Garamond"/>
          <w:i/>
          <w:sz w:val="24"/>
          <w:szCs w:val="24"/>
        </w:rPr>
        <w:t xml:space="preserve">ivoriancocoafarmer.blogspot.uk, </w:t>
      </w:r>
      <w:r w:rsidRPr="009B6D32">
        <w:rPr>
          <w:rFonts w:ascii="Garamond" w:hAnsi="Garamond" w:cs="Garamond"/>
          <w:sz w:val="24"/>
          <w:szCs w:val="24"/>
        </w:rPr>
        <w:t xml:space="preserve">Available online at: </w:t>
      </w:r>
      <w:r w:rsidRPr="009B6D32">
        <w:rPr>
          <w:rFonts w:ascii="Garamond" w:hAnsi="Garamond"/>
          <w:sz w:val="24"/>
          <w:szCs w:val="24"/>
        </w:rPr>
        <w:t>http://ivoriancocoafarmer.blogspot.co.uk/2010/09/3-ten-factors-that-have-contributed-to.html. Acessed 12 February 2012</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Newholm, T. (2007) ‘Editorial. Studying the ethical consumer: A review of research’, </w:t>
      </w:r>
      <w:r w:rsidRPr="009B6D32">
        <w:rPr>
          <w:rFonts w:ascii="Garamond" w:hAnsi="Garamond" w:cs="Garamond"/>
          <w:i/>
          <w:iCs/>
          <w:sz w:val="24"/>
          <w:szCs w:val="24"/>
          <w:lang w:val="en-US"/>
        </w:rPr>
        <w:t>Journal of Consumer Behaviour</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6(5), pp. 253-270</w:t>
      </w:r>
    </w:p>
    <w:p w:rsidR="0001718F" w:rsidRPr="009B6D32" w:rsidRDefault="0001718F" w:rsidP="007437F5">
      <w:pPr>
        <w:autoSpaceDE w:val="0"/>
        <w:autoSpaceDN w:val="0"/>
        <w:adjustRightInd w:val="0"/>
        <w:spacing w:after="0" w:line="240" w:lineRule="auto"/>
        <w:ind w:hanging="720"/>
        <w:rPr>
          <w:rFonts w:ascii="Garamond" w:hAnsi="Garamond" w:cs="Garamond"/>
          <w:i/>
          <w:kern w:val="28"/>
          <w:sz w:val="24"/>
          <w:szCs w:val="24"/>
          <w:lang w:val="en-US" w:eastAsia="en-GB"/>
        </w:rPr>
      </w:pPr>
      <w:r w:rsidRPr="009B6D32">
        <w:rPr>
          <w:rFonts w:ascii="Garamond" w:hAnsi="Garamond"/>
          <w:sz w:val="24"/>
          <w:szCs w:val="24"/>
        </w:rPr>
        <w:t xml:space="preserve">Ngara,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Nicholls, A. and Opal, C. (2005) </w:t>
      </w:r>
      <w:r w:rsidRPr="009B6D32">
        <w:rPr>
          <w:rFonts w:ascii="Garamond" w:hAnsi="Garamond" w:cs="Garamond"/>
          <w:i/>
          <w:iCs/>
          <w:sz w:val="24"/>
          <w:szCs w:val="24"/>
          <w:lang w:val="en-US"/>
        </w:rPr>
        <w:t>Fair Trade Market Driven Ethical Consumption</w:t>
      </w:r>
      <w:r w:rsidRPr="009B6D32">
        <w:rPr>
          <w:rFonts w:ascii="Garamond" w:hAnsi="Garamond" w:cs="Garamond"/>
          <w:sz w:val="24"/>
          <w:szCs w:val="24"/>
          <w:lang w:val="en-US"/>
        </w:rPr>
        <w:t>. London: Sage Publications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Nicholls, W. (2009) ‘Place, networks, space: theorizing the geographies of social movements’, </w:t>
      </w:r>
      <w:r w:rsidRPr="009B6D32">
        <w:rPr>
          <w:rFonts w:ascii="Garamond" w:hAnsi="Garamond" w:cs="Garamond"/>
          <w:i/>
          <w:iCs/>
          <w:sz w:val="24"/>
          <w:szCs w:val="24"/>
          <w:lang w:val="en-US"/>
        </w:rPr>
        <w:t>Transactions of the Institute of British Geographers,</w:t>
      </w:r>
      <w:r w:rsidRPr="009B6D32">
        <w:rPr>
          <w:rFonts w:ascii="Garamond" w:hAnsi="Garamond" w:cs="Garamond"/>
          <w:i/>
          <w:iCs/>
          <w:kern w:val="28"/>
          <w:sz w:val="24"/>
          <w:szCs w:val="24"/>
          <w:lang w:val="en-US" w:eastAsia="en-GB"/>
        </w:rPr>
        <w:t xml:space="preserve"> </w:t>
      </w:r>
      <w:r w:rsidRPr="009B6D32">
        <w:rPr>
          <w:rFonts w:ascii="Garamond" w:hAnsi="Garamond" w:cs="Garamond"/>
          <w:kern w:val="28"/>
          <w:sz w:val="24"/>
          <w:szCs w:val="24"/>
          <w:lang w:val="en-US" w:eastAsia="en-GB"/>
        </w:rPr>
        <w:t>34(1), pp. 78-93</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Nietzsche, F. (1998) </w:t>
      </w:r>
      <w:r w:rsidRPr="009B6D32">
        <w:rPr>
          <w:rFonts w:ascii="Garamond" w:hAnsi="Garamond" w:cs="Garamond"/>
          <w:i/>
          <w:iCs/>
          <w:sz w:val="24"/>
          <w:szCs w:val="24"/>
        </w:rPr>
        <w:t xml:space="preserve">Beyond Good and Evil, </w:t>
      </w:r>
      <w:r w:rsidRPr="009B6D32">
        <w:rPr>
          <w:rFonts w:ascii="Garamond" w:hAnsi="Garamond" w:cs="Garamond"/>
          <w:sz w:val="24"/>
          <w:szCs w:val="24"/>
        </w:rPr>
        <w:t>translated by Faber</w:t>
      </w:r>
      <w:r w:rsidRPr="009B6D32">
        <w:rPr>
          <w:rFonts w:ascii="Garamond" w:hAnsi="Garamond" w:cs="Garamond"/>
          <w:i/>
          <w:iCs/>
          <w:sz w:val="24"/>
          <w:szCs w:val="24"/>
        </w:rPr>
        <w:t xml:space="preserve">, </w:t>
      </w:r>
      <w:r w:rsidRPr="009B6D32">
        <w:rPr>
          <w:rFonts w:ascii="Garamond" w:hAnsi="Garamond" w:cs="Garamond"/>
          <w:iCs/>
          <w:sz w:val="24"/>
          <w:szCs w:val="24"/>
        </w:rPr>
        <w:t>M.</w:t>
      </w:r>
      <w:r w:rsidRPr="009B6D32">
        <w:rPr>
          <w:rFonts w:ascii="Garamond" w:hAnsi="Garamond" w:cs="Garamond"/>
          <w:i/>
          <w:iCs/>
          <w:sz w:val="24"/>
          <w:szCs w:val="24"/>
        </w:rPr>
        <w:t xml:space="preserve"> </w:t>
      </w:r>
      <w:r w:rsidRPr="009B6D32">
        <w:rPr>
          <w:rFonts w:ascii="Garamond" w:hAnsi="Garamond" w:cs="Garamond"/>
          <w:sz w:val="24"/>
          <w:szCs w:val="24"/>
        </w:rPr>
        <w:t>Oxford: Oxford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Nietzsche, F. (2011 [1967]) </w:t>
      </w:r>
      <w:r w:rsidRPr="009B6D32">
        <w:rPr>
          <w:rFonts w:ascii="Garamond" w:hAnsi="Garamond" w:cs="Garamond"/>
          <w:i/>
          <w:sz w:val="24"/>
          <w:szCs w:val="24"/>
        </w:rPr>
        <w:t xml:space="preserve">The Will to Power, </w:t>
      </w:r>
      <w:r w:rsidRPr="009B6D32">
        <w:rPr>
          <w:rFonts w:ascii="Garamond" w:hAnsi="Garamond" w:cs="Garamond"/>
          <w:sz w:val="24"/>
          <w:szCs w:val="24"/>
        </w:rPr>
        <w:t>translated by Kauffman, W. and Hollingdale, R. J. New York: Random House</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Nordstrom, C. (2008) 'Casting Long Shadows: War, Peace and Extra-legal Economies', in Darby, J. and MacGinty , R. (eds.), </w:t>
      </w:r>
      <w:r w:rsidRPr="009B6D32">
        <w:rPr>
          <w:rFonts w:ascii="Garamond" w:hAnsi="Garamond" w:cs="Garamond"/>
          <w:i/>
          <w:sz w:val="24"/>
          <w:szCs w:val="24"/>
        </w:rPr>
        <w:t>Contemporary Peacemaking: Conflict, peace processes and post-war  reconstruction</w:t>
      </w:r>
      <w:r w:rsidRPr="009B6D32">
        <w:rPr>
          <w:rFonts w:ascii="Garamond" w:hAnsi="Garamond" w:cs="Garamond"/>
          <w:sz w:val="24"/>
          <w:szCs w:val="24"/>
        </w:rPr>
        <w:t>. 2nd edn. Hampshire: Palgrave Macmillan</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NRC (1975) '</w:t>
      </w:r>
      <w:r w:rsidRPr="009B6D32">
        <w:rPr>
          <w:rFonts w:ascii="Garamond" w:hAnsi="Garamond"/>
          <w:sz w:val="24"/>
          <w:szCs w:val="24"/>
        </w:rPr>
        <w:t>Meer Europese blanken naar Zuid-Afrika', March 20, 1975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color w:val="444444"/>
          <w:sz w:val="24"/>
          <w:szCs w:val="24"/>
          <w:shd w:val="clear" w:color="auto" w:fill="FFFFFF"/>
        </w:rPr>
        <w:t>Ó</w:t>
      </w:r>
      <w:r w:rsidRPr="009B6D32">
        <w:rPr>
          <w:rFonts w:ascii="Garamond" w:hAnsi="Garamond" w:cs="Garamond"/>
          <w:kern w:val="28"/>
          <w:sz w:val="24"/>
          <w:szCs w:val="24"/>
          <w:lang w:val="en-US" w:eastAsia="en-GB"/>
        </w:rPr>
        <w:t xml:space="preserve"> Tuathail, G. (1996) </w:t>
      </w:r>
      <w:r w:rsidRPr="009B6D32">
        <w:rPr>
          <w:rFonts w:ascii="Garamond" w:hAnsi="Garamond" w:cs="Garamond"/>
          <w:i/>
          <w:iCs/>
          <w:kern w:val="28"/>
          <w:sz w:val="24"/>
          <w:szCs w:val="24"/>
          <w:lang w:val="en-US" w:eastAsia="en-GB"/>
        </w:rPr>
        <w:t xml:space="preserve">Critical Geopolitics: The Politics of Writing Global Space. </w:t>
      </w:r>
      <w:r w:rsidRPr="009B6D32">
        <w:rPr>
          <w:rFonts w:ascii="Garamond" w:hAnsi="Garamond" w:cs="Garamond"/>
          <w:kern w:val="28"/>
          <w:sz w:val="24"/>
          <w:szCs w:val="24"/>
          <w:lang w:val="en-US" w:eastAsia="en-GB"/>
        </w:rPr>
        <w:t>Minneapolis: University of Minnesota Press</w:t>
      </w:r>
    </w:p>
    <w:p w:rsidR="0001718F" w:rsidRPr="009B6D32" w:rsidRDefault="0001718F" w:rsidP="007437F5">
      <w:pPr>
        <w:spacing w:after="0" w:line="240" w:lineRule="auto"/>
        <w:ind w:hanging="720"/>
        <w:rPr>
          <w:rFonts w:ascii="Garamond" w:hAnsi="Garamond" w:cs="Garamond"/>
          <w:i/>
          <w:iCs/>
          <w:sz w:val="24"/>
          <w:szCs w:val="24"/>
          <w:lang w:val="en-US"/>
        </w:rPr>
      </w:pPr>
      <w:r w:rsidRPr="009B6D32">
        <w:rPr>
          <w:rFonts w:ascii="Garamond" w:hAnsi="Garamond" w:cs="Garamond"/>
          <w:sz w:val="24"/>
          <w:szCs w:val="24"/>
          <w:lang w:val="en-US"/>
        </w:rPr>
        <w:t>O</w:t>
      </w:r>
      <w:r w:rsidRPr="009B6D32">
        <w:rPr>
          <w:rFonts w:ascii="Garamond" w:hAnsi="Garamond" w:cs="Garamond"/>
          <w:sz w:val="24"/>
          <w:szCs w:val="24"/>
        </w:rPr>
        <w:t>’</w:t>
      </w:r>
      <w:r w:rsidRPr="009B6D32">
        <w:rPr>
          <w:rFonts w:ascii="Garamond" w:hAnsi="Garamond" w:cs="Garamond"/>
          <w:sz w:val="24"/>
          <w:szCs w:val="24"/>
          <w:lang w:val="en-US"/>
        </w:rPr>
        <w:t xml:space="preserve">Connell, J. (ed.) (2005) ‘Boycotts’, in </w:t>
      </w:r>
      <w:r w:rsidRPr="009B6D32">
        <w:rPr>
          <w:rFonts w:ascii="Garamond" w:hAnsi="Garamond" w:cs="Garamond"/>
          <w:i/>
          <w:iCs/>
          <w:sz w:val="24"/>
          <w:szCs w:val="24"/>
          <w:lang w:val="en-US"/>
        </w:rPr>
        <w:t xml:space="preserve">Blackwell Encyclopedic Dictionary of International Management. </w:t>
      </w:r>
      <w:r w:rsidRPr="009B6D32">
        <w:rPr>
          <w:rFonts w:ascii="Garamond" w:hAnsi="Garamond" w:cs="Garamond"/>
          <w:sz w:val="24"/>
          <w:szCs w:val="24"/>
          <w:lang w:val="en-US"/>
        </w:rPr>
        <w:t>London: Blackwell, pp. 1 -37</w:t>
      </w:r>
    </w:p>
    <w:p w:rsidR="0001718F" w:rsidRPr="009B6D32" w:rsidRDefault="0001718F" w:rsidP="007437F5">
      <w:pPr>
        <w:spacing w:after="0" w:line="240" w:lineRule="auto"/>
        <w:ind w:hanging="720"/>
        <w:rPr>
          <w:rFonts w:ascii="Garamond" w:hAnsi="Garamond" w:cs="Garamond"/>
          <w:color w:val="FF0000"/>
          <w:sz w:val="24"/>
          <w:szCs w:val="24"/>
          <w:lang w:val="en-US"/>
        </w:rPr>
      </w:pPr>
      <w:r w:rsidRPr="009B6D32">
        <w:rPr>
          <w:rFonts w:ascii="Garamond" w:hAnsi="Garamond" w:cs="Garamond"/>
          <w:sz w:val="24"/>
          <w:szCs w:val="24"/>
          <w:lang w:val="en-US"/>
        </w:rPr>
        <w:t>O</w:t>
      </w:r>
      <w:r w:rsidRPr="009B6D32">
        <w:rPr>
          <w:rFonts w:ascii="Garamond" w:hAnsi="Garamond" w:cs="Garamond"/>
          <w:sz w:val="24"/>
          <w:szCs w:val="24"/>
        </w:rPr>
        <w:t>’</w:t>
      </w:r>
      <w:r w:rsidRPr="009B6D32">
        <w:rPr>
          <w:rFonts w:ascii="Garamond" w:hAnsi="Garamond" w:cs="Garamond"/>
          <w:sz w:val="24"/>
          <w:szCs w:val="24"/>
          <w:lang w:val="en-US"/>
        </w:rPr>
        <w:t xml:space="preserve">Neill J. (1998) </w:t>
      </w:r>
      <w:r w:rsidRPr="009B6D32">
        <w:rPr>
          <w:rFonts w:ascii="Garamond" w:hAnsi="Garamond" w:cs="Garamond"/>
          <w:i/>
          <w:iCs/>
          <w:sz w:val="24"/>
          <w:szCs w:val="24"/>
          <w:lang w:val="en-US"/>
        </w:rPr>
        <w:t>The Market: Ethics, Knowledge and Politics.</w:t>
      </w:r>
      <w:r w:rsidRPr="009B6D32">
        <w:rPr>
          <w:rFonts w:ascii="Garamond" w:hAnsi="Garamond" w:cs="Garamond"/>
          <w:sz w:val="24"/>
          <w:szCs w:val="24"/>
          <w:lang w:val="en-US"/>
        </w:rPr>
        <w:t xml:space="preserve"> 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Off, C. (2008)</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Bitter Chocolate: Investigating the Dark Side of the World’s Most Seductive Sweet</w:t>
      </w:r>
      <w:r w:rsidRPr="009B6D32">
        <w:rPr>
          <w:rFonts w:ascii="Garamond" w:hAnsi="Garamond" w:cs="Garamond"/>
          <w:sz w:val="24"/>
          <w:szCs w:val="24"/>
        </w:rPr>
        <w:t>. Toronto: Random House Canada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Oxford English Dictionary (2009), ‘boycott, </w:t>
      </w:r>
      <w:r w:rsidRPr="009B6D32">
        <w:rPr>
          <w:rFonts w:ascii="Garamond" w:hAnsi="Garamond" w:cs="Garamond"/>
          <w:i/>
          <w:sz w:val="24"/>
          <w:szCs w:val="24"/>
        </w:rPr>
        <w:t>v</w:t>
      </w:r>
      <w:r w:rsidRPr="009B6D32">
        <w:rPr>
          <w:rFonts w:ascii="Garamond" w:hAnsi="Garamond" w:cs="Garamond"/>
          <w:sz w:val="24"/>
          <w:szCs w:val="24"/>
        </w:rPr>
        <w:t xml:space="preserve">.’, </w:t>
      </w:r>
      <w:r w:rsidRPr="009B6D32">
        <w:rPr>
          <w:rFonts w:ascii="Garamond" w:hAnsi="Garamond" w:cs="Garamond"/>
          <w:i/>
          <w:sz w:val="24"/>
          <w:szCs w:val="24"/>
        </w:rPr>
        <w:t>OED</w:t>
      </w:r>
      <w:r w:rsidRPr="009B6D32">
        <w:rPr>
          <w:rFonts w:ascii="Garamond" w:hAnsi="Garamond" w:cs="Garamond"/>
          <w:sz w:val="24"/>
          <w:szCs w:val="24"/>
        </w:rPr>
        <w:t>. Available at: http://www.oed.com/view/Entry/22329?rskey=taYedL&amp;result=2&amp;isAdvanced=false#eid (Accessed 29 March 2009)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Pandya and Pandya (2003) '</w:t>
      </w:r>
      <w:r w:rsidRPr="009B6D32">
        <w:rPr>
          <w:rFonts w:ascii="Garamond" w:eastAsia="Times New Roman" w:hAnsi="Garamond" w:cs="Arial"/>
          <w:iCs/>
          <w:color w:val="000000"/>
          <w:sz w:val="24"/>
          <w:szCs w:val="24"/>
          <w:lang w:eastAsia="en-GB"/>
        </w:rPr>
        <w:t>The Indian Sociologist, 1905-14, 1920-22</w:t>
      </w:r>
      <w:r w:rsidRPr="009B6D32">
        <w:rPr>
          <w:rFonts w:ascii="Garamond" w:eastAsia="Times New Roman" w:hAnsi="Garamond" w:cs="Arial"/>
          <w:color w:val="000000"/>
          <w:sz w:val="24"/>
          <w:szCs w:val="24"/>
          <w:lang w:eastAsia="en-GB"/>
        </w:rPr>
        <w:t> by</w:t>
      </w:r>
      <w:r w:rsidRPr="009B6D32">
        <w:rPr>
          <w:rFonts w:ascii="Garamond" w:eastAsia="Times New Roman" w:hAnsi="Garamond" w:cs="Arial"/>
          <w:i/>
          <w:color w:val="000000"/>
          <w:sz w:val="24"/>
          <w:szCs w:val="24"/>
          <w:lang w:eastAsia="en-GB"/>
        </w:rPr>
        <w:t xml:space="preserve"> </w:t>
      </w:r>
      <w:r w:rsidRPr="009B6D32">
        <w:rPr>
          <w:rFonts w:ascii="Garamond" w:eastAsia="Times New Roman" w:hAnsi="Garamond" w:cs="Arial"/>
          <w:color w:val="000000"/>
          <w:sz w:val="24"/>
          <w:szCs w:val="24"/>
          <w:lang w:eastAsia="en-GB"/>
        </w:rPr>
        <w:t>AMS', </w:t>
      </w:r>
      <w:r w:rsidRPr="009B6D32">
        <w:rPr>
          <w:rFonts w:ascii="Garamond" w:eastAsia="Times New Roman" w:hAnsi="Garamond" w:cs="Arial"/>
          <w:i/>
          <w:iCs/>
          <w:color w:val="000000"/>
          <w:sz w:val="24"/>
          <w:szCs w:val="24"/>
          <w:lang w:eastAsia="en-GB"/>
        </w:rPr>
        <w:t>Economic and Political Weekly</w:t>
      </w:r>
      <w:r w:rsidRPr="009B6D32">
        <w:rPr>
          <w:rFonts w:ascii="Garamond" w:eastAsia="Times New Roman" w:hAnsi="Garamond" w:cs="Arial"/>
          <w:color w:val="000000"/>
          <w:sz w:val="24"/>
          <w:szCs w:val="24"/>
          <w:lang w:eastAsia="en-GB"/>
        </w:rPr>
        <w:t> , pp. 3435-9</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Parry, B. (2004) </w:t>
      </w:r>
      <w:r w:rsidRPr="009B6D32">
        <w:rPr>
          <w:rFonts w:ascii="Garamond" w:hAnsi="Garamond" w:cs="Garamond"/>
          <w:i/>
          <w:iCs/>
          <w:sz w:val="24"/>
          <w:szCs w:val="24"/>
        </w:rPr>
        <w:t xml:space="preserve">Postcolonial Studies: A Materialist Critique. </w:t>
      </w:r>
      <w:r w:rsidRPr="009B6D32">
        <w:rPr>
          <w:rFonts w:ascii="Garamond" w:hAnsi="Garamond" w:cs="Garamond"/>
          <w:sz w:val="24"/>
          <w:szCs w:val="24"/>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Paton, A. (2002) </w:t>
      </w:r>
      <w:r w:rsidRPr="009B6D32">
        <w:rPr>
          <w:rFonts w:ascii="Garamond" w:hAnsi="Garamond" w:cs="Garamond"/>
          <w:i/>
          <w:iCs/>
          <w:kern w:val="28"/>
          <w:sz w:val="24"/>
          <w:szCs w:val="24"/>
          <w:lang w:val="en-US" w:eastAsia="en-GB"/>
        </w:rPr>
        <w:t>Cry, The Beloved Country</w:t>
      </w:r>
      <w:r w:rsidRPr="009B6D32">
        <w:rPr>
          <w:rFonts w:ascii="Garamond" w:hAnsi="Garamond" w:cs="Garamond"/>
          <w:kern w:val="28"/>
          <w:sz w:val="24"/>
          <w:szCs w:val="24"/>
          <w:lang w:val="en-US" w:eastAsia="en-GB"/>
        </w:rPr>
        <w:t>. Reading: Vintage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Peake, L. and Kobayashi, A. (2002) 'Policies and practices for an anti-racist geography at the millennium',  </w:t>
      </w:r>
      <w:r w:rsidRPr="009B6D32">
        <w:rPr>
          <w:rFonts w:ascii="Garamond" w:hAnsi="Garamond" w:cs="Garamond"/>
          <w:i/>
          <w:kern w:val="28"/>
          <w:sz w:val="24"/>
          <w:szCs w:val="24"/>
          <w:lang w:val="en-US" w:eastAsia="en-GB"/>
        </w:rPr>
        <w:t>The Professional Geographer</w:t>
      </w:r>
      <w:r w:rsidRPr="009B6D32">
        <w:rPr>
          <w:rFonts w:ascii="Garamond" w:hAnsi="Garamond" w:cs="Garamond"/>
          <w:kern w:val="28"/>
          <w:sz w:val="24"/>
          <w:szCs w:val="24"/>
          <w:lang w:val="en-US" w:eastAsia="en-GB"/>
        </w:rPr>
        <w:t xml:space="preserve"> , 54(1), pp.50-61</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cs="Arial"/>
          <w:bCs/>
          <w:sz w:val="24"/>
          <w:szCs w:val="24"/>
        </w:rPr>
        <w:t>Peck, A. and Tickell, A. (2002) ‘Neoliberalizing Space’</w:t>
      </w:r>
      <w:r w:rsidRPr="009B6D32">
        <w:rPr>
          <w:rFonts w:ascii="Garamond" w:hAnsi="Garamond" w:cs="Arial"/>
          <w:bCs/>
          <w:i/>
          <w:sz w:val="24"/>
          <w:szCs w:val="24"/>
        </w:rPr>
        <w:t xml:space="preserve"> Antipode. </w:t>
      </w:r>
      <w:r w:rsidRPr="009B6D32">
        <w:rPr>
          <w:rFonts w:ascii="Garamond" w:hAnsi="Garamond" w:cs="Arial"/>
          <w:bCs/>
          <w:sz w:val="24"/>
          <w:szCs w:val="24"/>
        </w:rPr>
        <w:t>34(3), pp. 380-404</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bdr w:val="none" w:sz="0" w:space="0" w:color="auto" w:frame="1"/>
        </w:rPr>
      </w:pPr>
      <w:r w:rsidRPr="009B6D32">
        <w:rPr>
          <w:rFonts w:ascii="Garamond" w:hAnsi="Garamond" w:cs="Garamond"/>
          <w:sz w:val="24"/>
          <w:szCs w:val="24"/>
        </w:rPr>
        <w:t>Peleikis, A. (2003)</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Lebanese in Motion: Gender and the Making of a Translocal Village.</w:t>
      </w:r>
      <w:r w:rsidRPr="009B6D32">
        <w:rPr>
          <w:rStyle w:val="apple-converted-space"/>
          <w:rFonts w:ascii="Garamond" w:hAnsi="Garamond" w:cs="Garamond"/>
          <w:sz w:val="24"/>
          <w:szCs w:val="24"/>
        </w:rPr>
        <w:t> </w:t>
      </w:r>
      <w:r w:rsidRPr="009B6D32">
        <w:rPr>
          <w:rFonts w:ascii="Garamond" w:hAnsi="Garamond" w:cs="Garamond"/>
          <w:sz w:val="24"/>
          <w:szCs w:val="24"/>
        </w:rPr>
        <w:t>Bielefeld: Trascript Verlag</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Perberdy, S. (1999) </w:t>
      </w:r>
      <w:r w:rsidRPr="009B6D32">
        <w:rPr>
          <w:rFonts w:ascii="Garamond" w:hAnsi="Garamond" w:cs="Garamond"/>
          <w:i/>
          <w:iCs/>
          <w:sz w:val="24"/>
          <w:szCs w:val="24"/>
        </w:rPr>
        <w:t xml:space="preserve">Selecting Immigrants: Nationalism and National Identity in South Africa's Immigration Policies, 1910-1998. </w:t>
      </w:r>
      <w:r w:rsidRPr="009B6D32">
        <w:rPr>
          <w:rFonts w:ascii="Garamond" w:hAnsi="Garamond" w:cs="Garamond"/>
          <w:sz w:val="24"/>
          <w:szCs w:val="24"/>
        </w:rPr>
        <w:t>Unpublished PhD Thesis. Queens University, Kingston, Ontario.</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Pieterse, J. (1992) </w:t>
      </w:r>
      <w:r w:rsidRPr="009B6D32">
        <w:rPr>
          <w:rFonts w:ascii="Garamond" w:hAnsi="Garamond" w:cs="Garamond"/>
          <w:i/>
          <w:iCs/>
          <w:sz w:val="24"/>
          <w:szCs w:val="24"/>
        </w:rPr>
        <w:t xml:space="preserve">White on Black: Images of Africa and Blacks in Popular Culture. </w:t>
      </w:r>
      <w:r w:rsidRPr="009B6D32">
        <w:rPr>
          <w:rFonts w:ascii="Garamond" w:hAnsi="Garamond" w:cs="Garamond"/>
          <w:sz w:val="24"/>
          <w:szCs w:val="24"/>
        </w:rPr>
        <w:t>London, New Haven: Yale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Pike, D. (2009) ‘Geographies of brands and branding’, </w:t>
      </w:r>
      <w:r w:rsidRPr="009B6D32">
        <w:rPr>
          <w:rFonts w:ascii="Garamond" w:hAnsi="Garamond" w:cs="Garamond"/>
          <w:i/>
          <w:iCs/>
          <w:sz w:val="24"/>
          <w:szCs w:val="24"/>
          <w:lang w:val="en-US"/>
        </w:rPr>
        <w:t>Progress in Human Geography</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33(5), pp. 619-645</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Pile, S. (1996) </w:t>
      </w:r>
      <w:r w:rsidRPr="009B6D32">
        <w:rPr>
          <w:rFonts w:ascii="Garamond" w:hAnsi="Garamond" w:cs="Garamond"/>
          <w:i/>
          <w:sz w:val="24"/>
          <w:szCs w:val="24"/>
          <w:lang w:val="en-US"/>
        </w:rPr>
        <w:t xml:space="preserve">The Body and the City: Psychoanalysis, space and subjectivity. </w:t>
      </w:r>
      <w:r w:rsidRPr="009B6D32">
        <w:rPr>
          <w:rFonts w:ascii="Garamond" w:hAnsi="Garamond" w:cs="Garamond"/>
          <w:sz w:val="24"/>
          <w:szCs w:val="24"/>
          <w:lang w:val="en-US"/>
        </w:rPr>
        <w:t>Abingdon: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Pinker, S. (2011) </w:t>
      </w:r>
      <w:r w:rsidRPr="009B6D32">
        <w:rPr>
          <w:rFonts w:ascii="Garamond" w:hAnsi="Garamond" w:cs="Garamond"/>
          <w:i/>
          <w:sz w:val="24"/>
          <w:szCs w:val="24"/>
          <w:lang w:val="en-US"/>
        </w:rPr>
        <w:t>The Better Angels of our Nature: Why Violence has Declined.</w:t>
      </w:r>
      <w:r w:rsidRPr="009B6D32">
        <w:rPr>
          <w:rFonts w:ascii="Garamond" w:hAnsi="Garamond" w:cs="Garamond"/>
          <w:sz w:val="24"/>
          <w:szCs w:val="24"/>
          <w:lang w:val="en-US"/>
        </w:rPr>
        <w:t xml:space="preserve"> London: Allen Lane</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rPr>
      </w:pPr>
      <w:r w:rsidRPr="009B6D32">
        <w:rPr>
          <w:rFonts w:ascii="Garamond" w:hAnsi="Garamond" w:cs="Garamond"/>
          <w:sz w:val="24"/>
          <w:szCs w:val="24"/>
          <w:lang w:val="en-US"/>
        </w:rPr>
        <w:t xml:space="preserve">Plasa, C. (2011) </w:t>
      </w:r>
      <w:r w:rsidRPr="009B6D32">
        <w:rPr>
          <w:rFonts w:ascii="Garamond" w:hAnsi="Garamond" w:cs="Garamond"/>
          <w:i/>
          <w:sz w:val="24"/>
          <w:szCs w:val="24"/>
          <w:lang w:val="en-US"/>
        </w:rPr>
        <w:t xml:space="preserve">Slaves to Sweetness: British and Caribbean Literatures of Sugar. </w:t>
      </w:r>
      <w:r w:rsidRPr="009B6D32">
        <w:rPr>
          <w:rFonts w:ascii="Garamond" w:hAnsi="Garamond" w:cs="Garamond"/>
          <w:sz w:val="24"/>
          <w:szCs w:val="24"/>
          <w:lang w:val="en-US"/>
        </w:rPr>
        <w:t>Liverpool: Liverpool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Polletta, F. and Jasper, J. M. (2001) ‘Collective Identity and Social Movements’,</w:t>
      </w:r>
      <w:r w:rsidRPr="009B6D32">
        <w:rPr>
          <w:rFonts w:ascii="Garamond" w:hAnsi="Garamond" w:cs="Garamond"/>
          <w:i/>
          <w:iCs/>
          <w:kern w:val="28"/>
          <w:sz w:val="24"/>
          <w:szCs w:val="24"/>
          <w:lang w:val="en-US" w:eastAsia="en-GB"/>
        </w:rPr>
        <w:t xml:space="preserve"> Annual Review of Sociology</w:t>
      </w:r>
      <w:r w:rsidRPr="009B6D32">
        <w:rPr>
          <w:rFonts w:ascii="Garamond" w:hAnsi="Garamond" w:cs="Garamond"/>
          <w:iCs/>
          <w:kern w:val="28"/>
          <w:sz w:val="24"/>
          <w:szCs w:val="24"/>
          <w:lang w:val="en-US" w:eastAsia="en-GB"/>
        </w:rPr>
        <w:t xml:space="preserve">, </w:t>
      </w:r>
      <w:r w:rsidRPr="009B6D32">
        <w:rPr>
          <w:rFonts w:ascii="Garamond" w:hAnsi="Garamond" w:cs="Garamond"/>
          <w:kern w:val="28"/>
          <w:sz w:val="24"/>
          <w:szCs w:val="24"/>
          <w:lang w:val="en-US" w:eastAsia="en-GB"/>
        </w:rPr>
        <w:t>27, pp. 283-305</w:t>
      </w:r>
    </w:p>
    <w:p w:rsidR="0001718F" w:rsidRPr="009B6D32" w:rsidRDefault="0001718F" w:rsidP="007437F5">
      <w:pPr>
        <w:autoSpaceDE w:val="0"/>
        <w:autoSpaceDN w:val="0"/>
        <w:adjustRightInd w:val="0"/>
        <w:spacing w:after="0" w:line="240" w:lineRule="auto"/>
        <w:ind w:hanging="720"/>
        <w:rPr>
          <w:rFonts w:ascii="Garamond" w:hAnsi="Garamond"/>
          <w:sz w:val="24"/>
          <w:szCs w:val="24"/>
          <w:lang w:eastAsia="en-GB"/>
        </w:rPr>
      </w:pPr>
      <w:r w:rsidRPr="009B6D32">
        <w:rPr>
          <w:rFonts w:ascii="Garamond" w:hAnsi="Garamond" w:cs="Garamond"/>
          <w:kern w:val="28"/>
          <w:sz w:val="24"/>
          <w:szCs w:val="24"/>
          <w:lang w:val="en-US" w:eastAsia="en-GB"/>
        </w:rPr>
        <w:t xml:space="preserve">Pollock, G. (2003) 'Review of Liquid Modernity'. </w:t>
      </w:r>
      <w:r w:rsidRPr="009B6D32">
        <w:rPr>
          <w:rFonts w:ascii="Garamond" w:hAnsi="Garamond"/>
          <w:i/>
          <w:sz w:val="24"/>
          <w:szCs w:val="24"/>
          <w:lang w:eastAsia="en-GB"/>
        </w:rPr>
        <w:t xml:space="preserve">CentreCath Project Leeds. </w:t>
      </w:r>
      <w:r w:rsidRPr="009B6D32">
        <w:rPr>
          <w:rFonts w:ascii="Garamond" w:hAnsi="Garamond"/>
          <w:sz w:val="24"/>
          <w:szCs w:val="24"/>
          <w:lang w:eastAsia="en-GB"/>
        </w:rPr>
        <w:t>Available online: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Polzer, T. (2005) ‘Discourses on Immigration in South Africa: Managing Diversity in a New Nation’ in Plaw, E. (ed.), </w:t>
      </w:r>
      <w:r w:rsidRPr="009B6D32">
        <w:rPr>
          <w:rFonts w:ascii="Garamond" w:hAnsi="Garamond" w:cs="Garamond"/>
          <w:i/>
          <w:iCs/>
          <w:sz w:val="24"/>
          <w:szCs w:val="24"/>
        </w:rPr>
        <w:t xml:space="preserve">Frontiers of Diversity: Explorations in Contemporary Pluralism. </w:t>
      </w:r>
      <w:r w:rsidRPr="009B6D32">
        <w:rPr>
          <w:rFonts w:ascii="Garamond" w:hAnsi="Garamond" w:cs="Garamond"/>
          <w:sz w:val="24"/>
          <w:szCs w:val="24"/>
        </w:rPr>
        <w:t>New York: Rodolpi BV</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cs="TimesNewRomanPSMT"/>
          <w:sz w:val="24"/>
          <w:szCs w:val="24"/>
        </w:rPr>
        <w:t xml:space="preserve">Popke, J. (2007) </w:t>
      </w:r>
      <w:r w:rsidRPr="009B6D32">
        <w:rPr>
          <w:rFonts w:ascii="Garamond" w:hAnsi="Garamond" w:cs="Arial"/>
          <w:bCs/>
          <w:sz w:val="24"/>
          <w:szCs w:val="24"/>
        </w:rPr>
        <w:t xml:space="preserve">Geography and ethics: spaces of cosmopolitan responsibility, </w:t>
      </w:r>
      <w:r w:rsidRPr="009B6D32">
        <w:rPr>
          <w:rFonts w:ascii="Garamond" w:hAnsi="Garamond" w:cs="Arial"/>
          <w:bCs/>
          <w:i/>
          <w:sz w:val="24"/>
          <w:szCs w:val="24"/>
        </w:rPr>
        <w:t>Progress in Human Geography</w:t>
      </w:r>
      <w:r w:rsidRPr="009B6D32">
        <w:rPr>
          <w:rFonts w:ascii="Garamond" w:hAnsi="Garamond" w:cs="Arial"/>
          <w:bCs/>
          <w:sz w:val="24"/>
          <w:szCs w:val="24"/>
        </w:rPr>
        <w:t>, 31(4), pp. 509-518</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Porter, R. (1993) ‘Consumption: disease of the consumer society?’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58-84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Posel, D. (2011) ‘The Apartheid Project, 1948-1970’ in Ross. R., Kelk-Mager, A. and Nasson, B. (eds.)  </w:t>
      </w:r>
      <w:r w:rsidRPr="009B6D32">
        <w:rPr>
          <w:rFonts w:ascii="Garamond" w:hAnsi="Garamond" w:cs="Garamond"/>
          <w:i/>
          <w:iCs/>
          <w:sz w:val="24"/>
          <w:szCs w:val="24"/>
        </w:rPr>
        <w:t>The Cambridge History of South Africa, Volume 2 1885-1994.</w:t>
      </w:r>
      <w:r w:rsidRPr="009B6D32">
        <w:rPr>
          <w:rFonts w:ascii="Garamond" w:hAnsi="Garamond" w:cs="Garamond"/>
          <w:sz w:val="24"/>
          <w:szCs w:val="24"/>
        </w:rPr>
        <w:t xml:space="preserve"> London: Cambridge University Press, pp. 319-368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Postrel, V. (2003) </w:t>
      </w:r>
      <w:r w:rsidRPr="009B6D32">
        <w:rPr>
          <w:rFonts w:ascii="Garamond" w:hAnsi="Garamond" w:cs="Garamond"/>
          <w:i/>
          <w:iCs/>
          <w:sz w:val="24"/>
          <w:szCs w:val="24"/>
        </w:rPr>
        <w:t xml:space="preserve">The Substance of Style: How the Rise of Aesthetic Value Is Remaking Commerce, Culture, and Consciousness. </w:t>
      </w:r>
      <w:r w:rsidRPr="009B6D32">
        <w:rPr>
          <w:rFonts w:ascii="Garamond" w:hAnsi="Garamond" w:cs="Garamond"/>
          <w:sz w:val="24"/>
          <w:szCs w:val="24"/>
        </w:rPr>
        <w:t>New York: Harper Collins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Potter, J. (1996) ‘Discourse analysis and constructionist approaches: theoretical background’ in Richardson, J.T.E. (ed.) </w:t>
      </w:r>
      <w:r w:rsidRPr="009B6D32">
        <w:rPr>
          <w:rFonts w:ascii="Garamond" w:hAnsi="Garamond" w:cs="Garamond"/>
          <w:i/>
          <w:kern w:val="28"/>
          <w:sz w:val="24"/>
          <w:szCs w:val="24"/>
          <w:lang w:val="en-US" w:eastAsia="en-GB"/>
        </w:rPr>
        <w:t>Handbook of Qualitative Research Methods for Psychology and the Social Sciences</w:t>
      </w:r>
      <w:r w:rsidRPr="009B6D32">
        <w:rPr>
          <w:rFonts w:ascii="Garamond" w:hAnsi="Garamond" w:cs="Garamond"/>
          <w:kern w:val="28"/>
          <w:sz w:val="24"/>
          <w:szCs w:val="24"/>
          <w:lang w:val="en-US" w:eastAsia="en-GB"/>
        </w:rPr>
        <w:t>, Leicester: British Psychological Society, pp. 125-140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Pred, A. (1991) ‘Spectacular Articulations of Modernity: The Stockholm Exhibition of 1897’, </w:t>
      </w:r>
      <w:r w:rsidRPr="009B6D32">
        <w:rPr>
          <w:rFonts w:ascii="Garamond" w:hAnsi="Garamond" w:cs="Garamond"/>
          <w:i/>
          <w:iCs/>
          <w:sz w:val="24"/>
          <w:szCs w:val="24"/>
        </w:rPr>
        <w:t xml:space="preserve">Geografiska Annaler, Series B, Human Geography, </w:t>
      </w:r>
      <w:r w:rsidRPr="009B6D32">
        <w:rPr>
          <w:rFonts w:ascii="Garamond" w:hAnsi="Garamond" w:cs="Garamond"/>
          <w:sz w:val="24"/>
          <w:szCs w:val="24"/>
        </w:rPr>
        <w:t>73(1), pp. 45-84</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Pred, A. (1997) 'Somebody else, somewhere else: racisms, racialized spaces and the popular geographical imagination in Sweden'. </w:t>
      </w:r>
      <w:r w:rsidRPr="009B6D32">
        <w:rPr>
          <w:rFonts w:ascii="Garamond" w:hAnsi="Garamond" w:cs="Garamond"/>
          <w:i/>
          <w:sz w:val="24"/>
          <w:szCs w:val="24"/>
        </w:rPr>
        <w:t>Antipode</w:t>
      </w:r>
      <w:r w:rsidRPr="009B6D32">
        <w:rPr>
          <w:rFonts w:ascii="Garamond" w:hAnsi="Garamond" w:cs="Garamond"/>
          <w:sz w:val="24"/>
          <w:szCs w:val="24"/>
        </w:rPr>
        <w:t>, 29, pp. 383-486</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Price, P.L. (2010) ‘At the crossroads: critical race theory and critical geographies of race’ </w:t>
      </w:r>
      <w:r w:rsidRPr="009B6D32">
        <w:rPr>
          <w:rFonts w:ascii="Garamond" w:hAnsi="Garamond" w:cs="Garamond"/>
          <w:i/>
          <w:iCs/>
          <w:kern w:val="28"/>
          <w:sz w:val="24"/>
          <w:szCs w:val="24"/>
          <w:lang w:val="en-US" w:eastAsia="en-GB"/>
        </w:rPr>
        <w:t xml:space="preserve">Progress in Human Geography. </w:t>
      </w:r>
      <w:r w:rsidRPr="009B6D32">
        <w:rPr>
          <w:rFonts w:ascii="Garamond" w:hAnsi="Garamond" w:cs="Garamond"/>
          <w:kern w:val="28"/>
          <w:sz w:val="24"/>
          <w:szCs w:val="24"/>
          <w:lang w:val="en-US" w:eastAsia="en-GB"/>
        </w:rPr>
        <w:t>34(2), pp. 147-174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Probyn, E. (2000) </w:t>
      </w:r>
      <w:r w:rsidRPr="009B6D32">
        <w:rPr>
          <w:rFonts w:ascii="Garamond" w:hAnsi="Garamond" w:cs="Garamond"/>
          <w:i/>
          <w:iCs/>
          <w:kern w:val="28"/>
          <w:sz w:val="24"/>
          <w:szCs w:val="24"/>
          <w:lang w:eastAsia="en-GB"/>
        </w:rPr>
        <w:t xml:space="preserve">Carnal Appetites FoodSexIdentities. </w:t>
      </w:r>
      <w:r w:rsidRPr="009B6D32">
        <w:rPr>
          <w:rFonts w:ascii="Garamond" w:hAnsi="Garamond" w:cs="Garamond"/>
          <w:kern w:val="28"/>
          <w:sz w:val="24"/>
          <w:szCs w:val="24"/>
          <w:lang w:eastAsia="en-GB"/>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Pulido, L. (2000) ‘Rethinking Environmental Racism: White Privilege and Urban Development in South California’, </w:t>
      </w:r>
      <w:r w:rsidRPr="009B6D32">
        <w:rPr>
          <w:rFonts w:ascii="Garamond" w:hAnsi="Garamond" w:cs="Garamond"/>
          <w:i/>
          <w:kern w:val="28"/>
          <w:sz w:val="24"/>
          <w:szCs w:val="24"/>
          <w:lang w:eastAsia="en-GB"/>
        </w:rPr>
        <w:t>Annals of the Association of American Geographers</w:t>
      </w:r>
      <w:r w:rsidRPr="009B6D32">
        <w:rPr>
          <w:rFonts w:ascii="Garamond" w:hAnsi="Garamond" w:cs="Garamond"/>
          <w:kern w:val="28"/>
          <w:sz w:val="24"/>
          <w:szCs w:val="24"/>
          <w:lang w:eastAsia="en-GB"/>
        </w:rPr>
        <w:t>, 90(1), pp.12-40</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eastAsia="en-GB"/>
        </w:rPr>
        <w:t xml:space="preserve">Pulido, L. (2006) </w:t>
      </w:r>
      <w:r w:rsidRPr="009B6D32">
        <w:rPr>
          <w:rFonts w:ascii="Garamond" w:hAnsi="Garamond" w:cs="Garamond"/>
          <w:i/>
          <w:iCs/>
          <w:kern w:val="28"/>
          <w:sz w:val="24"/>
          <w:szCs w:val="24"/>
          <w:lang w:eastAsia="en-GB"/>
        </w:rPr>
        <w:t xml:space="preserve">Black, brown, yellow, and left: radical activism in Los Angeles. </w:t>
      </w:r>
      <w:r w:rsidRPr="009B6D32">
        <w:rPr>
          <w:rFonts w:ascii="Garamond" w:hAnsi="Garamond" w:cs="Garamond"/>
          <w:kern w:val="28"/>
          <w:sz w:val="24"/>
          <w:szCs w:val="24"/>
          <w:lang w:eastAsia="en-GB"/>
        </w:rPr>
        <w:t>London: University of California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Quijano, A. (2000) ‘Coloniality of Power, Eurocenticism and Latin America’, </w:t>
      </w:r>
      <w:r w:rsidRPr="009B6D32">
        <w:rPr>
          <w:rFonts w:ascii="Garamond" w:hAnsi="Garamond" w:cs="Garamond"/>
          <w:i/>
          <w:iCs/>
          <w:sz w:val="24"/>
          <w:szCs w:val="24"/>
        </w:rPr>
        <w:t>Nepantla: Views From the South</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1(3), pp. 533-580</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Quirk, J. (2006) ‘The Anti-Slavery project: Linking the Historical and Contemporary’, </w:t>
      </w:r>
      <w:r w:rsidRPr="009B6D32">
        <w:rPr>
          <w:rFonts w:ascii="Garamond" w:hAnsi="Garamond" w:cs="Garamond"/>
          <w:i/>
          <w:iCs/>
          <w:sz w:val="24"/>
          <w:szCs w:val="24"/>
        </w:rPr>
        <w:t>Human Rights Quarterly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29(3), pp. 565-598</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Ramamurthy, A. (2003) </w:t>
      </w:r>
      <w:r w:rsidRPr="009B6D32">
        <w:rPr>
          <w:rFonts w:ascii="Garamond" w:hAnsi="Garamond"/>
          <w:i/>
          <w:sz w:val="24"/>
          <w:szCs w:val="24"/>
        </w:rPr>
        <w:t>Imperial Persuaders: Images of Africa and Asia in British Advertising.</w:t>
      </w:r>
      <w:r w:rsidRPr="009B6D32">
        <w:rPr>
          <w:rFonts w:ascii="Garamond" w:hAnsi="Garamond"/>
          <w:sz w:val="24"/>
          <w:szCs w:val="24"/>
        </w:rPr>
        <w:t xml:space="preserve"> Manchester: Manchester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Rancière, J. (1998) </w:t>
      </w:r>
      <w:r w:rsidRPr="009B6D32">
        <w:rPr>
          <w:rFonts w:ascii="Garamond" w:hAnsi="Garamond" w:cs="Garamond"/>
          <w:i/>
          <w:iCs/>
          <w:sz w:val="24"/>
          <w:szCs w:val="24"/>
        </w:rPr>
        <w:t xml:space="preserve">Disagreement: Politics and Philosophy, </w:t>
      </w:r>
      <w:r w:rsidRPr="009B6D32">
        <w:rPr>
          <w:rFonts w:ascii="Garamond" w:hAnsi="Garamond" w:cs="Garamond"/>
          <w:sz w:val="24"/>
          <w:szCs w:val="24"/>
        </w:rPr>
        <w:t>translated by Rose</w:t>
      </w:r>
      <w:r w:rsidRPr="009B6D32">
        <w:rPr>
          <w:rFonts w:ascii="Garamond" w:hAnsi="Garamond" w:cs="Garamond"/>
          <w:i/>
          <w:iCs/>
          <w:sz w:val="24"/>
          <w:szCs w:val="24"/>
        </w:rPr>
        <w:t>,</w:t>
      </w:r>
      <w:r w:rsidRPr="009B6D32">
        <w:rPr>
          <w:rFonts w:ascii="Garamond" w:hAnsi="Garamond" w:cs="Garamond"/>
          <w:iCs/>
          <w:sz w:val="24"/>
          <w:szCs w:val="24"/>
        </w:rPr>
        <w:t xml:space="preserve"> J.</w:t>
      </w:r>
      <w:r w:rsidRPr="009B6D32">
        <w:rPr>
          <w:rFonts w:ascii="Garamond" w:hAnsi="Garamond" w:cs="Garamond"/>
          <w:i/>
          <w:iCs/>
          <w:sz w:val="24"/>
          <w:szCs w:val="24"/>
        </w:rPr>
        <w:t xml:space="preserve"> </w:t>
      </w:r>
      <w:r w:rsidRPr="009B6D32">
        <w:rPr>
          <w:rFonts w:ascii="Garamond" w:hAnsi="Garamond" w:cs="Garamond"/>
          <w:iCs/>
          <w:sz w:val="24"/>
          <w:szCs w:val="24"/>
        </w:rPr>
        <w:t xml:space="preserve">Minneapolis: </w:t>
      </w:r>
      <w:r w:rsidRPr="009B6D32">
        <w:rPr>
          <w:rFonts w:ascii="Garamond" w:hAnsi="Garamond" w:cs="Garamond"/>
          <w:sz w:val="24"/>
          <w:szCs w:val="24"/>
        </w:rPr>
        <w:t>University of Minnesota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Rancière, J. (2004) </w:t>
      </w:r>
      <w:r w:rsidRPr="009B6D32">
        <w:rPr>
          <w:rFonts w:ascii="Garamond" w:hAnsi="Garamond" w:cs="Garamond"/>
          <w:i/>
          <w:iCs/>
          <w:sz w:val="24"/>
          <w:szCs w:val="24"/>
        </w:rPr>
        <w:t xml:space="preserve">The Politics of Aesthetics, </w:t>
      </w:r>
      <w:r w:rsidRPr="009B6D32">
        <w:rPr>
          <w:rFonts w:ascii="Garamond" w:hAnsi="Garamond" w:cs="Garamond"/>
          <w:sz w:val="24"/>
          <w:szCs w:val="24"/>
        </w:rPr>
        <w:t>translated by Rockhill</w:t>
      </w:r>
      <w:r w:rsidRPr="009B6D32">
        <w:rPr>
          <w:rFonts w:ascii="Garamond" w:hAnsi="Garamond" w:cs="Garamond"/>
          <w:i/>
          <w:iCs/>
          <w:sz w:val="24"/>
          <w:szCs w:val="24"/>
        </w:rPr>
        <w:t>,</w:t>
      </w:r>
      <w:r w:rsidRPr="009B6D32">
        <w:rPr>
          <w:rFonts w:ascii="Garamond" w:hAnsi="Garamond" w:cs="Garamond"/>
          <w:iCs/>
          <w:sz w:val="24"/>
          <w:szCs w:val="24"/>
        </w:rPr>
        <w:t xml:space="preserve"> G.</w:t>
      </w:r>
      <w:r w:rsidRPr="009B6D32">
        <w:rPr>
          <w:rFonts w:ascii="Garamond" w:hAnsi="Garamond" w:cs="Garamond"/>
          <w:i/>
          <w:iCs/>
          <w:sz w:val="24"/>
          <w:szCs w:val="24"/>
        </w:rPr>
        <w:t xml:space="preserve"> </w:t>
      </w:r>
      <w:r w:rsidRPr="009B6D32">
        <w:rPr>
          <w:rFonts w:ascii="Garamond" w:hAnsi="Garamond" w:cs="Garamond"/>
          <w:sz w:val="24"/>
          <w:szCs w:val="24"/>
        </w:rPr>
        <w:t>London: Continuum</w:t>
      </w:r>
    </w:p>
    <w:p w:rsidR="0001718F" w:rsidRPr="009B6D32" w:rsidRDefault="0001718F" w:rsidP="007437F5">
      <w:pPr>
        <w:spacing w:after="0" w:line="240" w:lineRule="auto"/>
        <w:ind w:hanging="720"/>
        <w:rPr>
          <w:rFonts w:ascii="Garamond" w:hAnsi="Garamond" w:cs="Garamond"/>
          <w:sz w:val="24"/>
          <w:szCs w:val="24"/>
        </w:rPr>
      </w:pPr>
      <w:r w:rsidRPr="009B6D32">
        <w:rPr>
          <w:rStyle w:val="Emphasis"/>
          <w:rFonts w:ascii="Garamond" w:hAnsi="Garamond" w:cs="Arial"/>
          <w:bCs/>
          <w:sz w:val="24"/>
          <w:szCs w:val="24"/>
          <w:shd w:val="clear" w:color="auto" w:fill="FFFFFF"/>
        </w:rPr>
        <w:t>Raynolds, L.T., Murray, D. and Wilkinson, J. (eds.) (2007) Fair Trade. The Challenges of Transforming Globalization</w:t>
      </w:r>
      <w:r w:rsidRPr="009B6D32">
        <w:rPr>
          <w:rFonts w:ascii="Garamond" w:hAnsi="Garamond" w:cs="Arial"/>
          <w:sz w:val="24"/>
          <w:szCs w:val="24"/>
          <w:shd w:val="clear" w:color="auto" w:fill="FFFFFF"/>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Reichard, D. (2012) ‘Animating Ephemera through Oral History: Interpreting Visual Traces of California Gay College Student Organizing from the 1970s’, </w:t>
      </w:r>
      <w:r w:rsidRPr="009B6D32">
        <w:rPr>
          <w:rFonts w:ascii="Garamond" w:hAnsi="Garamond" w:cs="Garamond"/>
          <w:i/>
          <w:iCs/>
          <w:sz w:val="24"/>
          <w:szCs w:val="24"/>
        </w:rPr>
        <w:t>The Oral History Review</w:t>
      </w:r>
      <w:r w:rsidRPr="009B6D32">
        <w:rPr>
          <w:rFonts w:ascii="Garamond" w:hAnsi="Garamond" w:cs="Garamond"/>
          <w:sz w:val="24"/>
          <w:szCs w:val="24"/>
        </w:rPr>
        <w:t>, 39(1), pp. 37–60</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Relph, E. (1976) </w:t>
      </w:r>
      <w:r w:rsidRPr="009B6D32">
        <w:rPr>
          <w:rFonts w:ascii="Garamond" w:hAnsi="Garamond" w:cs="Garamond"/>
          <w:i/>
          <w:iCs/>
          <w:sz w:val="24"/>
          <w:szCs w:val="24"/>
          <w:lang w:val="en-US"/>
        </w:rPr>
        <w:t xml:space="preserve">Place and Placelessness. </w:t>
      </w:r>
      <w:r w:rsidRPr="009B6D32">
        <w:rPr>
          <w:rFonts w:ascii="Garamond" w:hAnsi="Garamond" w:cs="Garamond"/>
          <w:sz w:val="24"/>
          <w:szCs w:val="24"/>
          <w:lang w:val="en-US"/>
        </w:rPr>
        <w:t>London: Pion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Richardson, J.T.E., (ed.), </w:t>
      </w:r>
      <w:r w:rsidRPr="009B6D32">
        <w:rPr>
          <w:rFonts w:ascii="Garamond" w:hAnsi="Garamond" w:cs="Garamond"/>
          <w:i/>
          <w:iCs/>
          <w:kern w:val="28"/>
          <w:sz w:val="24"/>
          <w:szCs w:val="24"/>
          <w:lang w:val="en-US" w:eastAsia="en-GB"/>
        </w:rPr>
        <w:t xml:space="preserve">Handbook for Qualitative Methods for Psychology and the Social Sciences. </w:t>
      </w:r>
      <w:r w:rsidRPr="009B6D32">
        <w:rPr>
          <w:rFonts w:ascii="Garamond" w:hAnsi="Garamond" w:cs="Garamond"/>
          <w:kern w:val="28"/>
          <w:sz w:val="24"/>
          <w:szCs w:val="24"/>
          <w:lang w:val="en-US" w:eastAsia="en-GB"/>
        </w:rPr>
        <w:t>Leicester: British Psychological Survey</w:t>
      </w:r>
    </w:p>
    <w:p w:rsidR="0001718F" w:rsidRPr="009B6D32" w:rsidRDefault="0001718F" w:rsidP="007437F5">
      <w:pPr>
        <w:pStyle w:val="Default"/>
        <w:ind w:hanging="720"/>
        <w:rPr>
          <w:rFonts w:ascii="Garamond" w:hAnsi="Garamond" w:cs="Garamond"/>
        </w:rPr>
      </w:pPr>
      <w:r w:rsidRPr="009B6D32">
        <w:rPr>
          <w:rFonts w:ascii="Garamond" w:hAnsi="Garamond" w:cs="Garamond"/>
        </w:rPr>
        <w:t xml:space="preserve">Richardson-Ngwenya, P. (2009) </w:t>
      </w:r>
      <w:r w:rsidRPr="009B6D32">
        <w:rPr>
          <w:rFonts w:ascii="Garamond" w:hAnsi="Garamond" w:cs="Garamond"/>
          <w:i/>
          <w:iCs/>
        </w:rPr>
        <w:t xml:space="preserve">The Ethical Geographies of Caribbean Sugar. </w:t>
      </w:r>
      <w:r w:rsidRPr="009B6D32">
        <w:rPr>
          <w:rFonts w:ascii="Garamond" w:hAnsi="Garamond" w:cs="Garamond"/>
        </w:rPr>
        <w:t>Unpublished dPhil Thesis. Oxford University</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Rifkin. J. (1995) </w:t>
      </w:r>
      <w:r w:rsidRPr="009B6D32">
        <w:rPr>
          <w:rFonts w:ascii="Garamond" w:hAnsi="Garamond" w:cs="Garamond"/>
          <w:i/>
          <w:kern w:val="28"/>
          <w:sz w:val="24"/>
          <w:szCs w:val="24"/>
          <w:lang w:val="en-US" w:eastAsia="en-GB"/>
        </w:rPr>
        <w:t xml:space="preserve">The End of Work: The Decline of the Global Labor Force and the Dawn of the Post-Market Era. </w:t>
      </w:r>
      <w:r w:rsidRPr="009B6D32">
        <w:rPr>
          <w:rFonts w:ascii="Garamond" w:hAnsi="Garamond" w:cs="Garamond"/>
          <w:kern w:val="28"/>
          <w:sz w:val="24"/>
          <w:szCs w:val="24"/>
          <w:lang w:val="en-US" w:eastAsia="en-GB"/>
        </w:rPr>
        <w:t>Ney York: Tarcher/Putnam</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Riley, M. and Harvey, D. (2007) ‘Talking geography: on oral history and the practice of geography’, </w:t>
      </w:r>
      <w:r w:rsidRPr="009B6D32">
        <w:rPr>
          <w:rFonts w:ascii="Garamond" w:hAnsi="Garamond" w:cs="Garamond"/>
          <w:i/>
          <w:iCs/>
          <w:sz w:val="24"/>
          <w:szCs w:val="24"/>
        </w:rPr>
        <w:t>Social</w:t>
      </w:r>
      <w:r w:rsidRPr="009B6D32">
        <w:rPr>
          <w:rFonts w:ascii="Garamond" w:hAnsi="Garamond" w:cs="Garamond"/>
          <w:sz w:val="24"/>
          <w:szCs w:val="24"/>
        </w:rPr>
        <w:t xml:space="preserve"> </w:t>
      </w:r>
      <w:r w:rsidRPr="009B6D32">
        <w:rPr>
          <w:rFonts w:ascii="Garamond" w:hAnsi="Garamond" w:cs="Garamond"/>
          <w:i/>
          <w:iCs/>
          <w:sz w:val="24"/>
          <w:szCs w:val="24"/>
        </w:rPr>
        <w:t>&amp; Cultural Geography</w:t>
      </w:r>
      <w:r w:rsidRPr="009B6D32">
        <w:rPr>
          <w:rFonts w:ascii="Garamond" w:hAnsi="Garamond" w:cs="Garamond"/>
          <w:sz w:val="24"/>
          <w:szCs w:val="24"/>
        </w:rPr>
        <w:t>. 8(3), pp. 345-351</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Roberts, D.J. and Mahtani, M. (2010) 'Neoliberalizing Race, Racing Neoliberalism: Placing "race" in Neoliberal Discourses. </w:t>
      </w:r>
      <w:r w:rsidRPr="009B6D32">
        <w:rPr>
          <w:rFonts w:ascii="Garamond" w:hAnsi="Garamond" w:cs="Garamond"/>
          <w:i/>
          <w:sz w:val="24"/>
          <w:szCs w:val="24"/>
        </w:rPr>
        <w:t xml:space="preserve">Antipode. </w:t>
      </w:r>
      <w:r w:rsidRPr="009B6D32">
        <w:rPr>
          <w:rFonts w:ascii="Garamond" w:hAnsi="Garamond" w:cs="Garamond"/>
          <w:sz w:val="24"/>
          <w:szCs w:val="24"/>
        </w:rPr>
        <w:t>42(2), pp. 248-257</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Robertson, E. (2009) </w:t>
      </w:r>
      <w:r w:rsidRPr="009B6D32">
        <w:rPr>
          <w:rFonts w:ascii="Garamond" w:hAnsi="Garamond" w:cs="Garamond"/>
          <w:i/>
          <w:iCs/>
          <w:sz w:val="24"/>
          <w:szCs w:val="24"/>
        </w:rPr>
        <w:t xml:space="preserve">Chocolate, Women and Empire: A Social and Cultural History. </w:t>
      </w:r>
      <w:r w:rsidRPr="009B6D32">
        <w:rPr>
          <w:rFonts w:ascii="Garamond" w:hAnsi="Garamond" w:cs="Garamond"/>
          <w:sz w:val="24"/>
          <w:szCs w:val="24"/>
        </w:rPr>
        <w:t>Manchester: Manchester University Press</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Robinson, C. (2004) ‘Liberalism at Bay, Conservatism at Play: Fear in the Contemporary Imagination’, </w:t>
      </w:r>
      <w:r w:rsidRPr="009B6D32">
        <w:rPr>
          <w:rFonts w:ascii="Garamond" w:hAnsi="Garamond" w:cs="Garamond"/>
          <w:i/>
          <w:iCs/>
          <w:sz w:val="24"/>
          <w:szCs w:val="24"/>
        </w:rPr>
        <w:t>Social Research</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71(4), pp. 927-962</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Robson, E. (2005) ‘Portraying West Africa's children: moral panics, imagined geographies and globalisation’, in Cline-Cole, R. and Robson, E. (eds.) </w:t>
      </w:r>
      <w:r w:rsidRPr="009B6D32">
        <w:rPr>
          <w:rFonts w:ascii="Garamond" w:hAnsi="Garamond" w:cs="Garamond"/>
          <w:i/>
          <w:iCs/>
          <w:sz w:val="24"/>
          <w:szCs w:val="24"/>
        </w:rPr>
        <w:t>West African Worlds: Paths Through Socio-Economic Change, Livelihoods and Development</w:t>
      </w:r>
      <w:r w:rsidRPr="009B6D32">
        <w:rPr>
          <w:rFonts w:ascii="Garamond" w:hAnsi="Garamond" w:cs="Garamond"/>
          <w:i/>
          <w:sz w:val="24"/>
          <w:szCs w:val="24"/>
        </w:rPr>
        <w:t xml:space="preserve">. </w:t>
      </w:r>
      <w:r w:rsidRPr="009B6D32">
        <w:rPr>
          <w:rFonts w:ascii="Garamond" w:hAnsi="Garamond" w:cs="Garamond"/>
          <w:sz w:val="24"/>
          <w:szCs w:val="24"/>
        </w:rPr>
        <w:t xml:space="preserve">Harlow: Pearson Education Ltd </w:t>
      </w:r>
    </w:p>
    <w:p w:rsidR="0001718F" w:rsidRPr="00537AEF" w:rsidRDefault="0001718F" w:rsidP="0001718F">
      <w:pPr>
        <w:spacing w:after="0" w:line="240" w:lineRule="auto"/>
        <w:ind w:hanging="720"/>
        <w:jc w:val="both"/>
        <w:rPr>
          <w:rFonts w:ascii="Garamond" w:hAnsi="Garamond" w:cs="Garamond"/>
          <w:sz w:val="24"/>
          <w:szCs w:val="24"/>
        </w:rPr>
      </w:pPr>
      <w:r w:rsidRPr="0025716F">
        <w:rPr>
          <w:rFonts w:ascii="Garamond" w:hAnsi="Garamond" w:cs="F18"/>
          <w:sz w:val="24"/>
          <w:szCs w:val="24"/>
        </w:rPr>
        <w:t>Roddick, S. (2004) 'Activist geographies: building possible worlds</w:t>
      </w:r>
      <w:r>
        <w:rPr>
          <w:rFonts w:ascii="Garamond" w:hAnsi="Garamond" w:cs="F18"/>
          <w:sz w:val="24"/>
          <w:szCs w:val="24"/>
        </w:rPr>
        <w:t>' in Cloke, P. Crang, P. Gooodwin, M. (eds.) Envisioning Human Geographies. London: Arnold, pp. 229-240</w:t>
      </w:r>
    </w:p>
    <w:p w:rsidR="0001718F" w:rsidRPr="009B6D32" w:rsidRDefault="0001718F" w:rsidP="007437F5">
      <w:pPr>
        <w:autoSpaceDE w:val="0"/>
        <w:autoSpaceDN w:val="0"/>
        <w:adjustRightInd w:val="0"/>
        <w:spacing w:after="0" w:line="240" w:lineRule="auto"/>
        <w:ind w:hanging="720"/>
        <w:rPr>
          <w:rFonts w:ascii="Garamond" w:hAnsi="Garamond" w:cs="Calibri,Italic"/>
          <w:iCs/>
          <w:sz w:val="24"/>
          <w:szCs w:val="24"/>
        </w:rPr>
      </w:pPr>
      <w:r w:rsidRPr="009B6D32">
        <w:rPr>
          <w:rFonts w:ascii="Garamond" w:hAnsi="Garamond"/>
          <w:sz w:val="24"/>
          <w:szCs w:val="24"/>
        </w:rPr>
        <w:t xml:space="preserve">Rodgers, S., Barnett, C. and Cochrane, A. (2008) ‘Mediapolis: An introduction’. </w:t>
      </w:r>
      <w:r w:rsidRPr="009B6D32">
        <w:rPr>
          <w:rFonts w:ascii="Garamond" w:hAnsi="Garamond" w:cs="Calibri,Italic"/>
          <w:iCs/>
          <w:sz w:val="24"/>
          <w:szCs w:val="24"/>
        </w:rPr>
        <w:t>Mediapolis: Media Practices and the Political Spaces of Cities Conference, Open University,</w:t>
      </w:r>
      <w:r w:rsidRPr="009B6D32">
        <w:rPr>
          <w:rFonts w:ascii="Garamond" w:hAnsi="Garamond" w:cs="Calibri,Italic"/>
          <w:i/>
          <w:iCs/>
          <w:sz w:val="24"/>
          <w:szCs w:val="24"/>
        </w:rPr>
        <w:t xml:space="preserve"> </w:t>
      </w:r>
      <w:r w:rsidRPr="009B6D32">
        <w:rPr>
          <w:rFonts w:ascii="Garamond" w:hAnsi="Garamond" w:cs="Calibri,Italic"/>
          <w:iCs/>
          <w:sz w:val="24"/>
          <w:szCs w:val="24"/>
        </w:rPr>
        <w:t>9-10 June</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Rodogno, D. (2011) ‘Empire of Humanity: A History of Humanitarianism by Michael Barnett’. Unpublished Book Review. The Graduate Institute of International and De</w:t>
      </w:r>
      <w:r w:rsidRPr="009B6D32">
        <w:rPr>
          <w:rFonts w:ascii="Garamond" w:hAnsi="Garamond" w:cs="Garamond"/>
          <w:sz w:val="24"/>
          <w:szCs w:val="24"/>
        </w:rPr>
        <w:softHyphen/>
        <w:t>velopment Studies, Geneva</w:t>
      </w:r>
    </w:p>
    <w:p w:rsidR="0001718F" w:rsidRPr="009B6D32" w:rsidRDefault="0001718F" w:rsidP="007437F5">
      <w:pPr>
        <w:autoSpaceDE w:val="0"/>
        <w:autoSpaceDN w:val="0"/>
        <w:adjustRightInd w:val="0"/>
        <w:spacing w:after="0" w:line="240" w:lineRule="auto"/>
        <w:ind w:hanging="720"/>
        <w:rPr>
          <w:rFonts w:ascii="Garamond" w:hAnsi="Garamond"/>
          <w:sz w:val="24"/>
          <w:szCs w:val="24"/>
        </w:rPr>
      </w:pPr>
      <w:r w:rsidRPr="009B6D32">
        <w:rPr>
          <w:rFonts w:ascii="Garamond" w:hAnsi="Garamond"/>
          <w:sz w:val="24"/>
          <w:szCs w:val="24"/>
        </w:rPr>
        <w:t xml:space="preserve">Rodogno, D. (2011) </w:t>
      </w:r>
      <w:r w:rsidRPr="009B6D32">
        <w:rPr>
          <w:rFonts w:ascii="Garamond" w:hAnsi="Garamond"/>
          <w:i/>
          <w:sz w:val="24"/>
          <w:szCs w:val="24"/>
        </w:rPr>
        <w:t>Against Massacre: Humanitarian Interventions in the Ottoman Empire 1815-1914.</w:t>
      </w:r>
      <w:r w:rsidRPr="009B6D32">
        <w:rPr>
          <w:rFonts w:ascii="Garamond" w:hAnsi="Garamond"/>
          <w:sz w:val="24"/>
          <w:szCs w:val="24"/>
        </w:rPr>
        <w:t xml:space="preserve"> Princeton: Princeton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Roe, E. (2006) ‘Things Becoming Food and the Embodied, Material Practices of an Organic Food Consumer’, </w:t>
      </w:r>
      <w:r w:rsidRPr="009B6D32">
        <w:rPr>
          <w:rFonts w:ascii="Garamond" w:hAnsi="Garamond" w:cs="Garamond"/>
          <w:i/>
          <w:iCs/>
          <w:sz w:val="24"/>
          <w:szCs w:val="24"/>
        </w:rPr>
        <w:t xml:space="preserve">Sociologia Ruralis, </w:t>
      </w:r>
      <w:r w:rsidRPr="009B6D32">
        <w:rPr>
          <w:rFonts w:ascii="Garamond" w:hAnsi="Garamond" w:cs="Garamond"/>
          <w:sz w:val="24"/>
          <w:szCs w:val="24"/>
        </w:rPr>
        <w:t>46(2), pp. 104-121</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eastAsia="en-GB"/>
        </w:rPr>
        <w:t>Root, D. (1996</w:t>
      </w:r>
      <w:r w:rsidRPr="009B6D32">
        <w:rPr>
          <w:rFonts w:ascii="Garamond" w:hAnsi="Garamond" w:cs="Garamond"/>
          <w:i/>
          <w:iCs/>
          <w:kern w:val="28"/>
          <w:sz w:val="24"/>
          <w:szCs w:val="24"/>
          <w:lang w:eastAsia="en-GB"/>
        </w:rPr>
        <w:t>)</w:t>
      </w:r>
      <w:r w:rsidRPr="009B6D32">
        <w:rPr>
          <w:rFonts w:ascii="Garamond" w:hAnsi="Garamond" w:cs="Garamond"/>
          <w:kern w:val="28"/>
          <w:sz w:val="24"/>
          <w:szCs w:val="24"/>
          <w:lang w:eastAsia="en-GB"/>
        </w:rPr>
        <w:t xml:space="preserve"> </w:t>
      </w:r>
      <w:r w:rsidRPr="009B6D32">
        <w:rPr>
          <w:rFonts w:ascii="Garamond" w:hAnsi="Garamond" w:cs="Garamond"/>
          <w:i/>
          <w:sz w:val="24"/>
          <w:szCs w:val="24"/>
        </w:rPr>
        <w:t>Cannibal Culture: Art, Appropriation, and the Commodification of Difference</w:t>
      </w:r>
      <w:r w:rsidRPr="009B6D32">
        <w:rPr>
          <w:rFonts w:ascii="Garamond" w:hAnsi="Garamond" w:cs="Garamond"/>
          <w:sz w:val="24"/>
          <w:szCs w:val="24"/>
        </w:rPr>
        <w:t xml:space="preserve">. </w:t>
      </w:r>
      <w:r w:rsidRPr="009B6D32">
        <w:rPr>
          <w:rFonts w:ascii="Garamond" w:hAnsi="Garamond" w:cs="Garamond"/>
          <w:iCs/>
          <w:sz w:val="24"/>
          <w:szCs w:val="24"/>
        </w:rPr>
        <w:t>London: Icon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Rosati, C. (2007) ‘Media Geographies: Uncovering the Spatial Politics of Images’, </w:t>
      </w:r>
      <w:r w:rsidRPr="009B6D32">
        <w:rPr>
          <w:rFonts w:ascii="Garamond" w:hAnsi="Garamond" w:cs="Garamond"/>
          <w:i/>
          <w:iCs/>
          <w:sz w:val="24"/>
          <w:szCs w:val="24"/>
        </w:rPr>
        <w:t xml:space="preserve">Geography Compass </w:t>
      </w:r>
      <w:r w:rsidRPr="009B6D32">
        <w:rPr>
          <w:rFonts w:ascii="Garamond" w:hAnsi="Garamond" w:cs="Garamond"/>
          <w:sz w:val="24"/>
          <w:szCs w:val="24"/>
        </w:rPr>
        <w:t>1(5), pp. 995–1014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Rose, G. (1993) </w:t>
      </w:r>
      <w:r w:rsidRPr="009B6D32">
        <w:rPr>
          <w:rFonts w:ascii="Garamond" w:hAnsi="Garamond" w:cs="Garamond"/>
          <w:i/>
          <w:iCs/>
          <w:kern w:val="28"/>
          <w:sz w:val="24"/>
          <w:szCs w:val="24"/>
          <w:lang w:val="en-US" w:eastAsia="en-GB"/>
        </w:rPr>
        <w:t xml:space="preserve">Feminism and Geography: The limits of Geographical Knowledge. </w:t>
      </w:r>
      <w:r w:rsidRPr="009B6D32">
        <w:rPr>
          <w:rFonts w:ascii="Garamond" w:hAnsi="Garamond" w:cs="Garamond"/>
          <w:kern w:val="28"/>
          <w:sz w:val="24"/>
          <w:szCs w:val="24"/>
          <w:lang w:val="en-US" w:eastAsia="en-GB"/>
        </w:rPr>
        <w:t>Cambridge: Polity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eastAsia="en-GB"/>
        </w:rPr>
        <w:t xml:space="preserve">Rose, G. (2001) </w:t>
      </w:r>
      <w:r w:rsidRPr="009B6D32">
        <w:rPr>
          <w:rFonts w:ascii="Garamond" w:hAnsi="Garamond" w:cs="Garamond"/>
          <w:i/>
          <w:iCs/>
          <w:kern w:val="28"/>
          <w:sz w:val="24"/>
          <w:szCs w:val="24"/>
          <w:lang w:eastAsia="en-GB"/>
        </w:rPr>
        <w:t xml:space="preserve">Visual Methodologies. </w:t>
      </w:r>
      <w:r w:rsidRPr="009B6D32">
        <w:rPr>
          <w:rFonts w:ascii="Garamond" w:hAnsi="Garamond" w:cs="Garamond"/>
          <w:kern w:val="28"/>
          <w:sz w:val="24"/>
          <w:szCs w:val="24"/>
          <w:lang w:eastAsia="en-GB"/>
        </w:rPr>
        <w:t>New York: Sage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Rose, N. (1999)</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Powers of Freedom: Reframing Political Thought.</w:t>
      </w:r>
      <w:r w:rsidRPr="009B6D32">
        <w:rPr>
          <w:rStyle w:val="apple-converted-space"/>
          <w:rFonts w:ascii="Garamond" w:hAnsi="Garamond" w:cs="Garamond"/>
          <w:i/>
          <w:iCs/>
          <w:sz w:val="24"/>
          <w:szCs w:val="24"/>
          <w:bdr w:val="none" w:sz="0" w:space="0" w:color="auto" w:frame="1"/>
        </w:rPr>
        <w:t> </w:t>
      </w:r>
      <w:r w:rsidRPr="009B6D32">
        <w:rPr>
          <w:rFonts w:ascii="Garamond" w:hAnsi="Garamond" w:cs="Garamond"/>
          <w:sz w:val="24"/>
          <w:szCs w:val="24"/>
        </w:rPr>
        <w:t>London: Cambridge University Press</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lastRenderedPageBreak/>
        <w:t xml:space="preserve">Rose, N. (2007) </w:t>
      </w:r>
      <w:r w:rsidRPr="009B6D32">
        <w:rPr>
          <w:rFonts w:ascii="Garamond" w:hAnsi="Garamond" w:cs="Garamond"/>
          <w:i/>
          <w:iCs/>
          <w:sz w:val="24"/>
          <w:szCs w:val="24"/>
        </w:rPr>
        <w:t xml:space="preserve">The Politics of Life Itself: Biomedicine, Power, and Subjectivity in the Twenty-First Century. </w:t>
      </w:r>
      <w:r w:rsidRPr="009B6D32">
        <w:rPr>
          <w:rFonts w:ascii="Garamond" w:hAnsi="Garamond" w:cs="Garamond"/>
          <w:sz w:val="24"/>
          <w:szCs w:val="24"/>
        </w:rPr>
        <w:t>Oxford: Princeton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Roskam, K. (1960) </w:t>
      </w:r>
      <w:r w:rsidRPr="009B6D32">
        <w:rPr>
          <w:rFonts w:ascii="Garamond" w:hAnsi="Garamond" w:cs="Garamond"/>
          <w:i/>
          <w:iCs/>
          <w:sz w:val="24"/>
          <w:szCs w:val="24"/>
          <w:lang w:val="en-US"/>
        </w:rPr>
        <w:t xml:space="preserve">Apartheid and Discrimination. </w:t>
      </w:r>
      <w:r w:rsidRPr="009B6D32">
        <w:rPr>
          <w:rFonts w:ascii="Garamond" w:hAnsi="Garamond" w:cs="Garamond"/>
          <w:sz w:val="24"/>
          <w:szCs w:val="24"/>
          <w:lang w:val="en-US"/>
        </w:rPr>
        <w:t>Leiden: Leiden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Routledge, P. (2003) ‘Convergence space: process geographies of grassroots globalization networks’, </w:t>
      </w:r>
      <w:r w:rsidRPr="009B6D32">
        <w:rPr>
          <w:rFonts w:ascii="Garamond" w:hAnsi="Garamond" w:cs="Garamond"/>
          <w:i/>
          <w:iCs/>
          <w:kern w:val="28"/>
          <w:sz w:val="24"/>
          <w:szCs w:val="24"/>
          <w:lang w:eastAsia="en-GB"/>
        </w:rPr>
        <w:t>Transactions of The Institute of British Geographers</w:t>
      </w:r>
      <w:r w:rsidRPr="009B6D32">
        <w:rPr>
          <w:rFonts w:ascii="Garamond" w:hAnsi="Garamond" w:cs="Garamond"/>
          <w:kern w:val="28"/>
          <w:sz w:val="24"/>
          <w:szCs w:val="24"/>
          <w:lang w:eastAsia="en-GB"/>
        </w:rPr>
        <w:t>, 28(3), pp. 333-49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Routledge, P. (2012) 'Sensuous solidarities: Emotion, politics and performance in the Clandestine Insurgent Rebel Clown Army. </w:t>
      </w:r>
      <w:r w:rsidRPr="009B6D32">
        <w:rPr>
          <w:rFonts w:ascii="Garamond" w:hAnsi="Garamond" w:cs="Garamond"/>
          <w:i/>
          <w:kern w:val="28"/>
          <w:sz w:val="24"/>
          <w:szCs w:val="24"/>
          <w:lang w:eastAsia="en-GB"/>
        </w:rPr>
        <w:t xml:space="preserve">Antipode, </w:t>
      </w:r>
      <w:r w:rsidRPr="009B6D32">
        <w:rPr>
          <w:rFonts w:ascii="Garamond" w:hAnsi="Garamond" w:cs="Garamond"/>
          <w:kern w:val="28"/>
          <w:sz w:val="24"/>
          <w:szCs w:val="24"/>
          <w:lang w:eastAsia="en-GB"/>
        </w:rPr>
        <w:t>44(2), pp. 428-452</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lang w:val="en-US"/>
        </w:rPr>
        <w:t xml:space="preserve">Rutherford, D. (1995) </w:t>
      </w:r>
      <w:r w:rsidRPr="009B6D32">
        <w:rPr>
          <w:rFonts w:ascii="Garamond" w:hAnsi="Garamond" w:cs="Garamond"/>
          <w:i/>
          <w:iCs/>
          <w:sz w:val="24"/>
          <w:szCs w:val="24"/>
          <w:lang w:val="en-US"/>
        </w:rPr>
        <w:t xml:space="preserve">The Routledge Dictionary of Economics.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Ryan, O. (2011) </w:t>
      </w:r>
      <w:r w:rsidRPr="009B6D32">
        <w:rPr>
          <w:rFonts w:ascii="Garamond" w:hAnsi="Garamond" w:cs="Garamond"/>
          <w:i/>
          <w:iCs/>
          <w:sz w:val="24"/>
          <w:szCs w:val="24"/>
        </w:rPr>
        <w:t xml:space="preserve">Chocolate Nations: Living and Dying for Cocoa in West Africa. </w:t>
      </w:r>
      <w:r w:rsidRPr="009B6D32">
        <w:rPr>
          <w:rFonts w:ascii="Garamond" w:hAnsi="Garamond" w:cs="Garamond"/>
          <w:sz w:val="24"/>
          <w:szCs w:val="24"/>
        </w:rPr>
        <w:t>London: Zed Books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Sack, R. (1986) </w:t>
      </w:r>
      <w:r w:rsidRPr="009B6D32">
        <w:rPr>
          <w:rFonts w:ascii="Garamond" w:hAnsi="Garamond" w:cs="Garamond"/>
          <w:i/>
          <w:iCs/>
          <w:kern w:val="28"/>
          <w:sz w:val="24"/>
          <w:szCs w:val="24"/>
          <w:lang w:val="en-US" w:eastAsia="en-GB"/>
        </w:rPr>
        <w:t xml:space="preserve">Human Territoriality. </w:t>
      </w:r>
      <w:r w:rsidRPr="009B6D32">
        <w:rPr>
          <w:rFonts w:ascii="Garamond" w:hAnsi="Garamond" w:cs="Garamond"/>
          <w:kern w:val="28"/>
          <w:sz w:val="24"/>
          <w:szCs w:val="24"/>
          <w:lang w:val="en-US" w:eastAsia="en-GB"/>
        </w:rPr>
        <w:t>Cambridge: Cambridge University Press</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Said, E. (1978) </w:t>
      </w:r>
      <w:r w:rsidRPr="009B6D32">
        <w:rPr>
          <w:rFonts w:ascii="Garamond" w:hAnsi="Garamond" w:cs="Garamond"/>
          <w:i/>
          <w:iCs/>
          <w:sz w:val="24"/>
          <w:szCs w:val="24"/>
        </w:rPr>
        <w:t xml:space="preserve">Orientalism. </w:t>
      </w:r>
      <w:r w:rsidRPr="009B6D32">
        <w:rPr>
          <w:rFonts w:ascii="Garamond" w:hAnsi="Garamond" w:cs="Garamond"/>
          <w:sz w:val="24"/>
          <w:szCs w:val="24"/>
        </w:rPr>
        <w:t>New York: Random House</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Said, E. (1993) </w:t>
      </w:r>
      <w:r w:rsidRPr="009B6D32">
        <w:rPr>
          <w:rFonts w:ascii="Garamond" w:hAnsi="Garamond" w:cs="Garamond"/>
          <w:i/>
          <w:iCs/>
          <w:sz w:val="24"/>
          <w:szCs w:val="24"/>
        </w:rPr>
        <w:t xml:space="preserve">Culture and Imperialism. </w:t>
      </w:r>
      <w:r w:rsidRPr="009B6D32">
        <w:rPr>
          <w:rFonts w:ascii="Garamond" w:hAnsi="Garamond" w:cs="Garamond"/>
          <w:sz w:val="24"/>
          <w:szCs w:val="24"/>
        </w:rPr>
        <w:t>New York: Alfred A Knopf</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sz w:val="24"/>
          <w:szCs w:val="24"/>
        </w:rPr>
        <w:t xml:space="preserve">Saldanha A. (2006) ‘Re-ontologizing race’, </w:t>
      </w:r>
      <w:r w:rsidRPr="009B6D32">
        <w:rPr>
          <w:rFonts w:ascii="Garamond" w:hAnsi="Garamond" w:cs="Garamond"/>
          <w:i/>
          <w:iCs/>
          <w:sz w:val="24"/>
          <w:szCs w:val="24"/>
        </w:rPr>
        <w:t>Environment and Planning D: Society and Space</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24(1), pp. 9-24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Saldanha, A. (2007) </w:t>
      </w:r>
      <w:r w:rsidRPr="009B6D32">
        <w:rPr>
          <w:rFonts w:ascii="Garamond" w:hAnsi="Garamond" w:cs="Garamond"/>
          <w:i/>
          <w:iCs/>
          <w:kern w:val="28"/>
          <w:sz w:val="24"/>
          <w:szCs w:val="24"/>
          <w:lang w:val="en-US" w:eastAsia="en-GB"/>
        </w:rPr>
        <w:t xml:space="preserve">Psychedelic White – Goa Trance &amp; The Viscosity of Race. </w:t>
      </w:r>
      <w:r w:rsidRPr="009B6D32">
        <w:rPr>
          <w:rFonts w:ascii="Garamond" w:hAnsi="Garamond" w:cs="Garamond"/>
          <w:kern w:val="28"/>
          <w:sz w:val="24"/>
          <w:szCs w:val="24"/>
          <w:lang w:val="en-US" w:eastAsia="en-GB"/>
        </w:rPr>
        <w:t>London: University of Minnesota Press</w:t>
      </w:r>
    </w:p>
    <w:p w:rsidR="0001718F" w:rsidRPr="009B6D32" w:rsidRDefault="0001718F" w:rsidP="007437F5">
      <w:pPr>
        <w:autoSpaceDE w:val="0"/>
        <w:autoSpaceDN w:val="0"/>
        <w:adjustRightInd w:val="0"/>
        <w:spacing w:after="0" w:line="240" w:lineRule="auto"/>
        <w:ind w:hanging="720"/>
        <w:jc w:val="both"/>
        <w:rPr>
          <w:rFonts w:ascii="Garamond" w:hAnsi="Garamond" w:cs="Garamond"/>
          <w:sz w:val="24"/>
          <w:szCs w:val="24"/>
        </w:rPr>
      </w:pPr>
      <w:r w:rsidRPr="009B6D32">
        <w:rPr>
          <w:rFonts w:ascii="Garamond" w:hAnsi="Garamond" w:cs="Garamond"/>
          <w:kern w:val="28"/>
          <w:sz w:val="24"/>
          <w:szCs w:val="24"/>
          <w:lang w:val="en-US" w:eastAsia="en-GB"/>
        </w:rPr>
        <w:t>Saldanha, A. (2010) ‘</w:t>
      </w:r>
      <w:r w:rsidRPr="009B6D32">
        <w:rPr>
          <w:rFonts w:ascii="Garamond" w:hAnsi="Garamond" w:cs="Garamond"/>
          <w:sz w:val="24"/>
          <w:szCs w:val="24"/>
        </w:rPr>
        <w:t>Skin, affect, aggregation: Guattarian variations on Fanon’,</w:t>
      </w:r>
      <w:r w:rsidRPr="009B6D32">
        <w:rPr>
          <w:rFonts w:ascii="Garamond" w:hAnsi="Garamond" w:cs="Garamond"/>
          <w:i/>
          <w:iCs/>
          <w:sz w:val="24"/>
          <w:szCs w:val="24"/>
        </w:rPr>
        <w:t xml:space="preserve"> Environment and Planning A</w:t>
      </w:r>
      <w:r w:rsidRPr="009B6D32">
        <w:rPr>
          <w:rFonts w:ascii="Garamond" w:hAnsi="Garamond" w:cs="Garamond"/>
          <w:sz w:val="24"/>
          <w:szCs w:val="24"/>
        </w:rPr>
        <w:t>, 42(10), pp. 2410-2427</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Samuel, A. (2012) </w:t>
      </w:r>
      <w:r w:rsidRPr="009B6D32">
        <w:rPr>
          <w:rFonts w:ascii="Garamond" w:hAnsi="Garamond" w:cs="Garamond"/>
          <w:i/>
          <w:iCs/>
          <w:sz w:val="24"/>
          <w:szCs w:val="24"/>
          <w:lang w:val="en-US"/>
        </w:rPr>
        <w:t>An Empirical Study of the Marketing Dynamics of the Fairtrade Towns Movement</w:t>
      </w:r>
      <w:r w:rsidRPr="009B6D32">
        <w:rPr>
          <w:rFonts w:ascii="Garamond" w:hAnsi="Garamond" w:cs="Garamond"/>
          <w:sz w:val="24"/>
          <w:szCs w:val="24"/>
          <w:lang w:val="en-US"/>
        </w:rPr>
        <w:t xml:space="preserve">. Unpublished PhD Thesis. Cardiff University. </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Sanders, J. (2000) </w:t>
      </w:r>
      <w:r w:rsidRPr="009B6D32">
        <w:rPr>
          <w:rFonts w:ascii="Garamond" w:hAnsi="Garamond" w:cs="Garamond"/>
          <w:i/>
          <w:iCs/>
          <w:sz w:val="24"/>
          <w:szCs w:val="24"/>
        </w:rPr>
        <w:t xml:space="preserve">South Africa and the International Media, 1972-79: A Struggle for Representation. </w:t>
      </w:r>
      <w:r w:rsidRPr="009B6D32">
        <w:rPr>
          <w:rFonts w:ascii="Garamond" w:hAnsi="Garamond" w:cs="Garamond"/>
          <w:sz w:val="24"/>
          <w:szCs w:val="24"/>
        </w:rPr>
        <w:t>Abingdon: Routledge</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Sandikci, Ö. and Ekici, A. (2008) ‘Politically motivated brand rejection’, </w:t>
      </w:r>
      <w:r w:rsidRPr="009B6D32">
        <w:rPr>
          <w:rFonts w:ascii="Garamond" w:hAnsi="Garamond" w:cs="Garamond"/>
          <w:i/>
          <w:iCs/>
          <w:sz w:val="24"/>
          <w:szCs w:val="24"/>
          <w:lang w:val="en-US"/>
        </w:rPr>
        <w:t xml:space="preserve">Journal of Business Research, </w:t>
      </w:r>
      <w:r w:rsidRPr="009B6D32">
        <w:rPr>
          <w:rFonts w:ascii="Garamond" w:hAnsi="Garamond" w:cs="Garamond"/>
          <w:sz w:val="24"/>
          <w:szCs w:val="24"/>
          <w:lang w:val="en-US"/>
        </w:rPr>
        <w:t>62 (2), pp. 208-217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Sargeant, A. and Jay, E. (2004) </w:t>
      </w:r>
      <w:r w:rsidRPr="009B6D32">
        <w:rPr>
          <w:rFonts w:ascii="Garamond" w:hAnsi="Garamond" w:cs="Garamond"/>
          <w:i/>
          <w:iCs/>
          <w:sz w:val="24"/>
          <w:szCs w:val="24"/>
          <w:lang w:val="en-US"/>
        </w:rPr>
        <w:t xml:space="preserve">Building Donor Loyalty. </w:t>
      </w:r>
      <w:r w:rsidRPr="009B6D32">
        <w:rPr>
          <w:rFonts w:ascii="Garamond" w:hAnsi="Garamond" w:cs="Garamond"/>
          <w:sz w:val="24"/>
          <w:szCs w:val="24"/>
          <w:lang w:val="en-US"/>
        </w:rPr>
        <w:t>San Francisco: John Wiley</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Sargeant, A. and Woodliffe, L. (2007) ‘Gift Giving: An Interdisciplinary Review’, </w:t>
      </w:r>
      <w:r w:rsidRPr="009B6D32">
        <w:rPr>
          <w:rFonts w:ascii="Garamond" w:hAnsi="Garamond" w:cs="Garamond"/>
          <w:i/>
          <w:iCs/>
          <w:sz w:val="24"/>
          <w:szCs w:val="24"/>
          <w:lang w:val="en-US"/>
        </w:rPr>
        <w:t>International Journal of Nonprofit and Voluntary Sector Marketing</w:t>
      </w:r>
      <w:r w:rsidRPr="009B6D32">
        <w:rPr>
          <w:rFonts w:ascii="Garamond" w:hAnsi="Garamond" w:cs="Garamond"/>
          <w:sz w:val="24"/>
          <w:szCs w:val="24"/>
          <w:lang w:val="en-US"/>
        </w:rPr>
        <w:t>, 12(4), pp. 275-307</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Sartori, A. (2003) ‘The Categorical Nature of a Colonial Nationalism: Swadeshi Bengal, 1904-1908’, </w:t>
      </w:r>
      <w:r w:rsidRPr="009B6D32">
        <w:rPr>
          <w:rFonts w:ascii="Garamond" w:hAnsi="Garamond" w:cs="Garamond"/>
          <w:i/>
          <w:iCs/>
          <w:sz w:val="24"/>
          <w:szCs w:val="24"/>
          <w:lang w:val="en-US"/>
        </w:rPr>
        <w:t xml:space="preserve">Comparative Studies of South Asia, Africa and the Middle East, </w:t>
      </w:r>
      <w:r w:rsidRPr="009B6D32">
        <w:rPr>
          <w:rFonts w:ascii="Garamond" w:hAnsi="Garamond" w:cs="Garamond"/>
          <w:sz w:val="24"/>
          <w:szCs w:val="24"/>
          <w:lang w:val="en-US"/>
        </w:rPr>
        <w:t>23(1&amp;2), pp. 271-285</w:t>
      </w:r>
    </w:p>
    <w:p w:rsidR="0001718F" w:rsidRPr="009B6D32" w:rsidRDefault="0001718F" w:rsidP="007437F5">
      <w:pPr>
        <w:spacing w:after="0" w:line="240" w:lineRule="auto"/>
        <w:ind w:hanging="720"/>
        <w:rPr>
          <w:rFonts w:ascii="Garamond" w:hAnsi="Garamond" w:cs="Garamond"/>
          <w:color w:val="FF0000"/>
          <w:sz w:val="24"/>
          <w:szCs w:val="24"/>
          <w:lang w:val="en-US"/>
        </w:rPr>
      </w:pPr>
      <w:r w:rsidRPr="009B6D32">
        <w:rPr>
          <w:rFonts w:ascii="Garamond" w:hAnsi="Garamond" w:cs="Garamond"/>
          <w:sz w:val="24"/>
          <w:szCs w:val="24"/>
          <w:lang w:val="en-US"/>
        </w:rPr>
        <w:t xml:space="preserve">Sassatelli, R. (2004) ‘Alternative consumption and consumer movements’, in </w:t>
      </w:r>
      <w:r w:rsidRPr="009B6D32">
        <w:rPr>
          <w:rFonts w:ascii="Garamond" w:hAnsi="Garamond" w:cs="Garamond"/>
          <w:i/>
          <w:iCs/>
          <w:sz w:val="24"/>
          <w:szCs w:val="24"/>
          <w:lang w:val="en-US"/>
        </w:rPr>
        <w:t xml:space="preserve">Consumer Culture, History, Theory and Politics. </w:t>
      </w:r>
      <w:r w:rsidRPr="009B6D32">
        <w:rPr>
          <w:rFonts w:ascii="Garamond" w:hAnsi="Garamond" w:cs="Garamond"/>
          <w:sz w:val="24"/>
          <w:szCs w:val="24"/>
          <w:lang w:val="en-US"/>
        </w:rPr>
        <w:t xml:space="preserve">London: Sage, pp. 182-190 </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i/>
          <w:iCs/>
          <w:kern w:val="28"/>
          <w:sz w:val="24"/>
          <w:szCs w:val="24"/>
          <w:lang w:val="en-US" w:eastAsia="en-GB"/>
        </w:rPr>
      </w:pPr>
      <w:r w:rsidRPr="009B6D32">
        <w:rPr>
          <w:rFonts w:ascii="Garamond" w:hAnsi="Garamond" w:cs="Garamond"/>
          <w:sz w:val="24"/>
          <w:szCs w:val="24"/>
          <w:lang w:val="en-US"/>
        </w:rPr>
        <w:t>Sassatelli, R. (2006) ‘Virtue, Responsibility and Consumer Choice</w:t>
      </w:r>
      <w:r w:rsidRPr="009B6D32">
        <w:rPr>
          <w:rFonts w:ascii="Garamond" w:hAnsi="Garamond" w:cs="Garamond"/>
          <w:sz w:val="24"/>
          <w:szCs w:val="24"/>
        </w:rPr>
        <w:t>’</w:t>
      </w:r>
      <w:r w:rsidRPr="009B6D32">
        <w:rPr>
          <w:rFonts w:ascii="Garamond" w:hAnsi="Garamond" w:cs="Garamond"/>
          <w:sz w:val="24"/>
          <w:szCs w:val="24"/>
          <w:lang w:val="en-US"/>
        </w:rPr>
        <w:t xml:space="preserve"> in Brewer, J. and Trentmann, F. (eds.) </w:t>
      </w:r>
      <w:r w:rsidRPr="009B6D32">
        <w:rPr>
          <w:rFonts w:ascii="Garamond" w:hAnsi="Garamond" w:cs="Garamond"/>
          <w:i/>
          <w:iCs/>
          <w:sz w:val="24"/>
          <w:szCs w:val="24"/>
          <w:lang w:val="en-US"/>
        </w:rPr>
        <w:t xml:space="preserve">Consuming Cultures, Global Perspectives. </w:t>
      </w:r>
      <w:r w:rsidRPr="009B6D32">
        <w:rPr>
          <w:rFonts w:ascii="Garamond" w:hAnsi="Garamond" w:cs="Garamond"/>
          <w:sz w:val="24"/>
          <w:szCs w:val="24"/>
          <w:lang w:val="en-US"/>
        </w:rPr>
        <w:t>Oxford: Berg, pp. 219-50.</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i/>
          <w:iCs/>
          <w:kern w:val="28"/>
          <w:sz w:val="24"/>
          <w:szCs w:val="24"/>
          <w:lang w:val="en-US" w:eastAsia="en-GB"/>
        </w:rPr>
      </w:pPr>
      <w:r w:rsidRPr="009B6D32">
        <w:rPr>
          <w:rFonts w:ascii="Garamond" w:hAnsi="Garamond" w:cs="Garamond"/>
          <w:sz w:val="24"/>
          <w:szCs w:val="24"/>
          <w:lang w:val="en-US"/>
        </w:rPr>
        <w:t xml:space="preserve">Sassatelli, R. (2007) </w:t>
      </w:r>
      <w:r w:rsidRPr="009B6D32">
        <w:rPr>
          <w:rFonts w:ascii="Garamond" w:hAnsi="Garamond" w:cs="Garamond"/>
          <w:i/>
          <w:iCs/>
          <w:sz w:val="24"/>
          <w:szCs w:val="24"/>
          <w:lang w:val="en-US"/>
        </w:rPr>
        <w:t xml:space="preserve">Consumer Culture, History, Theory and Politics. </w:t>
      </w:r>
      <w:r w:rsidRPr="009B6D32">
        <w:rPr>
          <w:rFonts w:ascii="Garamond" w:hAnsi="Garamond" w:cs="Garamond"/>
          <w:sz w:val="24"/>
          <w:szCs w:val="24"/>
          <w:lang w:val="en-US"/>
        </w:rPr>
        <w:t>London: Sage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Satre, L. (2005)</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 xml:space="preserve">Chocolate on Trial: Slavery, Politics and the Ethics of Business. </w:t>
      </w:r>
      <w:r w:rsidRPr="009B6D32">
        <w:rPr>
          <w:rFonts w:ascii="Garamond" w:hAnsi="Garamond" w:cs="Garamond"/>
          <w:sz w:val="24"/>
          <w:szCs w:val="24"/>
        </w:rPr>
        <w:t>Ohio: Ohio University Press</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Sayer, A. (2003) ‘(De)commodification, consumer culture, and moral economy’, </w:t>
      </w:r>
      <w:r w:rsidRPr="009B6D32">
        <w:rPr>
          <w:rFonts w:ascii="Garamond" w:hAnsi="Garamond" w:cs="Garamond"/>
          <w:i/>
          <w:iCs/>
          <w:sz w:val="24"/>
          <w:szCs w:val="24"/>
          <w:lang w:val="en-US"/>
        </w:rPr>
        <w:t>Environment &amp; Planning D: Society and Space</w:t>
      </w:r>
      <w:r w:rsidRPr="009B6D32">
        <w:rPr>
          <w:rFonts w:ascii="Garamond" w:hAnsi="Garamond" w:cs="Garamond"/>
          <w:sz w:val="24"/>
          <w:szCs w:val="24"/>
          <w:lang w:val="en-US"/>
        </w:rPr>
        <w:t>. 21(3), pp. 341-57</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Scarry, E. (1985) </w:t>
      </w:r>
      <w:r w:rsidRPr="009B6D32">
        <w:rPr>
          <w:rFonts w:ascii="Garamond" w:hAnsi="Garamond" w:cs="Garamond"/>
          <w:i/>
          <w:iCs/>
          <w:sz w:val="24"/>
          <w:szCs w:val="24"/>
          <w:lang w:val="en-US"/>
        </w:rPr>
        <w:t xml:space="preserve">The Body in Pain: The Making and Unmaking of the World. </w:t>
      </w:r>
      <w:r w:rsidRPr="009B6D32">
        <w:rPr>
          <w:rFonts w:ascii="Garamond" w:hAnsi="Garamond" w:cs="Garamond"/>
          <w:sz w:val="24"/>
          <w:szCs w:val="24"/>
          <w:lang w:val="en-US"/>
        </w:rPr>
        <w:t>New York: Oxford University Press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 xml:space="preserve">Schein, R.H. (2002) 'Race, racism and geography: introduction', </w:t>
      </w:r>
      <w:r w:rsidRPr="009B6D32">
        <w:rPr>
          <w:rFonts w:ascii="Garamond" w:hAnsi="Garamond" w:cs="Garamond"/>
          <w:i/>
          <w:kern w:val="28"/>
          <w:sz w:val="24"/>
          <w:szCs w:val="24"/>
          <w:lang w:eastAsia="en-GB"/>
        </w:rPr>
        <w:t>The Professional Geographer</w:t>
      </w:r>
      <w:r w:rsidRPr="009B6D32">
        <w:rPr>
          <w:rFonts w:ascii="Garamond" w:hAnsi="Garamond" w:cs="Garamond"/>
          <w:kern w:val="28"/>
          <w:sz w:val="24"/>
          <w:szCs w:val="24"/>
          <w:lang w:eastAsia="en-GB"/>
        </w:rPr>
        <w:t xml:space="preserve"> , 54(1), pp. 1–5</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Schickel, R. (1985) </w:t>
      </w:r>
      <w:r w:rsidRPr="009B6D32">
        <w:rPr>
          <w:rFonts w:ascii="Garamond" w:hAnsi="Garamond" w:cs="Garamond"/>
          <w:i/>
          <w:iCs/>
          <w:sz w:val="24"/>
          <w:szCs w:val="24"/>
        </w:rPr>
        <w:t>Intimate Strangers: The Culture of Celebrity in America</w:t>
      </w:r>
      <w:r w:rsidRPr="009B6D32">
        <w:rPr>
          <w:rFonts w:ascii="Garamond" w:hAnsi="Garamond" w:cs="Garamond"/>
          <w:sz w:val="24"/>
          <w:szCs w:val="24"/>
        </w:rPr>
        <w:t>. New York: Doubleday &amp; Company</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Schivelbusch, W. (1993) </w:t>
      </w:r>
      <w:r w:rsidRPr="009B6D32">
        <w:rPr>
          <w:rFonts w:ascii="Garamond" w:hAnsi="Garamond" w:cs="Garamond"/>
          <w:i/>
          <w:sz w:val="24"/>
          <w:szCs w:val="24"/>
          <w:lang w:val="en-US"/>
        </w:rPr>
        <w:t>Tastes of Paradise – A Social History of Spices, Stimulants, and Intoxications.</w:t>
      </w:r>
      <w:r w:rsidRPr="009B6D32">
        <w:rPr>
          <w:rFonts w:ascii="Garamond" w:hAnsi="Garamond" w:cs="Garamond"/>
          <w:sz w:val="24"/>
          <w:szCs w:val="24"/>
          <w:lang w:val="en-US"/>
        </w:rPr>
        <w:t xml:space="preserve"> New York: Vintage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Schofield Clark, L. (2008) ‘Book Review: Roger Silverstone, Media and Morality: On the Rise of the Mediapolis’ </w:t>
      </w:r>
      <w:r w:rsidRPr="009B6D32">
        <w:rPr>
          <w:rFonts w:ascii="Garamond" w:hAnsi="Garamond" w:cs="Garamond"/>
          <w:i/>
          <w:iCs/>
          <w:sz w:val="24"/>
          <w:szCs w:val="24"/>
          <w:lang w:val="en-US"/>
        </w:rPr>
        <w:t>New Media Society</w:t>
      </w:r>
      <w:r w:rsidRPr="009B6D32">
        <w:rPr>
          <w:rFonts w:ascii="Garamond" w:hAnsi="Garamond" w:cs="Garamond"/>
          <w:iCs/>
          <w:sz w:val="24"/>
          <w:szCs w:val="24"/>
          <w:lang w:val="en-US"/>
        </w:rPr>
        <w:t xml:space="preserve">, </w:t>
      </w:r>
      <w:r w:rsidRPr="009B6D32">
        <w:rPr>
          <w:rFonts w:ascii="Garamond" w:hAnsi="Garamond" w:cs="Garamond"/>
          <w:sz w:val="24"/>
          <w:szCs w:val="24"/>
          <w:lang w:val="en-US"/>
        </w:rPr>
        <w:t>10(3), pp. 537-540</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kern w:val="28"/>
          <w:sz w:val="24"/>
          <w:szCs w:val="24"/>
          <w:lang w:val="en-US" w:eastAsia="en-GB"/>
        </w:rPr>
        <w:t xml:space="preserve">Schoones, P. (1950) </w:t>
      </w:r>
      <w:r w:rsidRPr="009B6D32">
        <w:rPr>
          <w:rFonts w:ascii="Garamond" w:hAnsi="Garamond" w:cs="Garamond"/>
          <w:i/>
          <w:iCs/>
          <w:kern w:val="28"/>
          <w:sz w:val="24"/>
          <w:szCs w:val="24"/>
          <w:lang w:val="en-US" w:eastAsia="en-GB"/>
        </w:rPr>
        <w:t xml:space="preserve">Woordeboek van die Afrikaanse Taal. </w:t>
      </w:r>
      <w:r w:rsidRPr="009B6D32">
        <w:rPr>
          <w:rFonts w:ascii="Garamond" w:hAnsi="Garamond" w:cs="Garamond"/>
          <w:kern w:val="28"/>
          <w:sz w:val="24"/>
          <w:szCs w:val="24"/>
          <w:lang w:val="en-US" w:eastAsia="en-GB"/>
        </w:rPr>
        <w:t xml:space="preserve">Stellenbosch: </w:t>
      </w:r>
      <w:r w:rsidRPr="009B6D32">
        <w:rPr>
          <w:rFonts w:ascii="Garamond" w:hAnsi="Garamond" w:cs="Garamond"/>
          <w:sz w:val="24"/>
          <w:szCs w:val="24"/>
        </w:rPr>
        <w:t>Stellenbosch University.</w:t>
      </w:r>
      <w:r w:rsidRPr="009B6D32">
        <w:rPr>
          <w:rFonts w:ascii="Garamond" w:hAnsi="Garamond" w:cs="Garamond"/>
          <w:kern w:val="28"/>
          <w:sz w:val="24"/>
          <w:szCs w:val="24"/>
          <w:lang w:val="en-US" w:eastAsia="en-GB"/>
        </w:rPr>
        <w:t xml:space="preserve"> </w:t>
      </w:r>
    </w:p>
    <w:p w:rsidR="0001718F" w:rsidRPr="009B6D32" w:rsidRDefault="0001718F" w:rsidP="007437F5">
      <w:pPr>
        <w:autoSpaceDE w:val="0"/>
        <w:autoSpaceDN w:val="0"/>
        <w:adjustRightInd w:val="0"/>
        <w:spacing w:after="0" w:line="240" w:lineRule="auto"/>
        <w:ind w:hanging="720"/>
        <w:rPr>
          <w:rFonts w:ascii="Garamond" w:hAnsi="Garamond" w:cs="Garamond"/>
          <w:i/>
          <w:iCs/>
          <w:sz w:val="24"/>
          <w:szCs w:val="24"/>
        </w:rPr>
      </w:pPr>
      <w:r w:rsidRPr="009B6D32">
        <w:rPr>
          <w:rFonts w:ascii="Garamond" w:hAnsi="Garamond" w:cs="Garamond"/>
          <w:sz w:val="24"/>
          <w:szCs w:val="24"/>
          <w:lang w:val="en-US"/>
        </w:rPr>
        <w:t xml:space="preserve">Scott, D. (2004) </w:t>
      </w:r>
      <w:r w:rsidRPr="009B6D32">
        <w:rPr>
          <w:rFonts w:ascii="Garamond" w:hAnsi="Garamond" w:cs="Garamond"/>
          <w:i/>
          <w:iCs/>
          <w:sz w:val="24"/>
          <w:szCs w:val="24"/>
          <w:lang w:val="en-US"/>
        </w:rPr>
        <w:t xml:space="preserve">Conscripts of Modernity: The Tragedy of Colonial Enlightenment. </w:t>
      </w:r>
      <w:r w:rsidRPr="009B6D32">
        <w:rPr>
          <w:rFonts w:ascii="Garamond" w:hAnsi="Garamond" w:cs="Garamond"/>
          <w:sz w:val="24"/>
          <w:szCs w:val="24"/>
          <w:lang w:val="en-US"/>
        </w:rPr>
        <w:t>Durham: Duke University Press</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i/>
          <w:iCs/>
          <w:kern w:val="28"/>
          <w:sz w:val="24"/>
          <w:szCs w:val="24"/>
          <w:lang w:val="en-US" w:eastAsia="en-GB"/>
        </w:rPr>
      </w:pPr>
      <w:r w:rsidRPr="009B6D32">
        <w:rPr>
          <w:rFonts w:ascii="Garamond" w:hAnsi="Garamond" w:cs="Garamond"/>
          <w:sz w:val="24"/>
          <w:szCs w:val="24"/>
        </w:rPr>
        <w:t xml:space="preserve">Scott, J. (2000) ‘Rational choice theory’, in Browning, G., Halcli, A. and Webster, F. (eds.) </w:t>
      </w:r>
      <w:r w:rsidRPr="009B6D32">
        <w:rPr>
          <w:rFonts w:ascii="Garamond" w:hAnsi="Garamond" w:cs="Garamond"/>
          <w:i/>
          <w:sz w:val="24"/>
          <w:szCs w:val="24"/>
        </w:rPr>
        <w:lastRenderedPageBreak/>
        <w:t>Understanding Contemporary Society: Theories of The Present</w:t>
      </w:r>
      <w:r w:rsidRPr="009B6D32">
        <w:rPr>
          <w:rFonts w:ascii="Garamond" w:hAnsi="Garamond" w:cs="Garamond"/>
          <w:sz w:val="24"/>
          <w:szCs w:val="24"/>
        </w:rPr>
        <w:t>. London: Sage, pp 128-139</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Seamon, D. (1979) </w:t>
      </w:r>
      <w:r w:rsidRPr="009B6D32">
        <w:rPr>
          <w:rFonts w:ascii="Garamond" w:hAnsi="Garamond" w:cs="Garamond"/>
          <w:i/>
          <w:iCs/>
          <w:sz w:val="24"/>
          <w:szCs w:val="24"/>
        </w:rPr>
        <w:t xml:space="preserve">A Geography of the Lifeworld: Movement, Rest and Encounter. </w:t>
      </w:r>
      <w:r w:rsidRPr="009B6D32">
        <w:rPr>
          <w:rFonts w:ascii="Garamond" w:hAnsi="Garamond" w:cs="Garamond"/>
          <w:sz w:val="24"/>
          <w:szCs w:val="24"/>
        </w:rPr>
        <w:t>New York: St. Martins Press</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Seidman, G. (2007) </w:t>
      </w:r>
      <w:r w:rsidRPr="009B6D32">
        <w:rPr>
          <w:rFonts w:ascii="Garamond" w:hAnsi="Garamond" w:cs="Garamond"/>
          <w:i/>
          <w:iCs/>
          <w:sz w:val="24"/>
          <w:szCs w:val="24"/>
          <w:lang w:val="en-US"/>
        </w:rPr>
        <w:t xml:space="preserve">Beyond the Boycott: Labour Rights, Human Rights, and Transnational Activism. </w:t>
      </w:r>
      <w:r w:rsidRPr="009B6D32">
        <w:rPr>
          <w:rFonts w:ascii="Garamond" w:hAnsi="Garamond" w:cs="Garamond"/>
          <w:sz w:val="24"/>
          <w:szCs w:val="24"/>
          <w:lang w:val="en-US"/>
        </w:rPr>
        <w:t>New York: Russell Sage Foundation</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Sen, S., Gurhan-Canli, Z., and Morwitz, V. (2001) ‘Withholding Consumption: A Social Dilemma Perspective on Consumer Boycotts’, </w:t>
      </w:r>
      <w:r w:rsidRPr="009B6D32">
        <w:rPr>
          <w:rFonts w:ascii="Garamond" w:hAnsi="Garamond" w:cs="Garamond"/>
          <w:i/>
          <w:iCs/>
          <w:sz w:val="24"/>
          <w:szCs w:val="24"/>
          <w:lang w:val="en-US"/>
        </w:rPr>
        <w:t>Journal of Consumer Research</w:t>
      </w:r>
      <w:r w:rsidRPr="009B6D32">
        <w:rPr>
          <w:rFonts w:ascii="Garamond" w:hAnsi="Garamond" w:cs="Garamond"/>
          <w:iCs/>
          <w:sz w:val="24"/>
          <w:szCs w:val="24"/>
          <w:lang w:val="en-US"/>
        </w:rPr>
        <w:t>,</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28(3), pp. 399-417</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Sennett, R. (2007) </w:t>
      </w:r>
      <w:r w:rsidRPr="009B6D32">
        <w:rPr>
          <w:rFonts w:ascii="Garamond" w:hAnsi="Garamond" w:cs="Garamond"/>
          <w:i/>
          <w:iCs/>
          <w:sz w:val="24"/>
          <w:szCs w:val="24"/>
          <w:lang w:val="en-US"/>
        </w:rPr>
        <w:t xml:space="preserve">The Culture of the New Capitalism. </w:t>
      </w:r>
      <w:r w:rsidRPr="009B6D32">
        <w:rPr>
          <w:rFonts w:ascii="Garamond" w:hAnsi="Garamond" w:cs="Garamond"/>
          <w:sz w:val="24"/>
          <w:szCs w:val="24"/>
          <w:lang w:val="en-US"/>
        </w:rPr>
        <w:t>Yale: Yale University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Serequeberhan, T. (1997) ‘The Critique of Eurocentricism’ in Eze, E.C. (ed.) </w:t>
      </w:r>
      <w:r w:rsidRPr="009B6D32">
        <w:rPr>
          <w:rFonts w:ascii="Garamond" w:hAnsi="Garamond" w:cs="Garamond"/>
          <w:i/>
          <w:iCs/>
          <w:sz w:val="24"/>
          <w:szCs w:val="24"/>
        </w:rPr>
        <w:t>Postcolonial African Philosophy</w:t>
      </w:r>
      <w:r w:rsidRPr="009B6D32">
        <w:rPr>
          <w:rFonts w:ascii="Garamond" w:hAnsi="Garamond" w:cs="Garamond"/>
          <w:sz w:val="24"/>
          <w:szCs w:val="24"/>
        </w:rPr>
        <w:t>. Oxford: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Serres, M. (2008) </w:t>
      </w:r>
      <w:r w:rsidRPr="009B6D32">
        <w:rPr>
          <w:rFonts w:ascii="Garamond" w:hAnsi="Garamond" w:cs="Garamond"/>
          <w:i/>
          <w:iCs/>
          <w:sz w:val="24"/>
          <w:szCs w:val="24"/>
          <w:lang w:val="en-US"/>
        </w:rPr>
        <w:t>The Five Senses</w:t>
      </w:r>
      <w:r w:rsidRPr="009B6D32">
        <w:rPr>
          <w:rFonts w:ascii="Garamond" w:hAnsi="Garamond" w:cs="Garamond"/>
          <w:iCs/>
          <w:sz w:val="24"/>
          <w:szCs w:val="24"/>
          <w:lang w:val="en-US"/>
        </w:rPr>
        <w:t xml:space="preserve">, </w:t>
      </w:r>
      <w:r w:rsidRPr="009B6D32">
        <w:rPr>
          <w:rFonts w:ascii="Garamond" w:hAnsi="Garamond" w:cs="Garamond"/>
          <w:sz w:val="24"/>
          <w:szCs w:val="24"/>
          <w:lang w:val="en-US"/>
        </w:rPr>
        <w:t>translated by Sankey, M. and Cowley, P. London: Continuum</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Sheller, M. (2003) </w:t>
      </w:r>
      <w:r w:rsidRPr="009B6D32">
        <w:rPr>
          <w:rFonts w:ascii="Garamond" w:hAnsi="Garamond" w:cs="Garamond"/>
          <w:i/>
          <w:iCs/>
          <w:sz w:val="24"/>
          <w:szCs w:val="24"/>
          <w:lang w:val="en-US"/>
        </w:rPr>
        <w:t xml:space="preserve">Consuming the Caribbean.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Sheth, F. (2004) 'The Technology of Race: Enframing, Violence and Taming the Unruly', </w:t>
      </w:r>
      <w:r w:rsidRPr="009B6D32">
        <w:rPr>
          <w:rFonts w:ascii="Garamond" w:hAnsi="Garamond" w:cs="Garamond"/>
          <w:i/>
          <w:iCs/>
          <w:sz w:val="24"/>
          <w:szCs w:val="24"/>
        </w:rPr>
        <w:t>Radical Philosophy Review,</w:t>
      </w:r>
      <w:r w:rsidRPr="009B6D32">
        <w:rPr>
          <w:rFonts w:ascii="Garamond" w:hAnsi="Garamond" w:cs="Garamond"/>
          <w:sz w:val="24"/>
          <w:szCs w:val="24"/>
        </w:rPr>
        <w:t xml:space="preserve"> 7(1), pp. 77- 98</w:t>
      </w:r>
    </w:p>
    <w:p w:rsidR="0001718F" w:rsidRPr="009B6D32" w:rsidRDefault="0001718F" w:rsidP="007437F5">
      <w:pPr>
        <w:spacing w:after="0" w:line="240" w:lineRule="auto"/>
        <w:ind w:hanging="720"/>
        <w:rPr>
          <w:rFonts w:ascii="Garamond" w:hAnsi="Garamond" w:cs="Garamond"/>
          <w:sz w:val="24"/>
          <w:szCs w:val="24"/>
          <w:lang w:val="en-US"/>
        </w:rPr>
      </w:pPr>
      <w:r w:rsidRPr="009B6D32">
        <w:rPr>
          <w:rFonts w:ascii="Garamond" w:hAnsi="Garamond" w:cs="Garamond"/>
          <w:sz w:val="24"/>
          <w:szCs w:val="24"/>
        </w:rPr>
        <w:t xml:space="preserve">Sheth, F. (2009) </w:t>
      </w:r>
      <w:r w:rsidRPr="009B6D32">
        <w:rPr>
          <w:rFonts w:ascii="Garamond" w:hAnsi="Garamond" w:cs="Garamond"/>
          <w:i/>
          <w:iCs/>
          <w:sz w:val="24"/>
          <w:szCs w:val="24"/>
        </w:rPr>
        <w:t xml:space="preserve">Towards a Political Philosophy of Race. </w:t>
      </w:r>
      <w:r w:rsidRPr="009B6D32">
        <w:rPr>
          <w:rFonts w:ascii="Garamond" w:hAnsi="Garamond" w:cs="Garamond"/>
          <w:sz w:val="24"/>
          <w:szCs w:val="24"/>
        </w:rPr>
        <w:t>New York: State University of New York Press</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Shin Huey Chong, S. (2008) ‘“Look, an Asian!” The Politics of Racial Interpellation in the Wake of the Virginia Tech Shootings’, </w:t>
      </w:r>
      <w:r w:rsidRPr="009B6D32">
        <w:rPr>
          <w:rFonts w:ascii="Garamond" w:hAnsi="Garamond" w:cs="Garamond"/>
          <w:i/>
          <w:iCs/>
          <w:sz w:val="24"/>
          <w:szCs w:val="24"/>
        </w:rPr>
        <w:t>Journal of Asian American Studies</w:t>
      </w:r>
      <w:r w:rsidRPr="009B6D32">
        <w:rPr>
          <w:rFonts w:ascii="Garamond" w:hAnsi="Garamond" w:cs="Garamond"/>
          <w:sz w:val="24"/>
          <w:szCs w:val="24"/>
        </w:rPr>
        <w:t xml:space="preserve">, 11(1), pp. 27-60 </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rPr>
        <w:t xml:space="preserve">Shove, E. (2003) </w:t>
      </w:r>
      <w:r w:rsidRPr="009B6D32">
        <w:rPr>
          <w:rFonts w:ascii="Garamond" w:hAnsi="Garamond" w:cs="Garamond"/>
          <w:i/>
          <w:iCs/>
          <w:sz w:val="24"/>
          <w:szCs w:val="24"/>
        </w:rPr>
        <w:t xml:space="preserve">Comfort, Cleanliness and Convenience: The Social Organization of Normality. </w:t>
      </w:r>
      <w:r w:rsidRPr="009B6D32">
        <w:rPr>
          <w:rFonts w:ascii="Garamond" w:hAnsi="Garamond" w:cs="Garamond"/>
          <w:sz w:val="24"/>
          <w:szCs w:val="24"/>
        </w:rPr>
        <w:t>Oxford: Berg</w:t>
      </w:r>
    </w:p>
    <w:p w:rsidR="0001718F" w:rsidRPr="009B6D32" w:rsidRDefault="0001718F" w:rsidP="007437F5">
      <w:pPr>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Shreck, A. (2007) ‘Resistance, Redistribution, and Power in the Fair Trade Banana Initiative’ in Wright, W. and Middendendorf, G. (eds.) </w:t>
      </w:r>
      <w:r w:rsidRPr="009B6D32">
        <w:rPr>
          <w:rFonts w:ascii="Garamond" w:hAnsi="Garamond" w:cs="Garamond"/>
          <w:i/>
          <w:iCs/>
          <w:sz w:val="24"/>
          <w:szCs w:val="24"/>
          <w:lang w:val="en-US"/>
        </w:rPr>
        <w:t xml:space="preserve">The Fight over Food. </w:t>
      </w:r>
      <w:r w:rsidRPr="009B6D32">
        <w:rPr>
          <w:rFonts w:ascii="Garamond" w:hAnsi="Garamond" w:cs="Garamond"/>
          <w:sz w:val="24"/>
          <w:szCs w:val="24"/>
          <w:lang w:val="en-US"/>
        </w:rPr>
        <w:t>Pennsylvania: Pennsylvania State University Press</w:t>
      </w:r>
      <w:r w:rsidRPr="009B6D32">
        <w:rPr>
          <w:rFonts w:ascii="Garamond" w:hAnsi="Garamond" w:cs="Garamond"/>
          <w:sz w:val="24"/>
          <w:szCs w:val="24"/>
          <w:lang w:val="en-US"/>
        </w:rPr>
        <w:tab/>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Sibley, D. (1995) </w:t>
      </w:r>
      <w:r w:rsidRPr="009B6D32">
        <w:rPr>
          <w:rFonts w:ascii="Garamond" w:hAnsi="Garamond" w:cs="Garamond"/>
          <w:i/>
          <w:iCs/>
          <w:sz w:val="24"/>
          <w:szCs w:val="24"/>
          <w:lang w:val="en-US"/>
        </w:rPr>
        <w:t xml:space="preserve">Geographies of Exclusion.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Silk, J. (2000) 'Caring at a Distance: (Im)partiality, Moral Motivation and the Ethics of Representation- Introduction. </w:t>
      </w:r>
      <w:r w:rsidRPr="009B6D32">
        <w:rPr>
          <w:rFonts w:ascii="Garamond" w:hAnsi="Garamond"/>
          <w:i/>
          <w:sz w:val="24"/>
          <w:szCs w:val="24"/>
        </w:rPr>
        <w:t xml:space="preserve">Ethics, Place &amp; Environment: A Journal of Philosophy &amp; Geography, </w:t>
      </w:r>
      <w:r w:rsidRPr="009B6D32">
        <w:rPr>
          <w:rFonts w:ascii="Garamond" w:hAnsi="Garamond"/>
          <w:sz w:val="24"/>
          <w:szCs w:val="24"/>
        </w:rPr>
        <w:t>3(3), pp. 303-309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Silverstone, R. (2007) </w:t>
      </w:r>
      <w:r w:rsidRPr="009B6D32">
        <w:rPr>
          <w:rFonts w:ascii="Garamond" w:hAnsi="Garamond" w:cs="Garamond"/>
          <w:i/>
          <w:iCs/>
          <w:sz w:val="24"/>
          <w:szCs w:val="24"/>
          <w:lang w:val="en-US"/>
        </w:rPr>
        <w:t xml:space="preserve">Media and Morality: On the Rise of the Mediapolis. </w:t>
      </w:r>
      <w:r w:rsidRPr="009B6D32">
        <w:rPr>
          <w:rFonts w:ascii="Garamond" w:hAnsi="Garamond" w:cs="Garamond"/>
          <w:sz w:val="24"/>
          <w:szCs w:val="24"/>
          <w:lang w:val="en-US"/>
        </w:rPr>
        <w:t>Cambridge: Polity</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kern w:val="28"/>
          <w:sz w:val="24"/>
          <w:szCs w:val="24"/>
          <w:lang w:eastAsia="en-GB"/>
        </w:rPr>
        <w:t>Silvey, R. (2009) ‘Development and geography: anxious times, anemic geographies, and migration’,</w:t>
      </w:r>
      <w:r w:rsidRPr="009B6D32">
        <w:rPr>
          <w:rFonts w:ascii="Garamond" w:hAnsi="Garamond" w:cs="Garamond"/>
          <w:i/>
          <w:iCs/>
          <w:kern w:val="28"/>
          <w:sz w:val="24"/>
          <w:szCs w:val="24"/>
          <w:lang w:eastAsia="en-GB"/>
        </w:rPr>
        <w:t xml:space="preserve"> Progress in Human Geography, </w:t>
      </w:r>
      <w:r w:rsidRPr="009B6D32">
        <w:rPr>
          <w:rFonts w:ascii="Garamond" w:hAnsi="Garamond" w:cs="Garamond"/>
          <w:kern w:val="28"/>
          <w:sz w:val="24"/>
          <w:szCs w:val="24"/>
          <w:lang w:eastAsia="en-GB"/>
        </w:rPr>
        <w:t>33(4), pp. 507-515</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Simonsen, K. (2000) ‘Editorial: The body as battlefield’, </w:t>
      </w:r>
      <w:r w:rsidRPr="009B6D32">
        <w:rPr>
          <w:rFonts w:ascii="Garamond" w:hAnsi="Garamond" w:cs="Garamond"/>
          <w:i/>
          <w:iCs/>
          <w:sz w:val="24"/>
          <w:szCs w:val="24"/>
        </w:rPr>
        <w:t>Transactions of the Institute of British Geographers</w:t>
      </w:r>
      <w:r w:rsidRPr="009B6D32">
        <w:rPr>
          <w:rFonts w:ascii="Garamond" w:hAnsi="Garamond" w:cs="Garamond"/>
          <w:sz w:val="24"/>
          <w:szCs w:val="24"/>
        </w:rPr>
        <w:t>, 25(1), pp. 7-9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Singer, P. (1993) </w:t>
      </w:r>
      <w:r w:rsidRPr="009B6D32">
        <w:rPr>
          <w:rFonts w:ascii="Garamond" w:hAnsi="Garamond" w:cs="Garamond"/>
          <w:i/>
          <w:sz w:val="24"/>
          <w:szCs w:val="24"/>
          <w:lang w:val="en-US"/>
        </w:rPr>
        <w:t>Practical Ethics</w:t>
      </w:r>
      <w:r w:rsidRPr="009B6D32">
        <w:rPr>
          <w:rFonts w:ascii="Garamond" w:hAnsi="Garamond" w:cs="Garamond"/>
          <w:sz w:val="24"/>
          <w:szCs w:val="24"/>
          <w:lang w:val="en-US"/>
        </w:rPr>
        <w:t>. Cambridge: Cambridge University Press</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i/>
          <w:sz w:val="24"/>
          <w:szCs w:val="24"/>
        </w:rPr>
      </w:pPr>
      <w:r w:rsidRPr="009B6D32">
        <w:rPr>
          <w:rFonts w:ascii="Garamond" w:hAnsi="Garamond" w:cs="Garamond"/>
          <w:sz w:val="24"/>
          <w:szCs w:val="24"/>
        </w:rPr>
        <w:t xml:space="preserve">Singh, A. (2004) 'Zygmunt Bauman's doubts about 'Postmodernism'', </w:t>
      </w:r>
      <w:r w:rsidRPr="009B6D32">
        <w:rPr>
          <w:rFonts w:ascii="Garamond" w:hAnsi="Garamond" w:cs="Garamond"/>
          <w:i/>
          <w:sz w:val="24"/>
          <w:szCs w:val="24"/>
        </w:rPr>
        <w:t xml:space="preserve">Lehigh University. </w:t>
      </w:r>
      <w:r w:rsidRPr="009B6D32">
        <w:rPr>
          <w:rFonts w:ascii="Garamond" w:hAnsi="Garamond" w:cs="Garamond"/>
          <w:sz w:val="24"/>
          <w:szCs w:val="24"/>
        </w:rPr>
        <w:t>Available at,</w:t>
      </w:r>
      <w:r w:rsidRPr="009B6D32">
        <w:rPr>
          <w:rFonts w:ascii="Garamond" w:hAnsi="Garamond" w:cs="Garamond"/>
          <w:i/>
          <w:sz w:val="24"/>
          <w:szCs w:val="24"/>
        </w:rPr>
        <w:t xml:space="preserve"> </w:t>
      </w:r>
      <w:r w:rsidR="00AF247E" w:rsidRPr="00AF247E">
        <w:rPr>
          <w:rFonts w:ascii="Garamond" w:hAnsi="Garamond" w:cs="Arial"/>
          <w:sz w:val="24"/>
          <w:szCs w:val="24"/>
          <w:shd w:val="clear" w:color="auto" w:fill="FFFFFF"/>
        </w:rPr>
        <w:t>http://www.lehigh.edu/~amsp/2004/06/zygmunt-baumans-doubts-about.html</w:t>
      </w:r>
      <w:r w:rsidR="00AF247E">
        <w:rPr>
          <w:rFonts w:ascii="Garamond" w:hAnsi="Garamond"/>
          <w:sz w:val="24"/>
          <w:szCs w:val="24"/>
        </w:rPr>
        <w:t xml:space="preserve"> </w:t>
      </w:r>
      <w:r w:rsidRPr="009B6D32">
        <w:rPr>
          <w:rFonts w:ascii="Garamond" w:hAnsi="Garamond"/>
          <w:sz w:val="24"/>
          <w:szCs w:val="24"/>
        </w:rPr>
        <w:t>(Accessed 12 March 2009)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bCs/>
          <w:sz w:val="24"/>
          <w:szCs w:val="24"/>
          <w:lang w:val="en-US"/>
        </w:rPr>
        <w:t>Sivan, E. (2010) Jaffa, a clockwork's orange. Momento Films</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Sizwe, N. (1979) </w:t>
      </w:r>
      <w:r w:rsidRPr="009B6D32">
        <w:rPr>
          <w:rFonts w:ascii="Garamond" w:hAnsi="Garamond" w:cs="Garamond"/>
          <w:i/>
          <w:sz w:val="24"/>
          <w:szCs w:val="24"/>
          <w:lang w:val="en-US"/>
        </w:rPr>
        <w:t>One Azania, One nation: the national question in South Africa.</w:t>
      </w:r>
      <w:r w:rsidRPr="009B6D32">
        <w:rPr>
          <w:rFonts w:ascii="Garamond" w:hAnsi="Garamond" w:cs="Garamond"/>
          <w:sz w:val="24"/>
          <w:szCs w:val="24"/>
          <w:lang w:val="en-US"/>
        </w:rPr>
        <w:t xml:space="preserve"> London: Zed</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kern w:val="28"/>
          <w:sz w:val="24"/>
          <w:szCs w:val="24"/>
          <w:lang w:eastAsia="en-GB"/>
        </w:rPr>
        <w:t xml:space="preserve">Skinner, B. (2008) </w:t>
      </w:r>
      <w:r w:rsidRPr="009B6D32">
        <w:rPr>
          <w:rFonts w:ascii="Garamond" w:hAnsi="Garamond" w:cs="Garamond"/>
          <w:i/>
          <w:iCs/>
          <w:kern w:val="28"/>
          <w:sz w:val="24"/>
          <w:szCs w:val="24"/>
          <w:lang w:eastAsia="en-GB"/>
        </w:rPr>
        <w:t xml:space="preserve">A Crime So Monstrous: Face-to-Face with Modern Day Slavery. </w:t>
      </w:r>
      <w:r w:rsidRPr="009B6D32">
        <w:rPr>
          <w:rFonts w:ascii="Garamond" w:hAnsi="Garamond" w:cs="Garamond"/>
          <w:kern w:val="28"/>
          <w:sz w:val="24"/>
          <w:szCs w:val="24"/>
          <w:lang w:eastAsia="en-GB"/>
        </w:rPr>
        <w:t>New York: Free Press</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Slater, D. (1998) </w:t>
      </w:r>
      <w:r w:rsidRPr="009B6D32">
        <w:rPr>
          <w:rFonts w:ascii="Garamond" w:hAnsi="Garamond" w:cs="Garamond"/>
          <w:i/>
          <w:iCs/>
          <w:sz w:val="24"/>
          <w:szCs w:val="24"/>
          <w:lang w:val="en-US"/>
        </w:rPr>
        <w:t xml:space="preserve">Consumer Culture &amp; Modernity. </w:t>
      </w:r>
      <w:r w:rsidRPr="009B6D32">
        <w:rPr>
          <w:rFonts w:ascii="Garamond" w:hAnsi="Garamond" w:cs="Garamond"/>
          <w:sz w:val="24"/>
          <w:szCs w:val="24"/>
          <w:lang w:val="en-US"/>
        </w:rPr>
        <w:t>Cambridge: Polity</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Slater, D. (2002) ‘Cultures of Consumption’, in Anderson, K., Domosh, M., Pile, S. and Thrift, N. (eds.) </w:t>
      </w:r>
      <w:r w:rsidRPr="009B6D32">
        <w:rPr>
          <w:rFonts w:ascii="Garamond" w:hAnsi="Garamond" w:cs="Garamond"/>
          <w:i/>
          <w:iCs/>
          <w:sz w:val="24"/>
          <w:szCs w:val="24"/>
          <w:lang w:val="en-US"/>
        </w:rPr>
        <w:t xml:space="preserve">Handbook of Cultural Geography. </w:t>
      </w:r>
      <w:r w:rsidRPr="009B6D32">
        <w:rPr>
          <w:rFonts w:ascii="Garamond" w:hAnsi="Garamond" w:cs="Garamond"/>
          <w:sz w:val="24"/>
          <w:szCs w:val="24"/>
          <w:lang w:val="en-US"/>
        </w:rPr>
        <w:t>London: Sage, pp. 147-63</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Slocum, R. (2006) ‘</w:t>
      </w:r>
      <w:r w:rsidRPr="009B6D32">
        <w:rPr>
          <w:rFonts w:ascii="Garamond" w:hAnsi="Garamond" w:cs="Garamond"/>
          <w:color w:val="000000"/>
          <w:sz w:val="24"/>
          <w:szCs w:val="24"/>
          <w:shd w:val="clear" w:color="auto" w:fill="FFFFFF"/>
        </w:rPr>
        <w:t xml:space="preserve">Anti-racist Practice and the Work of Community Food Organizations’, </w:t>
      </w:r>
      <w:r w:rsidRPr="009B6D32">
        <w:rPr>
          <w:rFonts w:ascii="Garamond" w:hAnsi="Garamond" w:cs="Garamond"/>
          <w:i/>
          <w:iCs/>
          <w:color w:val="000000"/>
          <w:sz w:val="24"/>
          <w:szCs w:val="24"/>
          <w:shd w:val="clear" w:color="auto" w:fill="FFFFFF"/>
        </w:rPr>
        <w:t xml:space="preserve">Antipode, </w:t>
      </w:r>
      <w:r w:rsidRPr="009B6D32">
        <w:rPr>
          <w:rFonts w:ascii="Garamond" w:hAnsi="Garamond" w:cs="Garamond"/>
          <w:color w:val="000000"/>
          <w:sz w:val="24"/>
          <w:szCs w:val="24"/>
          <w:shd w:val="clear" w:color="auto" w:fill="FFFFFF"/>
        </w:rPr>
        <w:t>38(2), pp. 327-349</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Slocum, R. (2008) ‘</w:t>
      </w:r>
      <w:r w:rsidRPr="009B6D32">
        <w:rPr>
          <w:rFonts w:ascii="Garamond" w:hAnsi="Garamond" w:cs="Garamond"/>
          <w:sz w:val="24"/>
          <w:szCs w:val="24"/>
        </w:rPr>
        <w:t xml:space="preserve">Thinking Race Through Corporeal Feminist Theory: Divisions and Intimacies at the Minneapolis Farmers' Market’, </w:t>
      </w:r>
      <w:r w:rsidRPr="009B6D32">
        <w:rPr>
          <w:rFonts w:ascii="Garamond" w:hAnsi="Garamond" w:cs="Garamond"/>
          <w:i/>
          <w:iCs/>
          <w:sz w:val="24"/>
          <w:szCs w:val="24"/>
        </w:rPr>
        <w:t>Social &amp; Cultural Geography</w:t>
      </w:r>
      <w:r w:rsidRPr="009B6D32">
        <w:rPr>
          <w:rFonts w:ascii="Garamond" w:hAnsi="Garamond" w:cs="Garamond"/>
          <w:sz w:val="24"/>
          <w:szCs w:val="24"/>
        </w:rPr>
        <w:t>, 9(8), pp. 849-869</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color w:val="000000"/>
          <w:sz w:val="24"/>
          <w:szCs w:val="24"/>
          <w:shd w:val="clear" w:color="auto" w:fill="FFFFFF"/>
        </w:rPr>
        <w:t xml:space="preserve">Slocum, R. (2011) ‘Race in the study of food’, </w:t>
      </w:r>
      <w:r w:rsidRPr="009B6D32">
        <w:rPr>
          <w:rFonts w:ascii="Garamond" w:hAnsi="Garamond" w:cs="Garamond"/>
          <w:i/>
          <w:iCs/>
          <w:color w:val="000000"/>
          <w:sz w:val="24"/>
          <w:szCs w:val="24"/>
          <w:shd w:val="clear" w:color="auto" w:fill="FFFFFF"/>
        </w:rPr>
        <w:t xml:space="preserve">Progress in Human Geography, </w:t>
      </w:r>
      <w:r w:rsidRPr="009B6D32">
        <w:rPr>
          <w:rFonts w:ascii="Garamond" w:hAnsi="Garamond" w:cs="Garamond"/>
          <w:color w:val="000000"/>
          <w:sz w:val="24"/>
          <w:szCs w:val="24"/>
          <w:shd w:val="clear" w:color="auto" w:fill="FFFFFF"/>
        </w:rPr>
        <w:t>35(3), pp. 303-327</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Smith, A. (1869 [1775]) </w:t>
      </w:r>
      <w:r w:rsidRPr="009B6D32">
        <w:rPr>
          <w:rFonts w:ascii="Garamond" w:hAnsi="Garamond" w:cs="Garamond"/>
          <w:i/>
          <w:iCs/>
          <w:sz w:val="24"/>
          <w:szCs w:val="24"/>
          <w:lang w:val="en-US"/>
        </w:rPr>
        <w:t xml:space="preserve">The Wealth of Nations. </w:t>
      </w:r>
      <w:r w:rsidRPr="009B6D32">
        <w:rPr>
          <w:rFonts w:ascii="Garamond" w:hAnsi="Garamond" w:cs="Garamond"/>
          <w:sz w:val="24"/>
          <w:szCs w:val="24"/>
          <w:lang w:val="en-US"/>
        </w:rPr>
        <w:t>London: Macmillan &amp; Co</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Smith, A. (2004 [1759]) </w:t>
      </w:r>
      <w:r w:rsidRPr="009B6D32">
        <w:rPr>
          <w:rFonts w:ascii="Garamond" w:hAnsi="Garamond" w:cs="Garamond"/>
          <w:i/>
          <w:iCs/>
          <w:sz w:val="24"/>
          <w:szCs w:val="24"/>
          <w:lang w:val="en-US"/>
        </w:rPr>
        <w:t xml:space="preserve">The Theory of Moral Sentiments. </w:t>
      </w:r>
      <w:r w:rsidRPr="009B6D32">
        <w:rPr>
          <w:rFonts w:ascii="Garamond" w:hAnsi="Garamond" w:cs="Garamond"/>
          <w:sz w:val="24"/>
          <w:szCs w:val="24"/>
          <w:lang w:val="en-US"/>
        </w:rPr>
        <w:t>New York: Kessinger Publishing</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lastRenderedPageBreak/>
        <w:t xml:space="preserve">Smith, C. (1990) </w:t>
      </w:r>
      <w:r w:rsidRPr="009B6D32">
        <w:rPr>
          <w:rFonts w:ascii="Garamond" w:hAnsi="Garamond" w:cs="Garamond"/>
          <w:i/>
          <w:iCs/>
          <w:sz w:val="24"/>
          <w:szCs w:val="24"/>
          <w:lang w:val="en-US"/>
        </w:rPr>
        <w:t xml:space="preserve">Morality and the Market: Consumer Pressure for Corporate Accountability.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Smith, D. (1998) ‘How far should we care? On the spatial scope of beneﬁcence’, </w:t>
      </w:r>
      <w:r w:rsidRPr="009B6D32">
        <w:rPr>
          <w:rFonts w:ascii="Garamond" w:hAnsi="Garamond" w:cs="Garamond"/>
          <w:i/>
          <w:sz w:val="24"/>
          <w:szCs w:val="24"/>
          <w:lang w:val="en-US"/>
        </w:rPr>
        <w:t>Progress in Human Geography</w:t>
      </w:r>
      <w:r w:rsidRPr="009B6D32">
        <w:rPr>
          <w:rFonts w:ascii="Garamond" w:hAnsi="Garamond" w:cs="Garamond"/>
          <w:sz w:val="24"/>
          <w:szCs w:val="24"/>
          <w:lang w:val="en-US"/>
        </w:rPr>
        <w:t>, 22(1), pp. 15–38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Smith, N. (1984) </w:t>
      </w:r>
      <w:r w:rsidRPr="009B6D32">
        <w:rPr>
          <w:rFonts w:ascii="Garamond" w:hAnsi="Garamond" w:cs="Garamond"/>
          <w:i/>
          <w:sz w:val="24"/>
          <w:szCs w:val="24"/>
          <w:lang w:val="en-US"/>
        </w:rPr>
        <w:t xml:space="preserve">Uneven Development: Nature Capital and the Development of Space. </w:t>
      </w:r>
      <w:r w:rsidRPr="009B6D32">
        <w:rPr>
          <w:rFonts w:ascii="Garamond" w:hAnsi="Garamond" w:cs="Garamond"/>
          <w:sz w:val="24"/>
          <w:szCs w:val="24"/>
          <w:lang w:val="en-US"/>
        </w:rPr>
        <w:t>Oxford: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Snow, A., Soule, S. and Kriesi, H. (eds.), </w:t>
      </w:r>
      <w:r w:rsidRPr="009B6D32">
        <w:rPr>
          <w:rFonts w:ascii="Garamond" w:hAnsi="Garamond" w:cs="Garamond"/>
          <w:i/>
          <w:iCs/>
          <w:sz w:val="24"/>
          <w:szCs w:val="24"/>
        </w:rPr>
        <w:t xml:space="preserve">The Blackwell Companion to Social Movements. </w:t>
      </w:r>
      <w:r w:rsidRPr="009B6D32">
        <w:rPr>
          <w:rFonts w:ascii="Garamond" w:hAnsi="Garamond" w:cs="Garamond"/>
          <w:sz w:val="24"/>
          <w:szCs w:val="24"/>
        </w:rPr>
        <w:t>Oxford: Blackwell Press</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Soderlind, S. (2001) </w:t>
      </w:r>
      <w:r w:rsidRPr="009B6D32">
        <w:rPr>
          <w:rFonts w:ascii="Garamond" w:hAnsi="Garamond" w:cs="Garamond"/>
          <w:i/>
          <w:iCs/>
          <w:sz w:val="24"/>
          <w:szCs w:val="24"/>
          <w:lang w:val="en-US"/>
        </w:rPr>
        <w:t>Consumer Economics: A Practical Overview.</w:t>
      </w:r>
      <w:r w:rsidRPr="009B6D32">
        <w:rPr>
          <w:rFonts w:ascii="Garamond" w:hAnsi="Garamond" w:cs="Garamond"/>
          <w:sz w:val="24"/>
          <w:szCs w:val="24"/>
          <w:lang w:val="en-US"/>
        </w:rPr>
        <w:t xml:space="preserve"> London: M E Sharpe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Soper, K. and Thomas, L. (2006) ‘Alternative Hedonism and the Critique of Consumerism’. </w:t>
      </w:r>
      <w:r w:rsidRPr="009B6D32">
        <w:rPr>
          <w:rFonts w:ascii="Garamond" w:hAnsi="Garamond" w:cs="Garamond"/>
          <w:iCs/>
          <w:sz w:val="24"/>
          <w:szCs w:val="24"/>
          <w:lang w:val="en-US"/>
        </w:rPr>
        <w:t>Cultures of Consumption Research Programme, Working Paper #</w:t>
      </w:r>
      <w:r w:rsidRPr="009B6D32">
        <w:rPr>
          <w:rFonts w:ascii="Garamond" w:hAnsi="Garamond" w:cs="Garamond"/>
          <w:sz w:val="24"/>
          <w:szCs w:val="24"/>
          <w:lang w:val="en-US"/>
        </w:rPr>
        <w:t>31. Birkbeck University of London</w:t>
      </w:r>
    </w:p>
    <w:p w:rsidR="0001718F" w:rsidRDefault="0001718F" w:rsidP="0001718F">
      <w:pPr>
        <w:autoSpaceDE w:val="0"/>
        <w:autoSpaceDN w:val="0"/>
        <w:adjustRightInd w:val="0"/>
        <w:spacing w:after="0" w:line="240" w:lineRule="auto"/>
        <w:ind w:hanging="720"/>
        <w:rPr>
          <w:rFonts w:ascii="Garamond" w:hAnsi="Garamond" w:cs="Garamond"/>
          <w:sz w:val="24"/>
          <w:szCs w:val="24"/>
        </w:rPr>
      </w:pPr>
      <w:r>
        <w:rPr>
          <w:rFonts w:ascii="Garamond" w:hAnsi="Garamond" w:cs="F18"/>
          <w:sz w:val="24"/>
          <w:szCs w:val="24"/>
        </w:rPr>
        <w:t xml:space="preserve">Speed, S. (2008) 'Forged in Dialogue: Towards a Critically Engaged Activist Research', in </w:t>
      </w:r>
      <w:r w:rsidRPr="009B6D32">
        <w:rPr>
          <w:rFonts w:ascii="Garamond" w:hAnsi="Garamond" w:cs="Garamond"/>
          <w:sz w:val="24"/>
          <w:szCs w:val="24"/>
        </w:rPr>
        <w:t xml:space="preserve">Hale, C. (ed.) </w:t>
      </w:r>
      <w:r w:rsidRPr="009B6D32">
        <w:rPr>
          <w:rFonts w:ascii="Garamond" w:hAnsi="Garamond" w:cs="Garamond"/>
          <w:i/>
          <w:sz w:val="24"/>
          <w:szCs w:val="24"/>
        </w:rPr>
        <w:t>Engaging Contradictions: Theory, Poetics, and Methods of Activist Scholarship</w:t>
      </w:r>
      <w:r w:rsidRPr="009B6D32">
        <w:rPr>
          <w:rFonts w:ascii="Garamond" w:hAnsi="Garamond" w:cs="Garamond"/>
          <w:sz w:val="24"/>
          <w:szCs w:val="24"/>
        </w:rPr>
        <w:t>. Berkley, CA: University of California Press</w:t>
      </w:r>
      <w:r>
        <w:rPr>
          <w:rFonts w:ascii="Garamond" w:hAnsi="Garamond" w:cs="Garamond"/>
          <w:sz w:val="24"/>
          <w:szCs w:val="24"/>
        </w:rPr>
        <w:t>, pp. 213-236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Arial"/>
          <w:color w:val="000000"/>
          <w:sz w:val="24"/>
          <w:szCs w:val="24"/>
          <w:shd w:val="clear" w:color="auto" w:fill="FFFFFF"/>
        </w:rPr>
        <w:t xml:space="preserve">Springer, S. (2010) 'Neoliberalism and Geography: Expansions, Variegations, Formations', </w:t>
      </w:r>
      <w:r w:rsidRPr="009B6D32">
        <w:rPr>
          <w:rFonts w:ascii="Garamond" w:hAnsi="Garamond" w:cs="Arial"/>
          <w:i/>
          <w:color w:val="000000"/>
          <w:sz w:val="24"/>
          <w:szCs w:val="24"/>
          <w:shd w:val="clear" w:color="auto" w:fill="FFFFFF"/>
        </w:rPr>
        <w:t>Geography Compass</w:t>
      </w:r>
      <w:r w:rsidRPr="009B6D32">
        <w:rPr>
          <w:rFonts w:ascii="Garamond" w:hAnsi="Garamond" w:cs="Arial"/>
          <w:color w:val="000000"/>
          <w:sz w:val="24"/>
          <w:szCs w:val="24"/>
          <w:shd w:val="clear" w:color="auto" w:fill="FFFFFF"/>
        </w:rPr>
        <w:t>, 4, pp. 1025–1038</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Springer, S. (2011) ‘Violence sits in places? Cultural practice, neoliberal rationalities, and virulent imaginative geographies’, </w:t>
      </w:r>
      <w:r w:rsidRPr="009B6D32">
        <w:rPr>
          <w:rFonts w:ascii="Garamond" w:hAnsi="Garamond" w:cs="Garamond"/>
          <w:i/>
          <w:iCs/>
          <w:sz w:val="24"/>
          <w:szCs w:val="24"/>
        </w:rPr>
        <w:t xml:space="preserve">Political Geography, </w:t>
      </w:r>
      <w:r w:rsidRPr="009B6D32">
        <w:rPr>
          <w:rFonts w:ascii="Garamond" w:hAnsi="Garamond" w:cs="Garamond"/>
          <w:sz w:val="24"/>
          <w:szCs w:val="24"/>
        </w:rPr>
        <w:t>30(2), pp. 90-98</w:t>
      </w:r>
    </w:p>
    <w:p w:rsidR="0001718F" w:rsidRPr="009B6D32" w:rsidRDefault="0001718F" w:rsidP="007437F5">
      <w:pPr>
        <w:widowControl w:val="0"/>
        <w:overflowPunct w:val="0"/>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Stanley, H.M. (1988 [1878]) </w:t>
      </w:r>
      <w:r w:rsidRPr="009B6D32">
        <w:rPr>
          <w:rFonts w:ascii="Garamond" w:hAnsi="Garamond" w:cs="Garamond"/>
          <w:i/>
          <w:sz w:val="24"/>
          <w:szCs w:val="24"/>
        </w:rPr>
        <w:t xml:space="preserve">Through the Dark Continent. </w:t>
      </w:r>
      <w:r w:rsidRPr="009B6D32">
        <w:rPr>
          <w:rFonts w:ascii="Garamond" w:hAnsi="Garamond" w:cs="Garamond"/>
          <w:sz w:val="24"/>
          <w:szCs w:val="24"/>
        </w:rPr>
        <w:t>Dover: Dover Publications</w:t>
      </w:r>
    </w:p>
    <w:p w:rsidR="0001718F" w:rsidRPr="008315E7" w:rsidRDefault="0001718F" w:rsidP="0001718F">
      <w:pPr>
        <w:autoSpaceDE w:val="0"/>
        <w:autoSpaceDN w:val="0"/>
        <w:adjustRightInd w:val="0"/>
        <w:spacing w:after="0" w:line="240" w:lineRule="auto"/>
        <w:ind w:hanging="720"/>
        <w:rPr>
          <w:rFonts w:ascii="Garamond" w:hAnsi="Garamond" w:cs="Garamond"/>
          <w:sz w:val="24"/>
          <w:szCs w:val="24"/>
        </w:rPr>
      </w:pPr>
      <w:r w:rsidRPr="008315E7">
        <w:rPr>
          <w:rFonts w:ascii="Garamond" w:hAnsi="Garamond" w:cs="AdvP5958"/>
          <w:sz w:val="24"/>
          <w:szCs w:val="24"/>
        </w:rPr>
        <w:t xml:space="preserve">Stengers, I. (1997) </w:t>
      </w:r>
      <w:r w:rsidRPr="008315E7">
        <w:rPr>
          <w:rFonts w:ascii="Garamond" w:hAnsi="Garamond" w:cs="AdvP595D"/>
          <w:i/>
          <w:sz w:val="24"/>
          <w:szCs w:val="24"/>
        </w:rPr>
        <w:t>Power and Invention: Situating Science</w:t>
      </w:r>
      <w:r w:rsidRPr="008315E7">
        <w:rPr>
          <w:rFonts w:ascii="Garamond" w:hAnsi="Garamond" w:cs="AdvP595D"/>
          <w:sz w:val="24"/>
          <w:szCs w:val="24"/>
        </w:rPr>
        <w:t xml:space="preserve"> </w:t>
      </w:r>
      <w:r>
        <w:rPr>
          <w:rFonts w:ascii="Garamond" w:hAnsi="Garamond" w:cs="AdvP5958"/>
          <w:sz w:val="24"/>
          <w:szCs w:val="24"/>
        </w:rPr>
        <w:t xml:space="preserve">(trans. </w:t>
      </w:r>
      <w:r w:rsidRPr="008315E7">
        <w:rPr>
          <w:rFonts w:ascii="Garamond" w:hAnsi="Garamond" w:cs="AdvP5958"/>
          <w:sz w:val="24"/>
          <w:szCs w:val="24"/>
        </w:rPr>
        <w:t>Bains</w:t>
      </w:r>
      <w:r>
        <w:rPr>
          <w:rFonts w:ascii="Garamond" w:hAnsi="Garamond" w:cs="AdvP5958"/>
          <w:sz w:val="24"/>
          <w:szCs w:val="24"/>
        </w:rPr>
        <w:t>, P.</w:t>
      </w:r>
      <w:r w:rsidRPr="008315E7">
        <w:rPr>
          <w:rFonts w:ascii="Garamond" w:hAnsi="Garamond" w:cs="AdvP5958"/>
          <w:sz w:val="24"/>
          <w:szCs w:val="24"/>
        </w:rPr>
        <w:t>),</w:t>
      </w:r>
      <w:r w:rsidRPr="008315E7">
        <w:rPr>
          <w:rFonts w:ascii="Garamond" w:hAnsi="Garamond" w:cs="Garamond"/>
          <w:sz w:val="24"/>
          <w:szCs w:val="24"/>
        </w:rPr>
        <w:t xml:space="preserve"> </w:t>
      </w:r>
      <w:r>
        <w:rPr>
          <w:rFonts w:ascii="Garamond" w:hAnsi="Garamond" w:cs="AdvP5958"/>
          <w:sz w:val="24"/>
          <w:szCs w:val="24"/>
        </w:rPr>
        <w:t>Minneapolis, MN: University of Minnesota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Stewart, D. (2005) </w:t>
      </w:r>
      <w:r w:rsidRPr="009B6D32">
        <w:rPr>
          <w:rFonts w:ascii="Garamond" w:hAnsi="Garamond" w:cs="Garamond"/>
          <w:i/>
          <w:iCs/>
          <w:sz w:val="24"/>
          <w:szCs w:val="24"/>
        </w:rPr>
        <w:t xml:space="preserve">Wisdom from Africa: A Collection of Proverbs. </w:t>
      </w:r>
      <w:r w:rsidRPr="009B6D32">
        <w:rPr>
          <w:rFonts w:ascii="Garamond" w:hAnsi="Garamond" w:cs="Garamond"/>
          <w:sz w:val="24"/>
          <w:szCs w:val="24"/>
        </w:rPr>
        <w:t>London: Struik Publishers</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Stoler, A.L. (1995) </w:t>
      </w:r>
      <w:r w:rsidRPr="009B6D32">
        <w:rPr>
          <w:rFonts w:ascii="Garamond" w:hAnsi="Garamond"/>
          <w:i/>
          <w:sz w:val="24"/>
          <w:szCs w:val="24"/>
        </w:rPr>
        <w:t>Race and the Education of Desire: Foucault's History of Sexuality and the Colonial Order of Things</w:t>
      </w:r>
      <w:r w:rsidRPr="009B6D32">
        <w:rPr>
          <w:rFonts w:ascii="Garamond" w:hAnsi="Garamond"/>
          <w:sz w:val="24"/>
          <w:szCs w:val="24"/>
        </w:rPr>
        <w:t>. Durham: Duke University Press</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Stoler, A.L. (2002) 'A Sentimental Education: Children on the Colonial Divide' in Stoler, Carnal </w:t>
      </w:r>
      <w:r w:rsidRPr="009B6D32">
        <w:rPr>
          <w:rFonts w:ascii="Garamond" w:hAnsi="Garamond"/>
          <w:i/>
          <w:sz w:val="24"/>
          <w:szCs w:val="24"/>
        </w:rPr>
        <w:t>Knowledge and Imperial Power</w:t>
      </w:r>
      <w:r w:rsidRPr="009B6D32">
        <w:rPr>
          <w:rFonts w:ascii="Garamond" w:hAnsi="Garamond"/>
          <w:sz w:val="24"/>
          <w:szCs w:val="24"/>
        </w:rPr>
        <w:t>. Berkeley: University of California Press. pp 112–39</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Stoler, A.L. (2008) 'Affective States', in Nugent, D. and Vincent, J. (eds.) </w:t>
      </w:r>
      <w:r w:rsidRPr="009B6D32">
        <w:rPr>
          <w:rFonts w:ascii="Garamond" w:hAnsi="Garamond"/>
          <w:i/>
          <w:sz w:val="24"/>
          <w:szCs w:val="24"/>
        </w:rPr>
        <w:t>A Companion to the Anthropology of Politics</w:t>
      </w:r>
      <w:r w:rsidRPr="009B6D32">
        <w:rPr>
          <w:rFonts w:ascii="Garamond" w:hAnsi="Garamond"/>
          <w:sz w:val="24"/>
          <w:szCs w:val="24"/>
        </w:rPr>
        <w:t>.  Oxford: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Stone, J. (1975) ‘The migrant factor in a plural society: A South African case study’, </w:t>
      </w:r>
      <w:r w:rsidRPr="009B6D32">
        <w:rPr>
          <w:rFonts w:ascii="Garamond" w:hAnsi="Garamond" w:cs="Garamond"/>
          <w:i/>
          <w:iCs/>
          <w:sz w:val="24"/>
          <w:szCs w:val="24"/>
        </w:rPr>
        <w:t>International Migration Review</w:t>
      </w:r>
      <w:r w:rsidRPr="009B6D32">
        <w:rPr>
          <w:rFonts w:ascii="Garamond" w:hAnsi="Garamond" w:cs="Garamond"/>
          <w:sz w:val="24"/>
          <w:szCs w:val="24"/>
        </w:rPr>
        <w:t>, 9(1), pp. 15-28</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Strange, S. (1998) </w:t>
      </w:r>
      <w:r w:rsidRPr="009B6D32">
        <w:rPr>
          <w:rFonts w:ascii="Garamond" w:hAnsi="Garamond" w:cs="Garamond"/>
          <w:i/>
          <w:sz w:val="24"/>
          <w:szCs w:val="24"/>
        </w:rPr>
        <w:t xml:space="preserve">Mad Money: When Money Outgrows Markets. </w:t>
      </w:r>
      <w:r w:rsidRPr="009B6D32">
        <w:rPr>
          <w:rFonts w:ascii="Garamond" w:hAnsi="Garamond" w:cs="Garamond"/>
          <w:sz w:val="24"/>
          <w:szCs w:val="24"/>
        </w:rPr>
        <w:t>Manchester: Manchester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Sturgeon, T. (1997) ‘Turnkey Production Networks: A New American Model of Industrial Organization?’, Berkley Roundtable on International Economy: Working Paper 92A. University of California</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Sussman, C. (2000) </w:t>
      </w:r>
      <w:r w:rsidRPr="009B6D32">
        <w:rPr>
          <w:rFonts w:ascii="Garamond" w:hAnsi="Garamond" w:cs="Garamond"/>
          <w:i/>
          <w:iCs/>
          <w:sz w:val="24"/>
          <w:szCs w:val="24"/>
          <w:lang w:val="en-US"/>
        </w:rPr>
        <w:t xml:space="preserve">Consuming Anxieties </w:t>
      </w:r>
      <w:r w:rsidRPr="009B6D32">
        <w:rPr>
          <w:rFonts w:ascii="Garamond" w:hAnsi="Garamond" w:cs="Garamond"/>
          <w:i/>
          <w:iCs/>
          <w:sz w:val="24"/>
          <w:szCs w:val="24"/>
        </w:rPr>
        <w:t>–</w:t>
      </w:r>
      <w:r w:rsidRPr="009B6D32">
        <w:rPr>
          <w:rFonts w:ascii="Garamond" w:hAnsi="Garamond" w:cs="Garamond"/>
          <w:i/>
          <w:iCs/>
          <w:sz w:val="24"/>
          <w:szCs w:val="24"/>
          <w:lang w:val="en-US"/>
        </w:rPr>
        <w:t xml:space="preserve"> Consumer Protest, Gender &amp; British Slavery, 1713-1833. </w:t>
      </w:r>
      <w:r w:rsidRPr="009B6D32">
        <w:rPr>
          <w:rFonts w:ascii="Garamond" w:hAnsi="Garamond" w:cs="Garamond"/>
          <w:sz w:val="24"/>
          <w:szCs w:val="24"/>
          <w:lang w:val="en-US"/>
        </w:rPr>
        <w:t>Stanford: California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Swain, S. (2009) ‘Sweet Childhood Lost: Idealized Images of Childhood in British Child Rescue Literature’, </w:t>
      </w:r>
      <w:r w:rsidRPr="009B6D32">
        <w:rPr>
          <w:rFonts w:ascii="Garamond" w:hAnsi="Garamond" w:cs="Garamond"/>
          <w:i/>
          <w:iCs/>
          <w:sz w:val="24"/>
          <w:szCs w:val="24"/>
        </w:rPr>
        <w:t>The Journal of the History of Childhood and Youth</w:t>
      </w:r>
      <w:r w:rsidRPr="009B6D32">
        <w:rPr>
          <w:rFonts w:ascii="Garamond" w:hAnsi="Garamond" w:cs="Garamond"/>
          <w:sz w:val="24"/>
          <w:szCs w:val="24"/>
        </w:rPr>
        <w:t>, 2(2), pp. 198-214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Swanton, D. (2010a) 'Flesh, metal, road: tracing the machinic geographies of race', </w:t>
      </w:r>
      <w:r w:rsidRPr="009B6D32">
        <w:rPr>
          <w:rFonts w:ascii="Garamond" w:hAnsi="Garamond" w:cs="Garamond"/>
          <w:i/>
          <w:iCs/>
          <w:sz w:val="24"/>
          <w:szCs w:val="24"/>
        </w:rPr>
        <w:t>Environment and Planning D: Society and Space</w:t>
      </w:r>
      <w:r w:rsidRPr="009B6D32">
        <w:rPr>
          <w:rFonts w:ascii="Garamond" w:hAnsi="Garamond" w:cs="Garamond"/>
          <w:sz w:val="24"/>
          <w:szCs w:val="24"/>
        </w:rPr>
        <w:t>. 28(3), pp. 447-466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Swanton, D. (2010b) '</w:t>
      </w:r>
      <w:r w:rsidRPr="009B6D32">
        <w:rPr>
          <w:rFonts w:ascii="Garamond" w:hAnsi="Garamond" w:cs="AdvT905"/>
          <w:sz w:val="24"/>
          <w:szCs w:val="24"/>
        </w:rPr>
        <w:t xml:space="preserve">Sorting bodies: race, affect, and everyday multiculture in a mill town in northern England', </w:t>
      </w:r>
      <w:r w:rsidRPr="009B6D32">
        <w:rPr>
          <w:rFonts w:ascii="Garamond" w:hAnsi="Garamond" w:cs="AdvT002"/>
          <w:i/>
          <w:sz w:val="24"/>
          <w:szCs w:val="24"/>
        </w:rPr>
        <w:t>Environment and Planning A</w:t>
      </w:r>
      <w:r w:rsidRPr="009B6D32">
        <w:rPr>
          <w:rFonts w:ascii="Garamond" w:hAnsi="Garamond" w:cs="AdvT002"/>
          <w:sz w:val="24"/>
          <w:szCs w:val="24"/>
        </w:rPr>
        <w:t xml:space="preserve"> </w:t>
      </w:r>
      <w:r w:rsidRPr="009B6D32">
        <w:rPr>
          <w:rFonts w:ascii="Garamond" w:hAnsi="Garamond" w:cs="AdvT001"/>
          <w:sz w:val="24"/>
          <w:szCs w:val="24"/>
        </w:rPr>
        <w:t>42, pp. 2332-2350</w:t>
      </w:r>
    </w:p>
    <w:p w:rsidR="0001718F" w:rsidRPr="009B6D32" w:rsidRDefault="0001718F" w:rsidP="007437F5">
      <w:pPr>
        <w:autoSpaceDE w:val="0"/>
        <w:autoSpaceDN w:val="0"/>
        <w:adjustRightInd w:val="0"/>
        <w:spacing w:after="0" w:line="240" w:lineRule="auto"/>
        <w:ind w:hanging="720"/>
        <w:rPr>
          <w:rFonts w:ascii="Garamond" w:hAnsi="Garamond" w:cs="Times New Roman"/>
          <w:color w:val="000000"/>
          <w:sz w:val="24"/>
          <w:szCs w:val="24"/>
        </w:rPr>
      </w:pPr>
      <w:r w:rsidRPr="009B6D32">
        <w:rPr>
          <w:rFonts w:ascii="Garamond" w:hAnsi="Garamond" w:cs="Garamond"/>
          <w:sz w:val="24"/>
          <w:szCs w:val="24"/>
          <w:lang w:val="en-US"/>
        </w:rPr>
        <w:t>Szmigin, I. and Carrigan, M. (2006) ‘New Consumption Communities: Resisting the Hegemony of the Marketing Process’, 3</w:t>
      </w:r>
      <w:r w:rsidRPr="009B6D32">
        <w:rPr>
          <w:rFonts w:ascii="Garamond" w:hAnsi="Garamond" w:cs="Times New Roman"/>
          <w:color w:val="000000"/>
          <w:sz w:val="24"/>
          <w:szCs w:val="24"/>
          <w:shd w:val="clear" w:color="auto" w:fill="FFFFFF"/>
        </w:rPr>
        <w:t>rd International Critical Management Studies Conference. Lancaster University, 7-9 July</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Taplin, L. (2009) </w:t>
      </w:r>
      <w:r w:rsidRPr="009B6D32">
        <w:rPr>
          <w:rFonts w:ascii="Garamond" w:hAnsi="Garamond" w:cs="Garamond"/>
          <w:i/>
          <w:sz w:val="24"/>
          <w:szCs w:val="24"/>
        </w:rPr>
        <w:t>“We’re part of something huge!” How Fairtrade Towns in Europe are a uniquely powerful movement for local change and global sustainable development</w:t>
      </w:r>
      <w:r w:rsidRPr="009B6D32">
        <w:rPr>
          <w:rFonts w:ascii="Garamond" w:hAnsi="Garamond" w:cs="Garamond"/>
          <w:sz w:val="24"/>
          <w:szCs w:val="24"/>
        </w:rPr>
        <w:t>, London: Fairtrade Foundation</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Tapp, A. (1996) ‘Charity brands: A qualitative study of current practice’, </w:t>
      </w:r>
      <w:r w:rsidRPr="009B6D32">
        <w:rPr>
          <w:rFonts w:ascii="Garamond" w:hAnsi="Garamond" w:cs="Garamond"/>
          <w:i/>
          <w:iCs/>
          <w:sz w:val="24"/>
          <w:szCs w:val="24"/>
        </w:rPr>
        <w:t>International Journal of Nonprofit and Voluntary Sector Marketing</w:t>
      </w:r>
      <w:r w:rsidRPr="009B6D32">
        <w:rPr>
          <w:rFonts w:ascii="Garamond" w:hAnsi="Garamond" w:cs="Garamond"/>
          <w:sz w:val="24"/>
          <w:szCs w:val="24"/>
        </w:rPr>
        <w:t>, 1(4), pp. 327–336</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Tarrow, S. (1998) </w:t>
      </w:r>
      <w:r w:rsidRPr="009B6D32">
        <w:rPr>
          <w:rFonts w:ascii="Garamond" w:hAnsi="Garamond" w:cs="Garamond"/>
          <w:i/>
          <w:iCs/>
          <w:sz w:val="24"/>
          <w:szCs w:val="24"/>
          <w:lang w:val="en-US"/>
        </w:rPr>
        <w:t xml:space="preserve">Power in Movement. </w:t>
      </w:r>
      <w:r w:rsidRPr="009B6D32">
        <w:rPr>
          <w:rFonts w:ascii="Garamond" w:hAnsi="Garamond" w:cs="Garamond"/>
          <w:sz w:val="24"/>
          <w:szCs w:val="24"/>
          <w:lang w:val="en-US"/>
        </w:rPr>
        <w:t>Cambridge: Cambridge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Taylor, J. (1957) </w:t>
      </w:r>
      <w:r w:rsidRPr="009B6D32">
        <w:rPr>
          <w:rFonts w:ascii="Garamond" w:hAnsi="Garamond" w:cs="Garamond"/>
          <w:i/>
          <w:iCs/>
          <w:sz w:val="24"/>
          <w:szCs w:val="24"/>
        </w:rPr>
        <w:t xml:space="preserve">Christianity and Politics in Africa. </w:t>
      </w:r>
      <w:r w:rsidRPr="009B6D32">
        <w:rPr>
          <w:rFonts w:ascii="Garamond" w:hAnsi="Garamond" w:cs="Garamond"/>
          <w:sz w:val="24"/>
          <w:szCs w:val="24"/>
        </w:rPr>
        <w:t>London: Penguin</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lastRenderedPageBreak/>
        <w:t xml:space="preserve">Terazono, E. (2012) 'Ivorian uncertainty weighs on cocoa industry', </w:t>
      </w:r>
      <w:r w:rsidRPr="009B6D32">
        <w:rPr>
          <w:rFonts w:ascii="Garamond" w:hAnsi="Garamond" w:cs="Garamond"/>
          <w:i/>
          <w:sz w:val="24"/>
          <w:szCs w:val="24"/>
        </w:rPr>
        <w:t xml:space="preserve">Financial Times Online. </w:t>
      </w:r>
      <w:r w:rsidRPr="009B6D32">
        <w:rPr>
          <w:rFonts w:ascii="Garamond" w:hAnsi="Garamond" w:cs="Garamond"/>
          <w:sz w:val="24"/>
          <w:szCs w:val="24"/>
        </w:rPr>
        <w:t xml:space="preserve">Available online at: </w:t>
      </w:r>
      <w:r w:rsidRPr="009B6D32">
        <w:rPr>
          <w:rFonts w:ascii="Garamond" w:hAnsi="Garamond"/>
          <w:sz w:val="24"/>
          <w:szCs w:val="24"/>
        </w:rPr>
        <w:t>http://www.ft.com/cms/s/0/532880b0-95c6-11e1-9d9d-00144fea b49a.html#axz z2itgtgVKp. Accessed 5 June 2012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color w:val="000000"/>
          <w:sz w:val="24"/>
          <w:szCs w:val="24"/>
          <w:lang w:eastAsia="en-GB"/>
        </w:rPr>
        <w:t xml:space="preserve">Teune, S. (2011) ‘Communicating dissent. Diversity of expression in the protest against the G8 Summit in Heiligendamm’, in Kouki, H. and Romanos, E. (eds.), </w:t>
      </w:r>
      <w:r w:rsidRPr="009B6D32">
        <w:rPr>
          <w:rFonts w:ascii="Garamond" w:hAnsi="Garamond" w:cs="Garamond"/>
          <w:i/>
          <w:iCs/>
          <w:color w:val="000000"/>
          <w:sz w:val="24"/>
          <w:szCs w:val="24"/>
          <w:lang w:eastAsia="en-GB"/>
        </w:rPr>
        <w:t>Re-Visiting Protest: New Approaches to Social Mobilization in Europe after 1945</w:t>
      </w:r>
      <w:r w:rsidRPr="009B6D32">
        <w:rPr>
          <w:rFonts w:ascii="Garamond" w:hAnsi="Garamond" w:cs="Garamond"/>
          <w:color w:val="000000"/>
          <w:sz w:val="24"/>
          <w:szCs w:val="24"/>
          <w:lang w:eastAsia="en-GB"/>
        </w:rPr>
        <w:t>. Cambridge: Berghahn Books, pp. 86-102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Thomas, N. (1994) </w:t>
      </w:r>
      <w:r w:rsidRPr="009B6D32">
        <w:rPr>
          <w:rFonts w:ascii="Garamond" w:hAnsi="Garamond" w:cs="Garamond"/>
          <w:i/>
          <w:iCs/>
          <w:sz w:val="24"/>
          <w:szCs w:val="24"/>
          <w:lang w:val="en-US"/>
        </w:rPr>
        <w:t xml:space="preserve">Colonialism’s Culture: Anthropology, Travel and Government. </w:t>
      </w:r>
      <w:r w:rsidRPr="009B6D32">
        <w:rPr>
          <w:rFonts w:ascii="Garamond" w:hAnsi="Garamond" w:cs="Garamond"/>
          <w:sz w:val="24"/>
          <w:szCs w:val="24"/>
          <w:lang w:val="en-US"/>
        </w:rPr>
        <w:t>Cambridge: Polity</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lang w:val="en-US"/>
        </w:rPr>
        <w:t xml:space="preserve">Thörn, H. (2006) </w:t>
      </w:r>
      <w:r w:rsidRPr="009B6D32">
        <w:rPr>
          <w:rFonts w:ascii="Garamond" w:hAnsi="Garamond" w:cs="Garamond"/>
          <w:i/>
          <w:iCs/>
          <w:sz w:val="24"/>
          <w:szCs w:val="24"/>
          <w:lang w:val="en-US"/>
        </w:rPr>
        <w:t xml:space="preserve">Anti-Apartheid and the Emergence of a Global Civil Society. </w:t>
      </w:r>
      <w:r w:rsidRPr="009B6D32">
        <w:rPr>
          <w:rFonts w:ascii="Garamond" w:hAnsi="Garamond" w:cs="Garamond"/>
          <w:sz w:val="24"/>
          <w:szCs w:val="24"/>
          <w:lang w:val="en-US"/>
        </w:rPr>
        <w:t>New York: Palgrave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Thörn</w:t>
      </w:r>
      <w:r w:rsidRPr="009B6D32">
        <w:rPr>
          <w:rFonts w:ascii="Garamond" w:hAnsi="Garamond" w:cs="Garamond"/>
          <w:sz w:val="24"/>
          <w:szCs w:val="24"/>
          <w:lang w:val="en-US"/>
        </w:rPr>
        <w:t>, H. (2007) ‘</w:t>
      </w:r>
      <w:r w:rsidRPr="009B6D32">
        <w:rPr>
          <w:rFonts w:ascii="Garamond" w:hAnsi="Garamond" w:cs="Garamond"/>
          <w:sz w:val="24"/>
          <w:szCs w:val="24"/>
        </w:rPr>
        <w:t xml:space="preserve">Social movements, the media and the emergence of a global public sphere: from anti-apartheid to global justice’, </w:t>
      </w:r>
      <w:r w:rsidRPr="009B6D32">
        <w:rPr>
          <w:rFonts w:ascii="Garamond" w:hAnsi="Garamond" w:cs="Garamond"/>
          <w:i/>
          <w:iCs/>
          <w:sz w:val="24"/>
          <w:szCs w:val="24"/>
        </w:rPr>
        <w:t>Current Sociology</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sz w:val="24"/>
          <w:szCs w:val="24"/>
        </w:rPr>
        <w:t>55(6), pp. 896-918</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Thrift, N. (2010) ‘Understanding the material practices of Glamour’, in Gregg, M. and Siegworth, G. (eds.) </w:t>
      </w:r>
      <w:r w:rsidRPr="009B6D32">
        <w:rPr>
          <w:rFonts w:ascii="Garamond" w:hAnsi="Garamond" w:cs="Garamond"/>
          <w:i/>
          <w:iCs/>
          <w:sz w:val="24"/>
          <w:szCs w:val="24"/>
        </w:rPr>
        <w:t xml:space="preserve">The Affect Theory Reader. </w:t>
      </w:r>
      <w:r w:rsidRPr="009B6D32">
        <w:rPr>
          <w:rFonts w:ascii="Garamond" w:hAnsi="Garamond" w:cs="Garamond"/>
          <w:sz w:val="24"/>
          <w:szCs w:val="24"/>
        </w:rPr>
        <w:t>New York: Duke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eastAsia="Times New Roman" w:hAnsi="Garamond" w:cs="Arial"/>
          <w:sz w:val="24"/>
          <w:szCs w:val="24"/>
          <w:lang w:eastAsia="en-GB"/>
        </w:rPr>
        <w:t>Thrift, N. (2003) 'All nose', in Anderson, K. , Domosh, M. , Pile, S. and Thrift, N. (eds.), </w:t>
      </w:r>
      <w:r w:rsidRPr="009B6D32">
        <w:rPr>
          <w:rFonts w:ascii="Garamond" w:eastAsia="Times New Roman" w:hAnsi="Garamond" w:cs="Arial"/>
          <w:i/>
          <w:iCs/>
          <w:sz w:val="24"/>
          <w:szCs w:val="24"/>
          <w:lang w:eastAsia="en-GB"/>
        </w:rPr>
        <w:t>Handbook of cultural geography</w:t>
      </w:r>
      <w:r w:rsidRPr="009B6D32">
        <w:rPr>
          <w:rFonts w:ascii="Garamond" w:eastAsia="Times New Roman" w:hAnsi="Garamond" w:cs="Arial"/>
          <w:sz w:val="24"/>
          <w:szCs w:val="24"/>
          <w:lang w:eastAsia="en-GB"/>
        </w:rPr>
        <w:t>. London: Sage, pp. 9-14</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 xml:space="preserve">Tolia-Kelly, D.P. (2010) ‘The geographies of cultural geography I: identities, bodies and race’, </w:t>
      </w:r>
      <w:r w:rsidRPr="009B6D32">
        <w:rPr>
          <w:rStyle w:val="HTMLCite"/>
          <w:rFonts w:ascii="Garamond" w:hAnsi="Garamond" w:cs="Garamond"/>
          <w:sz w:val="24"/>
          <w:szCs w:val="24"/>
        </w:rPr>
        <w:t>Progress in Human Geography</w:t>
      </w:r>
      <w:r w:rsidRPr="009B6D32">
        <w:rPr>
          <w:rStyle w:val="slug-pub-date"/>
          <w:rFonts w:ascii="Garamond" w:hAnsi="Garamond" w:cs="Garamond"/>
          <w:i/>
          <w:iCs/>
          <w:sz w:val="24"/>
          <w:szCs w:val="24"/>
        </w:rPr>
        <w:t xml:space="preserve">, </w:t>
      </w:r>
      <w:r w:rsidRPr="009B6D32">
        <w:rPr>
          <w:rStyle w:val="slug-vol"/>
          <w:rFonts w:ascii="Garamond" w:hAnsi="Garamond" w:cs="Garamond"/>
          <w:sz w:val="24"/>
          <w:szCs w:val="24"/>
        </w:rPr>
        <w:t>34(</w:t>
      </w:r>
      <w:r w:rsidRPr="009B6D32">
        <w:rPr>
          <w:rStyle w:val="slug-issue"/>
          <w:rFonts w:ascii="Garamond" w:hAnsi="Garamond" w:cs="Garamond"/>
          <w:sz w:val="24"/>
          <w:szCs w:val="24"/>
        </w:rPr>
        <w:t xml:space="preserve">3), pp. </w:t>
      </w:r>
      <w:r w:rsidRPr="009B6D32">
        <w:rPr>
          <w:rStyle w:val="slug-pages"/>
          <w:rFonts w:ascii="Garamond" w:hAnsi="Garamond" w:cs="Garamond"/>
          <w:sz w:val="24"/>
          <w:szCs w:val="24"/>
        </w:rPr>
        <w:t>358-367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Trentmann, F. (2004) ‘The Modern Evolution of the Consumer: Meanings, Knowledge, and Identities Before the Age of Affluence’, </w:t>
      </w:r>
      <w:r w:rsidRPr="009B6D32">
        <w:rPr>
          <w:rFonts w:ascii="Garamond" w:hAnsi="Garamond" w:cs="Garamond"/>
          <w:iCs/>
          <w:sz w:val="24"/>
          <w:szCs w:val="24"/>
          <w:lang w:val="en-US"/>
        </w:rPr>
        <w:t>Cultures of Consumption Research Programme,</w:t>
      </w:r>
      <w:r w:rsidRPr="009B6D32">
        <w:rPr>
          <w:rFonts w:ascii="Garamond" w:hAnsi="Garamond" w:cs="Garamond"/>
          <w:i/>
          <w:iCs/>
          <w:sz w:val="24"/>
          <w:szCs w:val="24"/>
          <w:lang w:val="en-US"/>
        </w:rPr>
        <w:t xml:space="preserve"> </w:t>
      </w:r>
      <w:r w:rsidRPr="009B6D32">
        <w:rPr>
          <w:rFonts w:ascii="Garamond" w:hAnsi="Garamond" w:cs="Garamond"/>
          <w:sz w:val="24"/>
          <w:szCs w:val="24"/>
          <w:lang w:val="en-US"/>
        </w:rPr>
        <w:t>Working Paper #10, Birkbeck University of London</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Trentmann, F. (2006) ‘The Modern Genealogy of the Consumer: Meanings, Identities and Political Synapses’, in Brewer, J. &amp; Trentmann, F. (eds.) </w:t>
      </w:r>
      <w:r w:rsidRPr="009B6D32">
        <w:rPr>
          <w:rFonts w:ascii="Garamond" w:hAnsi="Garamond" w:cs="Garamond"/>
          <w:i/>
          <w:iCs/>
          <w:sz w:val="24"/>
          <w:szCs w:val="24"/>
          <w:lang w:val="en-US"/>
        </w:rPr>
        <w:t xml:space="preserve">Consuming Cultures, Global Perspectives. </w:t>
      </w:r>
      <w:r w:rsidRPr="009B6D32">
        <w:rPr>
          <w:rFonts w:ascii="Garamond" w:hAnsi="Garamond" w:cs="Garamond"/>
          <w:sz w:val="24"/>
          <w:szCs w:val="24"/>
          <w:lang w:val="en-US"/>
        </w:rPr>
        <w:t>New York: Berg, pp. 19-69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Trentmann, F. (2006) </w:t>
      </w:r>
      <w:r w:rsidRPr="009B6D32">
        <w:rPr>
          <w:rFonts w:ascii="Garamond" w:hAnsi="Garamond" w:cs="Garamond"/>
          <w:i/>
          <w:iCs/>
          <w:sz w:val="24"/>
          <w:szCs w:val="24"/>
          <w:lang w:val="en-US"/>
        </w:rPr>
        <w:t xml:space="preserve">The Making of the Consumer: Knowledge, Power and Identity in the Modern World. </w:t>
      </w:r>
      <w:r w:rsidRPr="009B6D32">
        <w:rPr>
          <w:rFonts w:ascii="Garamond" w:hAnsi="Garamond" w:cs="Garamond"/>
          <w:sz w:val="24"/>
          <w:szCs w:val="24"/>
          <w:lang w:val="en-US"/>
        </w:rPr>
        <w:t>London: Berg</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Trentmann, F. (2007) ‘Before </w:t>
      </w:r>
      <w:r w:rsidRPr="009B6D32">
        <w:rPr>
          <w:rFonts w:ascii="Garamond" w:hAnsi="Garamond" w:cs="Garamond"/>
          <w:sz w:val="24"/>
          <w:szCs w:val="24"/>
        </w:rPr>
        <w:t>“</w:t>
      </w:r>
      <w:r w:rsidRPr="009B6D32">
        <w:rPr>
          <w:rFonts w:ascii="Garamond" w:hAnsi="Garamond" w:cs="Garamond"/>
          <w:sz w:val="24"/>
          <w:szCs w:val="24"/>
          <w:lang w:val="en-US"/>
        </w:rPr>
        <w:t>fair trade</w:t>
      </w:r>
      <w:r w:rsidRPr="009B6D32">
        <w:rPr>
          <w:rFonts w:ascii="Garamond" w:hAnsi="Garamond" w:cs="Garamond"/>
          <w:sz w:val="24"/>
          <w:szCs w:val="24"/>
        </w:rPr>
        <w:t>”</w:t>
      </w:r>
      <w:r w:rsidRPr="009B6D32">
        <w:rPr>
          <w:rFonts w:ascii="Garamond" w:hAnsi="Garamond" w:cs="Garamond"/>
          <w:sz w:val="24"/>
          <w:szCs w:val="24"/>
          <w:lang w:val="en-US"/>
        </w:rPr>
        <w:t xml:space="preserve">: empire, free trade, and the moral economies of food in the modern world’, </w:t>
      </w:r>
      <w:r w:rsidRPr="009B6D32">
        <w:rPr>
          <w:rFonts w:ascii="Garamond" w:hAnsi="Garamond" w:cs="Garamond"/>
          <w:i/>
          <w:iCs/>
          <w:sz w:val="24"/>
          <w:szCs w:val="24"/>
          <w:lang w:val="en-US"/>
        </w:rPr>
        <w:t xml:space="preserve">Environment and Planning D: Society and Space, </w:t>
      </w:r>
      <w:r w:rsidRPr="009B6D32">
        <w:rPr>
          <w:rFonts w:ascii="Garamond" w:hAnsi="Garamond" w:cs="Garamond"/>
          <w:sz w:val="24"/>
          <w:szCs w:val="24"/>
          <w:lang w:val="en-US"/>
        </w:rPr>
        <w:t>25(6), pp. 1079-1102</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t xml:space="preserve">Troup, F. (1972) </w:t>
      </w:r>
      <w:r w:rsidRPr="009B6D32">
        <w:rPr>
          <w:rFonts w:ascii="Garamond" w:hAnsi="Garamond" w:cs="Garamond"/>
          <w:i/>
          <w:iCs/>
          <w:sz w:val="24"/>
          <w:szCs w:val="24"/>
          <w:lang w:val="en-US"/>
        </w:rPr>
        <w:t xml:space="preserve">South Africa: An Historical Introduction. </w:t>
      </w:r>
      <w:r w:rsidRPr="009B6D32">
        <w:rPr>
          <w:rFonts w:ascii="Garamond" w:hAnsi="Garamond" w:cs="Garamond"/>
          <w:sz w:val="24"/>
          <w:szCs w:val="24"/>
          <w:lang w:val="en-US"/>
        </w:rPr>
        <w:t>Frome: Butler &amp; Tanner Ltd</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Tuan, Y.F. (1977) </w:t>
      </w:r>
      <w:r w:rsidRPr="009B6D32">
        <w:rPr>
          <w:rFonts w:ascii="Garamond" w:hAnsi="Garamond" w:cs="Garamond"/>
          <w:i/>
          <w:iCs/>
          <w:sz w:val="24"/>
          <w:szCs w:val="24"/>
          <w:lang w:val="en-US"/>
        </w:rPr>
        <w:t>Space &amp; Place: the perspective of Experience</w:t>
      </w:r>
      <w:r w:rsidRPr="009B6D32">
        <w:rPr>
          <w:rFonts w:ascii="Garamond" w:hAnsi="Garamond" w:cs="Garamond"/>
          <w:sz w:val="24"/>
          <w:szCs w:val="24"/>
          <w:lang w:val="en-US"/>
        </w:rPr>
        <w:t>. Minnesota: University of Minnesota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Tyler, M. and Abbott, P. (1998) 'Chocs Away: Weight Watching in the Contemporary Airline Industry', </w:t>
      </w:r>
      <w:r w:rsidRPr="009B6D32">
        <w:rPr>
          <w:rFonts w:ascii="Garamond" w:hAnsi="Garamond"/>
          <w:i/>
          <w:sz w:val="24"/>
          <w:szCs w:val="24"/>
        </w:rPr>
        <w:t>Sociology</w:t>
      </w:r>
      <w:r w:rsidRPr="009B6D32">
        <w:rPr>
          <w:rStyle w:val="apple-converted-space"/>
          <w:rFonts w:ascii="Garamond" w:hAnsi="Garamond" w:cs="Arial"/>
          <w:bCs/>
          <w:sz w:val="24"/>
          <w:szCs w:val="24"/>
          <w:bdr w:val="none" w:sz="0" w:space="0" w:color="auto" w:frame="1"/>
          <w:shd w:val="clear" w:color="auto" w:fill="FFFFFF"/>
        </w:rPr>
        <w:t>, </w:t>
      </w:r>
      <w:r w:rsidRPr="009B6D32">
        <w:rPr>
          <w:rStyle w:val="slug-vol"/>
          <w:rFonts w:ascii="Garamond" w:hAnsi="Garamond" w:cs="Arial"/>
          <w:sz w:val="24"/>
          <w:szCs w:val="24"/>
          <w:bdr w:val="none" w:sz="0" w:space="0" w:color="auto" w:frame="1"/>
          <w:shd w:val="clear" w:color="auto" w:fill="FFFFFF"/>
        </w:rPr>
        <w:t>32</w:t>
      </w:r>
      <w:r w:rsidRPr="009B6D32">
        <w:rPr>
          <w:rStyle w:val="apple-converted-space"/>
          <w:rFonts w:ascii="Garamond" w:hAnsi="Garamond" w:cs="Arial"/>
          <w:sz w:val="24"/>
          <w:szCs w:val="24"/>
          <w:bdr w:val="none" w:sz="0" w:space="0" w:color="auto" w:frame="1"/>
          <w:shd w:val="clear" w:color="auto" w:fill="FFFFFF"/>
        </w:rPr>
        <w:t> </w:t>
      </w:r>
      <w:r w:rsidRPr="009B6D32">
        <w:rPr>
          <w:rStyle w:val="slug-issue"/>
          <w:rFonts w:ascii="Garamond" w:hAnsi="Garamond" w:cs="Arial"/>
          <w:sz w:val="24"/>
          <w:szCs w:val="24"/>
          <w:bdr w:val="none" w:sz="0" w:space="0" w:color="auto" w:frame="1"/>
          <w:shd w:val="clear" w:color="auto" w:fill="FFFFFF"/>
        </w:rPr>
        <w:t xml:space="preserve">(3), pp. </w:t>
      </w:r>
      <w:r w:rsidRPr="009B6D32">
        <w:rPr>
          <w:rStyle w:val="slug-pages"/>
          <w:rFonts w:ascii="Garamond" w:hAnsi="Garamond" w:cs="Arial"/>
          <w:bCs/>
          <w:sz w:val="24"/>
          <w:szCs w:val="24"/>
          <w:bdr w:val="none" w:sz="0" w:space="0" w:color="auto" w:frame="1"/>
          <w:shd w:val="clear" w:color="auto" w:fill="FFFFFF"/>
        </w:rPr>
        <w:t>433-450</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ul Haque, I. (2004) ‘Commodities under Neoliberalism: The Case of Cocoa, United Nations Conference on Trade and Development’, United Nations Conference on Trade and Development, G-24 Discussion Papers No.25. New York and Geneva, January 2004.</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Style w:val="Emphasis"/>
          <w:rFonts w:ascii="Garamond" w:hAnsi="Garamond" w:cs="Arial"/>
          <w:bCs/>
          <w:sz w:val="24"/>
          <w:szCs w:val="24"/>
          <w:shd w:val="clear" w:color="auto" w:fill="FFFFFF"/>
        </w:rPr>
        <w:t>Urry</w:t>
      </w:r>
      <w:r w:rsidRPr="009B6D32">
        <w:rPr>
          <w:rFonts w:ascii="Garamond" w:hAnsi="Garamond" w:cs="Arial"/>
          <w:sz w:val="24"/>
          <w:szCs w:val="24"/>
          <w:shd w:val="clear" w:color="auto" w:fill="FFFFFF"/>
        </w:rPr>
        <w:t>,</w:t>
      </w:r>
      <w:r w:rsidRPr="009B6D32">
        <w:rPr>
          <w:rStyle w:val="apple-converted-space"/>
          <w:rFonts w:ascii="Garamond" w:hAnsi="Garamond" w:cs="Arial"/>
          <w:sz w:val="24"/>
          <w:szCs w:val="24"/>
          <w:shd w:val="clear" w:color="auto" w:fill="FFFFFF"/>
        </w:rPr>
        <w:t> </w:t>
      </w:r>
      <w:r w:rsidRPr="009B6D32">
        <w:rPr>
          <w:rStyle w:val="Emphasis"/>
          <w:rFonts w:ascii="Garamond" w:hAnsi="Garamond" w:cs="Arial"/>
          <w:bCs/>
          <w:sz w:val="24"/>
          <w:szCs w:val="24"/>
          <w:shd w:val="clear" w:color="auto" w:fill="FFFFFF"/>
        </w:rPr>
        <w:t>J. (2000)</w:t>
      </w:r>
      <w:r w:rsidRPr="009B6D32">
        <w:rPr>
          <w:rFonts w:ascii="Garamond" w:hAnsi="Garamond" w:cs="Arial"/>
          <w:sz w:val="24"/>
          <w:szCs w:val="24"/>
          <w:shd w:val="clear" w:color="auto" w:fill="FFFFFF"/>
        </w:rPr>
        <w:t xml:space="preserve"> </w:t>
      </w:r>
      <w:r w:rsidRPr="009B6D32">
        <w:rPr>
          <w:rFonts w:ascii="Garamond" w:hAnsi="Garamond" w:cs="Arial"/>
          <w:i/>
          <w:sz w:val="24"/>
          <w:szCs w:val="24"/>
          <w:shd w:val="clear" w:color="auto" w:fill="FFFFFF"/>
        </w:rPr>
        <w:t>Sociology Beyond Societies: Mobilities for the Twenty-First Century</w:t>
      </w:r>
      <w:r w:rsidRPr="009B6D32">
        <w:rPr>
          <w:rFonts w:ascii="Garamond" w:hAnsi="Garamond" w:cs="Arial"/>
          <w:sz w:val="24"/>
          <w:szCs w:val="24"/>
          <w:shd w:val="clear" w:color="auto" w:fill="FFFFFF"/>
        </w:rPr>
        <w:t>. 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Times New Roman"/>
          <w:sz w:val="24"/>
          <w:szCs w:val="24"/>
          <w:lang w:val="en-US"/>
        </w:rPr>
        <w:t xml:space="preserve">Valentine, G. (1997) 'A corporeal geography of consumption'. </w:t>
      </w:r>
      <w:r w:rsidRPr="009B6D32">
        <w:rPr>
          <w:rFonts w:ascii="Garamond" w:hAnsi="Garamond" w:cs="Times New Roman"/>
          <w:i/>
          <w:iCs/>
          <w:sz w:val="24"/>
          <w:szCs w:val="24"/>
          <w:lang w:val="en-US"/>
        </w:rPr>
        <w:t xml:space="preserve">Environment &amp; Planning D: Society &amp; Space, </w:t>
      </w:r>
      <w:r w:rsidRPr="009B6D32">
        <w:rPr>
          <w:rFonts w:ascii="Garamond" w:hAnsi="Garamond" w:cs="Times New Roman"/>
          <w:sz w:val="24"/>
          <w:szCs w:val="24"/>
          <w:lang w:val="en-US"/>
        </w:rPr>
        <w:t>17(3), pp. 321 -351</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van Liempt, I. (2011) ‘Different geographies and experiences of “assisted” types of migration: a gendered critique on the distinction between trafficking and smuggling’, </w:t>
      </w:r>
      <w:r w:rsidRPr="009B6D32">
        <w:rPr>
          <w:rFonts w:ascii="Garamond" w:hAnsi="Garamond" w:cs="Garamond"/>
          <w:i/>
          <w:iCs/>
          <w:sz w:val="24"/>
          <w:szCs w:val="24"/>
        </w:rPr>
        <w:t>Gender, Place &amp; Culture</w:t>
      </w:r>
      <w:r w:rsidRPr="009B6D32">
        <w:rPr>
          <w:rFonts w:ascii="Garamond" w:hAnsi="Garamond" w:cs="Garamond"/>
          <w:sz w:val="24"/>
          <w:szCs w:val="24"/>
        </w:rPr>
        <w:t>, 18(2), pp. 179-193</w:t>
      </w:r>
    </w:p>
    <w:p w:rsidR="0001718F" w:rsidRDefault="0001718F" w:rsidP="007437F5">
      <w:pPr>
        <w:autoSpaceDE w:val="0"/>
        <w:autoSpaceDN w:val="0"/>
        <w:adjustRightInd w:val="0"/>
        <w:spacing w:after="0" w:line="240" w:lineRule="auto"/>
        <w:ind w:hanging="720"/>
        <w:rPr>
          <w:rFonts w:ascii="Garamond" w:hAnsi="Garamond" w:cs="Garamond"/>
          <w:sz w:val="24"/>
          <w:szCs w:val="24"/>
        </w:rPr>
      </w:pPr>
      <w:r>
        <w:rPr>
          <w:rFonts w:ascii="Garamond" w:hAnsi="Garamond" w:cs="Garamond"/>
          <w:sz w:val="24"/>
          <w:szCs w:val="24"/>
        </w:rPr>
        <w:t xml:space="preserve">van Manen, W. (1988a) 'The struggle against apartheid begins here',  </w:t>
      </w:r>
      <w:r>
        <w:rPr>
          <w:rFonts w:ascii="Garamond" w:hAnsi="Garamond" w:cs="Garamond"/>
          <w:i/>
          <w:sz w:val="24"/>
          <w:szCs w:val="24"/>
        </w:rPr>
        <w:t xml:space="preserve">Amandla, </w:t>
      </w:r>
      <w:r>
        <w:rPr>
          <w:rFonts w:ascii="Garamond" w:hAnsi="Garamond" w:cs="Garamond"/>
          <w:sz w:val="24"/>
          <w:szCs w:val="24"/>
        </w:rPr>
        <w:t>May, pp. 1-3</w:t>
      </w:r>
    </w:p>
    <w:p w:rsidR="0001718F" w:rsidRPr="00187C96" w:rsidRDefault="0001718F" w:rsidP="007437F5">
      <w:pPr>
        <w:autoSpaceDE w:val="0"/>
        <w:autoSpaceDN w:val="0"/>
        <w:adjustRightInd w:val="0"/>
        <w:spacing w:after="0" w:line="240" w:lineRule="auto"/>
        <w:ind w:hanging="720"/>
        <w:rPr>
          <w:rFonts w:ascii="Garamond" w:hAnsi="Garamond" w:cs="Garamond"/>
          <w:sz w:val="24"/>
          <w:szCs w:val="24"/>
        </w:rPr>
      </w:pPr>
      <w:r>
        <w:rPr>
          <w:rFonts w:ascii="Garamond" w:hAnsi="Garamond" w:cs="Garamond"/>
          <w:sz w:val="24"/>
          <w:szCs w:val="24"/>
        </w:rPr>
        <w:t xml:space="preserve">van Manen, W. (1988b) </w:t>
      </w:r>
      <w:r>
        <w:rPr>
          <w:rFonts w:ascii="Garamond" w:hAnsi="Garamond" w:cs="Garamond"/>
          <w:i/>
          <w:sz w:val="24"/>
          <w:szCs w:val="24"/>
        </w:rPr>
        <w:t xml:space="preserve">Over My Dead Body. </w:t>
      </w:r>
      <w:r>
        <w:rPr>
          <w:rFonts w:ascii="Garamond" w:hAnsi="Garamond" w:cs="Garamond"/>
          <w:sz w:val="24"/>
          <w:szCs w:val="24"/>
        </w:rPr>
        <w:t>Leiden:BOA</w:t>
      </w:r>
    </w:p>
    <w:p w:rsidR="0001718F" w:rsidRPr="001024B8" w:rsidRDefault="0001718F" w:rsidP="007437F5">
      <w:pPr>
        <w:autoSpaceDE w:val="0"/>
        <w:autoSpaceDN w:val="0"/>
        <w:adjustRightInd w:val="0"/>
        <w:spacing w:after="0" w:line="240" w:lineRule="auto"/>
        <w:ind w:hanging="720"/>
        <w:rPr>
          <w:rFonts w:ascii="Garamond" w:hAnsi="Garamond" w:cs="Garamond"/>
          <w:sz w:val="24"/>
          <w:szCs w:val="24"/>
        </w:rPr>
      </w:pPr>
      <w:r>
        <w:rPr>
          <w:rFonts w:ascii="Garamond" w:hAnsi="Garamond" w:cs="Garamond"/>
          <w:sz w:val="24"/>
          <w:szCs w:val="24"/>
        </w:rPr>
        <w:t xml:space="preserve">van Rooyen, W (1978) 'BOA karavaan: Een geslaagde aktie', in </w:t>
      </w:r>
      <w:r w:rsidRPr="001024B8">
        <w:rPr>
          <w:rFonts w:ascii="Garamond" w:hAnsi="Garamond" w:cs="Garamond"/>
          <w:i/>
          <w:sz w:val="24"/>
          <w:szCs w:val="24"/>
        </w:rPr>
        <w:t>Onze Wereld</w:t>
      </w:r>
      <w:r>
        <w:rPr>
          <w:rFonts w:ascii="Garamond" w:hAnsi="Garamond" w:cs="Garamond"/>
          <w:i/>
          <w:sz w:val="24"/>
          <w:szCs w:val="24"/>
        </w:rPr>
        <w:t xml:space="preserve">, </w:t>
      </w:r>
      <w:r>
        <w:rPr>
          <w:rFonts w:ascii="Garamond" w:hAnsi="Garamond" w:cs="Garamond"/>
          <w:sz w:val="24"/>
          <w:szCs w:val="24"/>
        </w:rPr>
        <w:t>NOVIB, August</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van Wolputte, S. (2004) 'Hang on to Your Self: Of Bodies, Embodiment, and Selves', </w:t>
      </w:r>
      <w:r w:rsidRPr="009B6D32">
        <w:rPr>
          <w:rFonts w:ascii="Garamond" w:hAnsi="Garamond" w:cs="Garamond"/>
          <w:i/>
          <w:iCs/>
          <w:sz w:val="24"/>
          <w:szCs w:val="24"/>
        </w:rPr>
        <w:t>Annual Review of Anthropology,</w:t>
      </w:r>
      <w:r w:rsidRPr="009B6D32">
        <w:rPr>
          <w:rFonts w:ascii="Garamond" w:hAnsi="Garamond" w:cs="Garamond"/>
          <w:sz w:val="24"/>
          <w:szCs w:val="24"/>
        </w:rPr>
        <w:t xml:space="preserve"> 33, pp. 251-269</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rPr>
        <w:t>Varangis, P. and Schreiber, G. (2001) ‘Cocoa Market Reforms in West Africa’, in Akiyama, T., Baffes, J., Larson, D. and Varangis, P. (eds.)</w:t>
      </w:r>
      <w:r w:rsidRPr="009B6D32">
        <w:rPr>
          <w:rStyle w:val="apple-converted-space"/>
          <w:rFonts w:ascii="Garamond" w:hAnsi="Garamond" w:cs="Garamond"/>
          <w:sz w:val="24"/>
          <w:szCs w:val="24"/>
        </w:rPr>
        <w:t> </w:t>
      </w:r>
      <w:r w:rsidRPr="009B6D32">
        <w:rPr>
          <w:rStyle w:val="Emphasis"/>
          <w:rFonts w:ascii="Garamond" w:hAnsi="Garamond" w:cs="Garamond"/>
          <w:sz w:val="24"/>
          <w:szCs w:val="24"/>
          <w:bdr w:val="none" w:sz="0" w:space="0" w:color="auto" w:frame="1"/>
        </w:rPr>
        <w:t xml:space="preserve">Commodity Market Reforms: Lessons of Two Decades. </w:t>
      </w:r>
      <w:r w:rsidRPr="009B6D32">
        <w:rPr>
          <w:rFonts w:ascii="Garamond" w:hAnsi="Garamond" w:cs="Garamond"/>
          <w:sz w:val="24"/>
          <w:szCs w:val="24"/>
        </w:rPr>
        <w:t>Washington, D.C.: The World Bank, pp. 35-82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Warde, A. (2005) ‘Consumption and Theories of Practice’,</w:t>
      </w:r>
      <w:r w:rsidRPr="009B6D32">
        <w:rPr>
          <w:rFonts w:ascii="Garamond" w:hAnsi="Garamond" w:cs="Garamond"/>
          <w:i/>
          <w:iCs/>
          <w:sz w:val="24"/>
          <w:szCs w:val="24"/>
          <w:lang w:val="en-US"/>
        </w:rPr>
        <w:t xml:space="preserve"> Journal of Consumer Culture, </w:t>
      </w:r>
      <w:r w:rsidRPr="009B6D32">
        <w:rPr>
          <w:rFonts w:ascii="Garamond" w:hAnsi="Garamond" w:cs="Garamond"/>
          <w:sz w:val="24"/>
          <w:szCs w:val="24"/>
          <w:lang w:val="en-US"/>
        </w:rPr>
        <w:t>5(2) pp. 131-153</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val="en-US" w:eastAsia="en-GB"/>
        </w:rPr>
      </w:pPr>
      <w:r w:rsidRPr="009B6D32">
        <w:rPr>
          <w:rFonts w:ascii="Garamond" w:hAnsi="Garamond" w:cs="Garamond"/>
          <w:sz w:val="24"/>
          <w:szCs w:val="24"/>
          <w:lang w:val="en-US"/>
        </w:rPr>
        <w:lastRenderedPageBreak/>
        <w:t xml:space="preserve">Watt, D. (1970) </w:t>
      </w:r>
      <w:r w:rsidRPr="009B6D32">
        <w:rPr>
          <w:rFonts w:ascii="Garamond" w:hAnsi="Garamond" w:cs="Garamond"/>
          <w:i/>
          <w:iCs/>
          <w:sz w:val="24"/>
          <w:szCs w:val="24"/>
          <w:lang w:val="en-US"/>
        </w:rPr>
        <w:t xml:space="preserve">A History of the World in the Twentieth Century: Part 1 1899-1918. </w:t>
      </w:r>
      <w:r w:rsidRPr="009B6D32">
        <w:rPr>
          <w:rFonts w:ascii="Garamond" w:hAnsi="Garamond" w:cs="Garamond"/>
          <w:sz w:val="24"/>
          <w:szCs w:val="24"/>
          <w:lang w:val="en-US"/>
        </w:rPr>
        <w:t>London: Pan Books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Weitzer, R. (2007) ‘</w:t>
      </w:r>
      <w:r w:rsidRPr="009B6D32">
        <w:rPr>
          <w:rFonts w:ascii="Garamond" w:hAnsi="Garamond" w:cs="Garamond"/>
          <w:sz w:val="24"/>
          <w:szCs w:val="24"/>
        </w:rPr>
        <w:t>The Social Construction of Sex Trafficking: Ideology and Institutionalization of a Moral Crusade’,</w:t>
      </w:r>
      <w:r w:rsidRPr="009B6D32">
        <w:rPr>
          <w:rFonts w:ascii="Garamond" w:hAnsi="Garamond" w:cs="Garamond"/>
          <w:i/>
          <w:iCs/>
          <w:sz w:val="24"/>
          <w:szCs w:val="24"/>
        </w:rPr>
        <w:t xml:space="preserve"> Politics Society, </w:t>
      </w:r>
      <w:r w:rsidRPr="009B6D32">
        <w:rPr>
          <w:rFonts w:ascii="Garamond" w:hAnsi="Garamond" w:cs="Garamond"/>
          <w:sz w:val="24"/>
          <w:szCs w:val="24"/>
        </w:rPr>
        <w:t>35(3), pp. 447-475</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Werry, M. (2005) ‘“The Greatest Show on Earth”: Political Spectacle, Spectacular Politics, and the American Pacific’, </w:t>
      </w:r>
      <w:r w:rsidRPr="009B6D32">
        <w:rPr>
          <w:rFonts w:ascii="Garamond" w:hAnsi="Garamond" w:cs="Garamond"/>
          <w:i/>
          <w:iCs/>
          <w:sz w:val="24"/>
          <w:szCs w:val="24"/>
        </w:rPr>
        <w:t>Theatre Journal</w:t>
      </w:r>
      <w:r w:rsidRPr="009B6D32">
        <w:rPr>
          <w:rFonts w:ascii="Garamond" w:hAnsi="Garamond" w:cs="Garamond"/>
          <w:sz w:val="24"/>
          <w:szCs w:val="24"/>
        </w:rPr>
        <w:t>, 57(3), pp. 355-382</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shd w:val="clear" w:color="auto" w:fill="FFFFFF"/>
        </w:rPr>
        <w:t>Wertheim, W. (1991) Koloniaal racisme in Indonesië, ons onverwerkt verleden' [Colonial Racism in Ind</w:t>
      </w:r>
      <w:r w:rsidRPr="009B6D32">
        <w:rPr>
          <w:rFonts w:ascii="Garamond" w:hAnsi="Garamond"/>
          <w:sz w:val="24"/>
          <w:szCs w:val="24"/>
        </w:rPr>
        <w:t>onesia, Our Unprocessed Past]. De Gids. 154,(5/6), pp. 367-385</w:t>
      </w:r>
    </w:p>
    <w:p w:rsidR="0001718F" w:rsidRPr="00537AEF" w:rsidRDefault="0001718F" w:rsidP="0001718F">
      <w:pPr>
        <w:autoSpaceDE w:val="0"/>
        <w:autoSpaceDN w:val="0"/>
        <w:adjustRightInd w:val="0"/>
        <w:spacing w:after="0" w:line="240" w:lineRule="auto"/>
        <w:ind w:hanging="720"/>
        <w:rPr>
          <w:rFonts w:ascii="Garamond" w:hAnsi="Garamond" w:cs="Garamond"/>
          <w:sz w:val="24"/>
          <w:szCs w:val="24"/>
        </w:rPr>
      </w:pPr>
      <w:r>
        <w:rPr>
          <w:rFonts w:ascii="Garamond" w:hAnsi="Garamond" w:cs="F18"/>
          <w:sz w:val="24"/>
          <w:szCs w:val="24"/>
        </w:rPr>
        <w:t xml:space="preserve">Whatmore, S. (2003)'Generating Materials', in Pryke, M. Rose, G. Whatmore, S. (eds.) </w:t>
      </w:r>
      <w:r>
        <w:rPr>
          <w:rFonts w:ascii="Garamond" w:hAnsi="Garamond" w:cs="F18"/>
          <w:i/>
          <w:sz w:val="24"/>
          <w:szCs w:val="24"/>
        </w:rPr>
        <w:t xml:space="preserve">Using Social Theory: Thinking Through Research. </w:t>
      </w:r>
      <w:r>
        <w:rPr>
          <w:rFonts w:ascii="Garamond" w:hAnsi="Garamond" w:cs="F18"/>
          <w:sz w:val="24"/>
          <w:szCs w:val="24"/>
        </w:rPr>
        <w:t xml:space="preserve">London: Sage, pp. 89-105                                                           </w:t>
      </w:r>
      <w:r w:rsidRPr="0025716F">
        <w:rPr>
          <w:rFonts w:ascii="Garamond" w:hAnsi="Garamond" w:cs="F18"/>
          <w:sz w:val="24"/>
          <w:szCs w:val="24"/>
        </w:rPr>
        <w:t xml:space="preserve"> </w:t>
      </w:r>
    </w:p>
    <w:p w:rsidR="0001718F" w:rsidRPr="009B6D32" w:rsidRDefault="0001718F" w:rsidP="007437F5">
      <w:pPr>
        <w:autoSpaceDE w:val="0"/>
        <w:autoSpaceDN w:val="0"/>
        <w:adjustRightInd w:val="0"/>
        <w:spacing w:after="0" w:line="240" w:lineRule="auto"/>
        <w:ind w:hanging="720"/>
        <w:rPr>
          <w:rFonts w:ascii="Garamond" w:hAnsi="Garamond" w:cs="Arial"/>
          <w:bCs/>
          <w:sz w:val="24"/>
          <w:szCs w:val="24"/>
        </w:rPr>
      </w:pPr>
      <w:r w:rsidRPr="009B6D32">
        <w:rPr>
          <w:rFonts w:ascii="Garamond" w:hAnsi="Garamond"/>
          <w:sz w:val="24"/>
          <w:szCs w:val="24"/>
        </w:rPr>
        <w:t xml:space="preserve">Williams, E. (2012) ‘Anti-apartheid: The Black British response’, </w:t>
      </w:r>
      <w:r w:rsidRPr="009B6D32">
        <w:rPr>
          <w:rFonts w:ascii="Garamond" w:hAnsi="Garamond"/>
          <w:i/>
          <w:sz w:val="24"/>
          <w:szCs w:val="24"/>
        </w:rPr>
        <w:t>South African Historical Journal</w:t>
      </w:r>
      <w:r w:rsidRPr="009B6D32">
        <w:rPr>
          <w:rFonts w:ascii="Garamond" w:hAnsi="Garamond"/>
          <w:sz w:val="24"/>
          <w:szCs w:val="24"/>
        </w:rPr>
        <w:t>, 64(3), pp. 685-706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Wills, J.E., Jr. (1993) ‘European consumption and Asian production in the seventeenth and eighteenth centuries’, in Brewer, J. and Porter, R. (eds.) </w:t>
      </w:r>
      <w:r w:rsidRPr="009B6D32">
        <w:rPr>
          <w:rFonts w:ascii="Garamond" w:hAnsi="Garamond" w:cs="Garamond"/>
          <w:i/>
          <w:iCs/>
          <w:sz w:val="24"/>
          <w:szCs w:val="24"/>
          <w:lang w:val="en-US"/>
        </w:rPr>
        <w:t xml:space="preserve">Consumption and the World of Goods. </w:t>
      </w:r>
      <w:r w:rsidRPr="009B6D32">
        <w:rPr>
          <w:rFonts w:ascii="Garamond" w:hAnsi="Garamond" w:cs="Garamond"/>
          <w:sz w:val="24"/>
          <w:szCs w:val="24"/>
          <w:lang w:val="en-US"/>
        </w:rPr>
        <w:t>London: Routledge, pp. 133-147</w:t>
      </w:r>
    </w:p>
    <w:p w:rsidR="0001718F" w:rsidRPr="009B6D32" w:rsidRDefault="0001718F" w:rsidP="007437F5">
      <w:pPr>
        <w:autoSpaceDE w:val="0"/>
        <w:autoSpaceDN w:val="0"/>
        <w:adjustRightInd w:val="0"/>
        <w:spacing w:after="0" w:line="240" w:lineRule="auto"/>
        <w:ind w:hanging="720"/>
        <w:rPr>
          <w:rFonts w:ascii="Garamond" w:hAnsi="Garamond" w:cs="Garamond"/>
          <w:kern w:val="28"/>
          <w:sz w:val="24"/>
          <w:szCs w:val="24"/>
          <w:lang w:eastAsia="en-GB"/>
        </w:rPr>
      </w:pPr>
      <w:r w:rsidRPr="009B6D32">
        <w:rPr>
          <w:rFonts w:ascii="Garamond" w:hAnsi="Garamond" w:cs="Garamond"/>
          <w:sz w:val="24"/>
          <w:szCs w:val="24"/>
        </w:rPr>
        <w:t xml:space="preserve">Wilson, B. and Curnow, J. (2012) ‘Solidarity TM: Student Activism, Affective Labor, and the Fair Trade Campaign in the United States’, </w:t>
      </w:r>
      <w:r w:rsidRPr="009B6D32">
        <w:rPr>
          <w:rFonts w:ascii="Garamond" w:hAnsi="Garamond" w:cs="Garamond"/>
          <w:i/>
          <w:iCs/>
          <w:sz w:val="24"/>
          <w:szCs w:val="24"/>
        </w:rPr>
        <w:t>Antipode</w:t>
      </w:r>
      <w:r w:rsidRPr="009B6D32">
        <w:rPr>
          <w:rFonts w:ascii="Garamond" w:hAnsi="Garamond" w:cs="Garamond"/>
          <w:iCs/>
          <w:sz w:val="24"/>
          <w:szCs w:val="24"/>
        </w:rPr>
        <w:t>,</w:t>
      </w:r>
      <w:r w:rsidRPr="009B6D32">
        <w:rPr>
          <w:rFonts w:ascii="Garamond" w:hAnsi="Garamond" w:cs="Garamond"/>
          <w:i/>
          <w:iCs/>
          <w:sz w:val="24"/>
          <w:szCs w:val="24"/>
        </w:rPr>
        <w:t xml:space="preserve"> </w:t>
      </w:r>
      <w:r w:rsidRPr="009B6D32">
        <w:rPr>
          <w:rFonts w:ascii="Garamond" w:hAnsi="Garamond" w:cs="Garamond"/>
          <w:iCs/>
          <w:sz w:val="24"/>
          <w:szCs w:val="24"/>
        </w:rPr>
        <w:t>45(3), pp. 565-583</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iCs/>
          <w:sz w:val="24"/>
          <w:szCs w:val="24"/>
          <w:lang w:val="en-US"/>
        </w:rPr>
        <w:t>Winant, H. (2011) '</w:t>
      </w:r>
      <w:r w:rsidRPr="009B6D32">
        <w:rPr>
          <w:rFonts w:ascii="Garamond" w:hAnsi="Garamond" w:cs="Trebuchet MS"/>
          <w:sz w:val="24"/>
          <w:szCs w:val="24"/>
        </w:rPr>
        <w:t xml:space="preserve">The Dark Matter', </w:t>
      </w:r>
      <w:r w:rsidRPr="009B6D32">
        <w:rPr>
          <w:rFonts w:ascii="Garamond" w:hAnsi="Garamond" w:cs="Trebuchet MS"/>
          <w:i/>
          <w:sz w:val="24"/>
          <w:szCs w:val="24"/>
        </w:rPr>
        <w:t xml:space="preserve">Ethnic and Racial Studies. </w:t>
      </w:r>
      <w:r w:rsidRPr="009B6D32">
        <w:rPr>
          <w:rFonts w:ascii="Garamond" w:hAnsi="Garamond" w:cs="Trebuchet MS"/>
          <w:sz w:val="24"/>
          <w:szCs w:val="24"/>
        </w:rPr>
        <w:t>1, pp. 1-8</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lang w:val="en-US"/>
        </w:rPr>
      </w:pPr>
      <w:r w:rsidRPr="009B6D32">
        <w:rPr>
          <w:rFonts w:ascii="Garamond" w:hAnsi="Garamond" w:cs="Garamond"/>
          <w:sz w:val="24"/>
          <w:szCs w:val="24"/>
          <w:lang w:val="en-US"/>
        </w:rPr>
        <w:t xml:space="preserve">Witkowski, T. (1989) ‘Colonial Consumers in Revolt: Buyer Values and behaviour During the Nonimportation Movement, 1764- 1776’, </w:t>
      </w:r>
      <w:r w:rsidRPr="009B6D32">
        <w:rPr>
          <w:rFonts w:ascii="Garamond" w:hAnsi="Garamond" w:cs="Garamond"/>
          <w:i/>
          <w:iCs/>
          <w:sz w:val="24"/>
          <w:szCs w:val="24"/>
          <w:lang w:val="en-US"/>
        </w:rPr>
        <w:t>Journal of Consumer Research</w:t>
      </w:r>
      <w:r w:rsidRPr="009B6D32">
        <w:rPr>
          <w:rFonts w:ascii="Garamond" w:hAnsi="Garamond" w:cs="Garamond"/>
          <w:iCs/>
          <w:sz w:val="24"/>
          <w:szCs w:val="24"/>
          <w:lang w:val="en-US"/>
        </w:rPr>
        <w:t>, 16(2), pp. 216-226</w:t>
      </w:r>
    </w:p>
    <w:p w:rsidR="0001718F"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Wolman, L. (1914) </w:t>
      </w:r>
      <w:r w:rsidRPr="009B6D32">
        <w:rPr>
          <w:rFonts w:ascii="Garamond" w:hAnsi="Garamond" w:cs="Garamond"/>
          <w:i/>
          <w:iCs/>
          <w:sz w:val="24"/>
          <w:szCs w:val="24"/>
          <w:lang w:val="en-US"/>
        </w:rPr>
        <w:t xml:space="preserve">The Boycott in American Trade Unions. </w:t>
      </w:r>
      <w:r w:rsidRPr="009B6D32">
        <w:rPr>
          <w:rFonts w:ascii="Garamond" w:hAnsi="Garamond" w:cs="Garamond"/>
          <w:sz w:val="24"/>
          <w:szCs w:val="24"/>
          <w:lang w:val="en-US"/>
        </w:rPr>
        <w:t>Baltimore: John Hopkins Press</w:t>
      </w:r>
    </w:p>
    <w:p w:rsidR="0001718F" w:rsidRPr="00B7781B" w:rsidRDefault="0001718F" w:rsidP="007437F5">
      <w:pPr>
        <w:autoSpaceDE w:val="0"/>
        <w:autoSpaceDN w:val="0"/>
        <w:adjustRightInd w:val="0"/>
        <w:spacing w:after="0" w:line="240" w:lineRule="auto"/>
        <w:ind w:hanging="720"/>
        <w:rPr>
          <w:rFonts w:ascii="Garamond" w:hAnsi="Garamond" w:cs="Garamond"/>
          <w:sz w:val="24"/>
          <w:szCs w:val="24"/>
          <w:lang w:val="en-US"/>
        </w:rPr>
      </w:pPr>
      <w:r w:rsidRPr="00B7781B">
        <w:rPr>
          <w:rFonts w:ascii="Garamond" w:hAnsi="Garamond" w:cs="Arial"/>
          <w:color w:val="000000"/>
          <w:sz w:val="24"/>
          <w:szCs w:val="24"/>
        </w:rPr>
        <w:t>Wolpe</w:t>
      </w:r>
      <w:r>
        <w:rPr>
          <w:rFonts w:ascii="Garamond" w:hAnsi="Garamond" w:cs="Arial"/>
          <w:color w:val="000000"/>
          <w:sz w:val="24"/>
          <w:szCs w:val="24"/>
        </w:rPr>
        <w:t>,</w:t>
      </w:r>
      <w:r w:rsidRPr="00B7781B">
        <w:rPr>
          <w:rFonts w:ascii="Garamond" w:hAnsi="Garamond" w:cs="Arial"/>
          <w:color w:val="000000"/>
          <w:sz w:val="24"/>
          <w:szCs w:val="24"/>
        </w:rPr>
        <w:t xml:space="preserve"> H</w:t>
      </w:r>
      <w:r>
        <w:rPr>
          <w:rFonts w:ascii="Garamond" w:hAnsi="Garamond" w:cs="Arial"/>
          <w:color w:val="000000"/>
          <w:sz w:val="24"/>
          <w:szCs w:val="24"/>
        </w:rPr>
        <w:t>.</w:t>
      </w:r>
      <w:r w:rsidRPr="00B7781B">
        <w:rPr>
          <w:rFonts w:ascii="Garamond" w:hAnsi="Garamond" w:cs="Arial"/>
          <w:color w:val="000000"/>
          <w:sz w:val="24"/>
          <w:szCs w:val="24"/>
        </w:rPr>
        <w:t xml:space="preserve"> (1972) ‘Capitalism and cheap labour-power in South Africa: From segregation to apartheid’.</w:t>
      </w:r>
      <w:r w:rsidRPr="00B7781B">
        <w:rPr>
          <w:rStyle w:val="apple-converted-space"/>
          <w:rFonts w:ascii="Garamond" w:hAnsi="Garamond" w:cs="Arial"/>
          <w:color w:val="000000"/>
          <w:sz w:val="24"/>
          <w:szCs w:val="24"/>
        </w:rPr>
        <w:t> </w:t>
      </w:r>
      <w:r w:rsidRPr="00B7781B">
        <w:rPr>
          <w:rStyle w:val="Emphasis"/>
          <w:rFonts w:ascii="Garamond" w:hAnsi="Garamond" w:cs="Arial"/>
          <w:color w:val="000000"/>
          <w:sz w:val="24"/>
          <w:szCs w:val="24"/>
        </w:rPr>
        <w:t>Economy and Society,</w:t>
      </w:r>
      <w:r w:rsidRPr="00B7781B">
        <w:rPr>
          <w:rStyle w:val="apple-converted-space"/>
          <w:rFonts w:ascii="Garamond" w:hAnsi="Garamond" w:cs="Arial"/>
          <w:color w:val="000000"/>
          <w:sz w:val="24"/>
          <w:szCs w:val="24"/>
        </w:rPr>
        <w:t> </w:t>
      </w:r>
      <w:r>
        <w:rPr>
          <w:rFonts w:ascii="Garamond" w:hAnsi="Garamond" w:cs="Arial"/>
          <w:color w:val="000000"/>
          <w:sz w:val="24"/>
          <w:szCs w:val="24"/>
        </w:rPr>
        <w:t>1(4), pp.</w:t>
      </w:r>
      <w:r w:rsidRPr="00B7781B">
        <w:rPr>
          <w:rFonts w:ascii="Garamond" w:hAnsi="Garamond" w:cs="Arial"/>
          <w:color w:val="000000"/>
          <w:sz w:val="24"/>
          <w:szCs w:val="24"/>
        </w:rPr>
        <w:t>425-456</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 xml:space="preserve">Wolpe, H. (1995 [1970]) ‘Capitalism and Cheap Labour-Power in South Africa: From Segregation to Apartheid’, in Beinart, W. and Dubow, S. (eds.) </w:t>
      </w:r>
      <w:r w:rsidRPr="009B6D32">
        <w:rPr>
          <w:rFonts w:ascii="Garamond" w:hAnsi="Garamond" w:cs="Garamond"/>
          <w:i/>
          <w:iCs/>
          <w:sz w:val="24"/>
          <w:szCs w:val="24"/>
        </w:rPr>
        <w:t>Segregation and Apartheid in Twentieth Century South Africa</w:t>
      </w:r>
      <w:r w:rsidRPr="009B6D32">
        <w:rPr>
          <w:rFonts w:ascii="Garamond" w:hAnsi="Garamond" w:cs="Garamond"/>
          <w:b/>
          <w:bCs/>
          <w:sz w:val="24"/>
          <w:szCs w:val="24"/>
        </w:rPr>
        <w:t xml:space="preserve">. </w:t>
      </w:r>
      <w:r w:rsidRPr="009B6D32">
        <w:rPr>
          <w:rFonts w:ascii="Garamond" w:hAnsi="Garamond" w:cs="Garamond"/>
          <w:sz w:val="24"/>
          <w:szCs w:val="24"/>
        </w:rPr>
        <w:t xml:space="preserve">Routledge: London </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rPr>
        <w:t>Worger, W. and Byrnes, R.M. (2013) ‘History of South Africa’. Library of Congress article online. Available at http://www.nationsonline.org/oneworld/History/South-Africa-history.htm (Accessed 19 May 2012)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Yellin, J. and Van Horne, J.C. (1994) </w:t>
      </w:r>
      <w:r w:rsidRPr="009B6D32">
        <w:rPr>
          <w:rFonts w:ascii="Garamond" w:hAnsi="Garamond" w:cs="Garamond"/>
          <w:i/>
          <w:iCs/>
          <w:sz w:val="24"/>
          <w:szCs w:val="24"/>
          <w:lang w:val="en-US"/>
        </w:rPr>
        <w:t xml:space="preserve">The Abolitionist Sisterhood. </w:t>
      </w:r>
      <w:r w:rsidRPr="009B6D32">
        <w:rPr>
          <w:rFonts w:ascii="Garamond" w:hAnsi="Garamond" w:cs="Garamond"/>
          <w:sz w:val="24"/>
          <w:szCs w:val="24"/>
          <w:lang w:val="en-US"/>
        </w:rPr>
        <w:t>Philadelphia: Library of Philadelphia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Young, I. R. (1980) 'Throwing Like a Girl: A Phenomenology of Feminine Body Comportment Motility and Spatiality',</w:t>
      </w:r>
      <w:r w:rsidRPr="009B6D32">
        <w:rPr>
          <w:rFonts w:ascii="Garamond" w:hAnsi="Garamond" w:cs="Garamond"/>
          <w:i/>
          <w:sz w:val="24"/>
          <w:szCs w:val="24"/>
          <w:lang w:val="en-US"/>
        </w:rPr>
        <w:t xml:space="preserve"> Human Studies</w:t>
      </w:r>
      <w:r w:rsidRPr="009B6D32">
        <w:rPr>
          <w:rFonts w:ascii="Garamond" w:hAnsi="Garamond" w:cs="Garamond"/>
          <w:sz w:val="24"/>
          <w:szCs w:val="24"/>
          <w:lang w:val="en-US"/>
        </w:rPr>
        <w:t>, 3, pp. 137-156</w:t>
      </w:r>
    </w:p>
    <w:p w:rsidR="0001718F" w:rsidRPr="009B6D32" w:rsidRDefault="0001718F" w:rsidP="007437F5">
      <w:pPr>
        <w:autoSpaceDE w:val="0"/>
        <w:autoSpaceDN w:val="0"/>
        <w:adjustRightInd w:val="0"/>
        <w:spacing w:after="0" w:line="240" w:lineRule="auto"/>
        <w:ind w:hanging="720"/>
        <w:rPr>
          <w:rFonts w:ascii="Garamond" w:hAnsi="Garamond" w:cs="Garamond"/>
          <w:iCs/>
          <w:sz w:val="24"/>
          <w:szCs w:val="24"/>
          <w:lang w:val="en-US"/>
        </w:rPr>
      </w:pPr>
      <w:r w:rsidRPr="009B6D32">
        <w:rPr>
          <w:rFonts w:ascii="Garamond" w:hAnsi="Garamond" w:cs="Garamond"/>
          <w:sz w:val="24"/>
          <w:szCs w:val="24"/>
          <w:lang w:val="en-US"/>
        </w:rPr>
        <w:t xml:space="preserve">Young, I.R. (2003) ‘From Guilt to Solidarity’, </w:t>
      </w:r>
      <w:r w:rsidRPr="009B6D32">
        <w:rPr>
          <w:rFonts w:ascii="Garamond" w:hAnsi="Garamond" w:cs="Garamond"/>
          <w:i/>
          <w:iCs/>
          <w:sz w:val="24"/>
          <w:szCs w:val="24"/>
          <w:lang w:val="en-US"/>
        </w:rPr>
        <w:t>Dissent</w:t>
      </w:r>
      <w:r w:rsidRPr="009B6D32">
        <w:rPr>
          <w:rFonts w:ascii="Garamond" w:hAnsi="Garamond" w:cs="Garamond"/>
          <w:iCs/>
          <w:sz w:val="24"/>
          <w:szCs w:val="24"/>
          <w:lang w:val="en-US"/>
        </w:rPr>
        <w:t>, 50(2) [Online]. Available at: http://search.opinionarchives.com/Summary/Dissent/V50I2P39-1.htm (Accessed 8 June 2012)</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Young, R. (1995) </w:t>
      </w:r>
      <w:r w:rsidRPr="009B6D32">
        <w:rPr>
          <w:rFonts w:ascii="Garamond" w:hAnsi="Garamond" w:cs="Garamond"/>
          <w:i/>
          <w:iCs/>
          <w:sz w:val="24"/>
          <w:szCs w:val="24"/>
          <w:lang w:val="en-US"/>
        </w:rPr>
        <w:t xml:space="preserve">Colonial Desire: Hybridity in Theory Culture and Race.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Garamond" w:hAnsi="Garamond" w:cs="Garamond"/>
          <w:sz w:val="24"/>
          <w:szCs w:val="24"/>
          <w:lang w:val="en-US"/>
        </w:rPr>
        <w:t xml:space="preserve">Young, R. (2001) </w:t>
      </w:r>
      <w:r w:rsidRPr="009B6D32">
        <w:rPr>
          <w:rFonts w:ascii="Garamond" w:hAnsi="Garamond" w:cs="Garamond"/>
          <w:i/>
          <w:sz w:val="24"/>
          <w:szCs w:val="24"/>
          <w:lang w:val="en-US"/>
        </w:rPr>
        <w:t>Postcolonialism: An Historical Introduction.</w:t>
      </w:r>
      <w:r w:rsidRPr="009B6D32">
        <w:rPr>
          <w:rFonts w:ascii="Garamond" w:hAnsi="Garamond" w:cs="Garamond"/>
          <w:sz w:val="24"/>
          <w:szCs w:val="24"/>
          <w:lang w:val="en-US"/>
        </w:rPr>
        <w:t xml:space="preserve"> Oxford: Blackwell</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Young, R. (2004) </w:t>
      </w:r>
      <w:r w:rsidRPr="009B6D32">
        <w:rPr>
          <w:rFonts w:ascii="Garamond" w:hAnsi="Garamond" w:cs="Garamond"/>
          <w:i/>
          <w:sz w:val="24"/>
          <w:szCs w:val="24"/>
          <w:lang w:val="en-US"/>
        </w:rPr>
        <w:t xml:space="preserve">White Mythologies: Writing Histories and the West. </w:t>
      </w:r>
      <w:r w:rsidRPr="009B6D32">
        <w:rPr>
          <w:rFonts w:ascii="Garamond" w:hAnsi="Garamond" w:cs="Garamond"/>
          <w:sz w:val="24"/>
          <w:szCs w:val="24"/>
          <w:lang w:val="en-US"/>
        </w:rPr>
        <w:t>2nd edn</w:t>
      </w:r>
      <w:r w:rsidRPr="009B6D32">
        <w:rPr>
          <w:rFonts w:ascii="Garamond" w:hAnsi="Garamond" w:cs="Garamond"/>
          <w:i/>
          <w:sz w:val="24"/>
          <w:szCs w:val="24"/>
          <w:lang w:val="en-US"/>
        </w:rPr>
        <w:t xml:space="preserve">. </w:t>
      </w:r>
      <w:r w:rsidRPr="009B6D32">
        <w:rPr>
          <w:rFonts w:ascii="Garamond" w:hAnsi="Garamond" w:cs="Garamond"/>
          <w:sz w:val="24"/>
          <w:szCs w:val="24"/>
          <w:lang w:val="en-US"/>
        </w:rPr>
        <w:t>London: Routledge</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Yuksel, U. and Mryteza, V. (2009) ‘An evaluation of strategic responses to consumer boycotts’, </w:t>
      </w:r>
      <w:r w:rsidRPr="009B6D32">
        <w:rPr>
          <w:rFonts w:ascii="Garamond" w:hAnsi="Garamond" w:cs="Garamond"/>
          <w:i/>
          <w:iCs/>
          <w:sz w:val="24"/>
          <w:szCs w:val="24"/>
          <w:lang w:val="en-US"/>
        </w:rPr>
        <w:t xml:space="preserve">Journal of Business Research. </w:t>
      </w:r>
      <w:r w:rsidRPr="009B6D32">
        <w:rPr>
          <w:rFonts w:ascii="Garamond" w:hAnsi="Garamond" w:cs="Garamond"/>
          <w:sz w:val="24"/>
          <w:szCs w:val="24"/>
          <w:lang w:val="en-US"/>
        </w:rPr>
        <w:t>62(2), pp. 248-259</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rPr>
      </w:pPr>
      <w:r w:rsidRPr="009B6D32">
        <w:rPr>
          <w:rFonts w:ascii="Times New Roman" w:hAnsi="Times New Roman" w:cs="Times New Roman"/>
          <w:sz w:val="24"/>
          <w:szCs w:val="24"/>
          <w:shd w:val="clear" w:color="auto" w:fill="FFFFFF"/>
        </w:rPr>
        <w:t>Ž</w:t>
      </w:r>
      <w:r w:rsidRPr="009B6D32">
        <w:rPr>
          <w:rFonts w:ascii="Garamond" w:hAnsi="Garamond" w:cs="Arial"/>
          <w:sz w:val="24"/>
          <w:szCs w:val="24"/>
          <w:shd w:val="clear" w:color="auto" w:fill="FFFFFF"/>
        </w:rPr>
        <w:t>i</w:t>
      </w:r>
      <w:r w:rsidRPr="009B6D32">
        <w:rPr>
          <w:rFonts w:ascii="Times New Roman" w:hAnsi="Times New Roman" w:cs="Times New Roman"/>
          <w:sz w:val="24"/>
          <w:szCs w:val="24"/>
          <w:shd w:val="clear" w:color="auto" w:fill="FFFFFF"/>
        </w:rPr>
        <w:t>ž</w:t>
      </w:r>
      <w:r w:rsidRPr="009B6D32">
        <w:rPr>
          <w:rFonts w:ascii="Garamond" w:hAnsi="Garamond" w:cs="Arial"/>
          <w:sz w:val="24"/>
          <w:szCs w:val="24"/>
          <w:shd w:val="clear" w:color="auto" w:fill="FFFFFF"/>
        </w:rPr>
        <w:t xml:space="preserve">ek, S. (2005) 'Against Human Rights', </w:t>
      </w:r>
      <w:r w:rsidRPr="009B6D32">
        <w:rPr>
          <w:rFonts w:ascii="Garamond" w:hAnsi="Garamond" w:cs="Arial"/>
          <w:i/>
          <w:sz w:val="24"/>
          <w:szCs w:val="24"/>
          <w:shd w:val="clear" w:color="auto" w:fill="FFFFFF"/>
        </w:rPr>
        <w:t xml:space="preserve">New Left review, </w:t>
      </w:r>
      <w:r w:rsidRPr="009B6D32">
        <w:rPr>
          <w:rFonts w:ascii="Garamond" w:hAnsi="Garamond" w:cs="Arial"/>
          <w:sz w:val="24"/>
          <w:szCs w:val="24"/>
          <w:shd w:val="clear" w:color="auto" w:fill="FFFFFF"/>
        </w:rPr>
        <w:t xml:space="preserve">34, pp. 115-131. Available online, </w:t>
      </w:r>
      <w:r w:rsidRPr="009B6D32">
        <w:rPr>
          <w:rFonts w:ascii="Garamond" w:hAnsi="Garamond"/>
          <w:sz w:val="24"/>
          <w:szCs w:val="24"/>
        </w:rPr>
        <w:t>http://newleftreview.org/II/34/slavoj-zizek-against-human-rights (Accessed July 1 2011)</w:t>
      </w:r>
    </w:p>
    <w:p w:rsidR="0001718F" w:rsidRDefault="0001718F" w:rsidP="007437F5">
      <w:pPr>
        <w:autoSpaceDE w:val="0"/>
        <w:autoSpaceDN w:val="0"/>
        <w:adjustRightInd w:val="0"/>
        <w:spacing w:after="0" w:line="240" w:lineRule="auto"/>
        <w:ind w:hanging="720"/>
        <w:rPr>
          <w:rFonts w:ascii="Garamond" w:hAnsi="Garamond" w:cs="Garamond"/>
          <w:sz w:val="24"/>
          <w:szCs w:val="24"/>
          <w:lang w:val="en-US"/>
        </w:rPr>
      </w:pPr>
      <w:r w:rsidRPr="009B6D32">
        <w:rPr>
          <w:rFonts w:ascii="Garamond" w:hAnsi="Garamond" w:cs="Garamond"/>
          <w:sz w:val="24"/>
          <w:szCs w:val="24"/>
          <w:lang w:val="en-US"/>
        </w:rPr>
        <w:t xml:space="preserve">Zug, J. (2007) </w:t>
      </w:r>
      <w:r w:rsidRPr="009B6D32">
        <w:rPr>
          <w:rFonts w:ascii="Garamond" w:hAnsi="Garamond" w:cs="Garamond"/>
          <w:i/>
          <w:iCs/>
          <w:sz w:val="24"/>
          <w:szCs w:val="24"/>
          <w:lang w:val="en-US"/>
        </w:rPr>
        <w:t xml:space="preserve">The Guardian – The History of South Africa’s Extraordinary Anti-Apartheid Newspaper. </w:t>
      </w:r>
      <w:r w:rsidRPr="009B6D32">
        <w:rPr>
          <w:rFonts w:ascii="Garamond" w:hAnsi="Garamond" w:cs="Garamond"/>
          <w:sz w:val="24"/>
          <w:szCs w:val="24"/>
          <w:lang w:val="en-US"/>
        </w:rPr>
        <w:t>Pretoria: Michegan State University Press</w:t>
      </w:r>
    </w:p>
    <w:p w:rsidR="0001718F" w:rsidRPr="009B6D32" w:rsidRDefault="0001718F" w:rsidP="007437F5">
      <w:pPr>
        <w:autoSpaceDE w:val="0"/>
        <w:autoSpaceDN w:val="0"/>
        <w:adjustRightInd w:val="0"/>
        <w:spacing w:after="0" w:line="240" w:lineRule="auto"/>
        <w:ind w:hanging="720"/>
        <w:rPr>
          <w:rFonts w:ascii="Garamond" w:hAnsi="Garamond" w:cs="Garamond"/>
          <w:sz w:val="24"/>
          <w:szCs w:val="24"/>
          <w:lang w:val="en-US"/>
        </w:rPr>
      </w:pPr>
    </w:p>
    <w:p w:rsidR="007437F5" w:rsidRDefault="007437F5" w:rsidP="007437F5">
      <w:pPr>
        <w:autoSpaceDE w:val="0"/>
        <w:autoSpaceDN w:val="0"/>
        <w:adjustRightInd w:val="0"/>
        <w:spacing w:after="0" w:line="240" w:lineRule="auto"/>
        <w:ind w:hanging="720"/>
        <w:rPr>
          <w:rFonts w:ascii="Garamond" w:hAnsi="Garamond" w:cs="Garamond"/>
          <w:sz w:val="24"/>
          <w:szCs w:val="24"/>
          <w:lang w:val="en-US"/>
        </w:rPr>
      </w:pPr>
    </w:p>
    <w:p w:rsidR="008A2663" w:rsidRPr="00A36C42" w:rsidRDefault="008A2663" w:rsidP="008A2663">
      <w:pPr>
        <w:spacing w:line="360" w:lineRule="auto"/>
        <w:jc w:val="both"/>
        <w:rPr>
          <w:rFonts w:ascii="Garamond" w:hAnsi="Garamond"/>
          <w:b/>
        </w:rPr>
      </w:pPr>
    </w:p>
    <w:p w:rsidR="00847500" w:rsidRPr="002049D4" w:rsidRDefault="00847500" w:rsidP="002049D4">
      <w:pPr>
        <w:spacing w:after="0" w:line="360" w:lineRule="auto"/>
        <w:jc w:val="both"/>
        <w:rPr>
          <w:rFonts w:ascii="Garamond" w:hAnsi="Garamond"/>
          <w:sz w:val="24"/>
        </w:rPr>
      </w:pPr>
    </w:p>
    <w:sectPr w:rsidR="00847500" w:rsidRPr="002049D4" w:rsidSect="001731AC">
      <w:pgSz w:w="11900" w:h="16840"/>
      <w:pgMar w:top="1440" w:right="1797" w:bottom="1134" w:left="1797" w:header="709" w:footer="709"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24D0" w:rsidRDefault="00C624D0" w:rsidP="00DC23A2">
      <w:pPr>
        <w:spacing w:after="0" w:line="240" w:lineRule="auto"/>
      </w:pPr>
      <w:r>
        <w:separator/>
      </w:r>
    </w:p>
  </w:endnote>
  <w:endnote w:type="continuationSeparator" w:id="0">
    <w:p w:rsidR="00C624D0" w:rsidRDefault="00C624D0" w:rsidP="00DC23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Sans 100">
    <w:altName w:val="Cambri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Roman">
    <w:panose1 w:val="00000000000000000000"/>
    <w:charset w:val="00"/>
    <w:family w:val="auto"/>
    <w:notTrueType/>
    <w:pitch w:val="default"/>
    <w:sig w:usb0="00000003" w:usb1="00000000" w:usb2="00000000" w:usb3="00000000" w:csb0="00000001" w:csb1="00000000"/>
  </w:font>
  <w:font w:name="StoneSans">
    <w:altName w:val="Cambria"/>
    <w:panose1 w:val="00000000000000000000"/>
    <w:charset w:val="00"/>
    <w:family w:val="swiss"/>
    <w:notTrueType/>
    <w:pitch w:val="default"/>
    <w:sig w:usb0="00000003" w:usb1="00000000" w:usb2="00000000" w:usb3="00000000" w:csb0="00000001" w:csb1="00000000"/>
  </w:font>
  <w:font w:name="StoneSans-Italic">
    <w:panose1 w:val="00000000000000000000"/>
    <w:charset w:val="00"/>
    <w:family w:val="swiss"/>
    <w:notTrueType/>
    <w:pitch w:val="default"/>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AdvP6EC0">
    <w:panose1 w:val="00000000000000000000"/>
    <w:charset w:val="00"/>
    <w:family w:val="auto"/>
    <w:notTrueType/>
    <w:pitch w:val="default"/>
    <w:sig w:usb0="00000003" w:usb1="00000000" w:usb2="00000000" w:usb3="00000000" w:csb0="00000001" w:csb1="00000000"/>
  </w:font>
  <w:font w:name="AdvP5958">
    <w:panose1 w:val="00000000000000000000"/>
    <w:charset w:val="00"/>
    <w:family w:val="auto"/>
    <w:notTrueType/>
    <w:pitch w:val="default"/>
    <w:sig w:usb0="00000003" w:usb1="00000000" w:usb2="00000000" w:usb3="00000000" w:csb0="00000001" w:csb1="00000000"/>
  </w:font>
  <w:font w:name="AdvT001">
    <w:panose1 w:val="00000000000000000000"/>
    <w:charset w:val="00"/>
    <w:family w:val="auto"/>
    <w:notTrueType/>
    <w:pitch w:val="default"/>
    <w:sig w:usb0="00000003" w:usb1="00000000" w:usb2="00000000" w:usb3="00000000" w:csb0="00000001" w:csb1="00000000"/>
  </w:font>
  <w:font w:name="StoneSerif">
    <w:panose1 w:val="00000000000000000000"/>
    <w:charset w:val="00"/>
    <w:family w:val="roman"/>
    <w:notTrueType/>
    <w:pitch w:val="default"/>
    <w:sig w:usb0="00000003" w:usb1="00000000" w:usb2="00000000" w:usb3="00000000" w:csb0="00000001" w:csb1="00000000"/>
  </w:font>
  <w:font w:name="AdvPSBEM">
    <w:panose1 w:val="00000000000000000000"/>
    <w:charset w:val="00"/>
    <w:family w:val="roman"/>
    <w:notTrueType/>
    <w:pitch w:val="default"/>
    <w:sig w:usb0="00000003" w:usb1="00000000" w:usb2="00000000" w:usb3="00000000" w:csb0="00000001" w:csb1="00000000"/>
  </w:font>
  <w:font w:name="Bembo">
    <w:panose1 w:val="00000000000000000000"/>
    <w:charset w:val="00"/>
    <w:family w:val="auto"/>
    <w:notTrueType/>
    <w:pitch w:val="default"/>
    <w:sig w:usb0="00000003" w:usb1="00000000" w:usb2="00000000" w:usb3="00000000" w:csb0="00000001" w:csb1="00000000"/>
  </w:font>
  <w:font w:name="Sabon-Roman">
    <w:altName w:val="Cambria"/>
    <w:panose1 w:val="00000000000000000000"/>
    <w:charset w:val="00"/>
    <w:family w:val="auto"/>
    <w:notTrueType/>
    <w:pitch w:val="default"/>
    <w:sig w:usb0="00000003" w:usb1="00000000" w:usb2="00000000" w:usb3="00000000" w:csb0="00000001" w:csb1="00000000"/>
  </w:font>
  <w:font w:name="BookAntiqua">
    <w:panose1 w:val="00000000000000000000"/>
    <w:charset w:val="00"/>
    <w:family w:val="roman"/>
    <w:notTrueType/>
    <w:pitch w:val="default"/>
    <w:sig w:usb0="00000003" w:usb1="00000000" w:usb2="00000000" w:usb3="00000000" w:csb0="00000001" w:csb1="00000000"/>
  </w:font>
  <w:font w:name="Fd339368-Identity-H">
    <w:panose1 w:val="00000000000000000000"/>
    <w:charset w:val="00"/>
    <w:family w:val="auto"/>
    <w:notTrueType/>
    <w:pitch w:val="default"/>
    <w:sig w:usb0="00000003" w:usb1="00000000" w:usb2="00000000" w:usb3="00000000" w:csb0="00000001" w:csb1="00000000"/>
  </w:font>
  <w:font w:name="AdvP48DAB5">
    <w:panose1 w:val="00000000000000000000"/>
    <w:charset w:val="00"/>
    <w:family w:val="auto"/>
    <w:notTrueType/>
    <w:pitch w:val="default"/>
    <w:sig w:usb0="00000003" w:usb1="00000000" w:usb2="00000000" w:usb3="00000000" w:csb0="00000001" w:csb1="00000000"/>
  </w:font>
  <w:font w:name="Melior">
    <w:panose1 w:val="00000000000000000000"/>
    <w:charset w:val="00"/>
    <w:family w:val="roman"/>
    <w:notTrueType/>
    <w:pitch w:val="default"/>
    <w:sig w:usb0="00000003" w:usb1="00000000" w:usb2="00000000" w:usb3="00000000" w:csb0="00000001" w:csb1="00000000"/>
  </w:font>
  <w:font w:name="Melior-Italic">
    <w:panose1 w:val="00000000000000000000"/>
    <w:charset w:val="00"/>
    <w:family w:val="roman"/>
    <w:notTrueType/>
    <w:pitch w:val="default"/>
    <w:sig w:usb0="00000003" w:usb1="00000000" w:usb2="00000000" w:usb3="00000000" w:csb0="00000001" w:csb1="00000000"/>
  </w:font>
  <w:font w:name="RotisSemiSans-Bold">
    <w:panose1 w:val="00000000000000000000"/>
    <w:charset w:val="00"/>
    <w:family w:val="swiss"/>
    <w:notTrueType/>
    <w:pitch w:val="default"/>
    <w:sig w:usb0="00000003" w:usb1="00000000" w:usb2="00000000" w:usb3="00000000" w:csb0="00000001" w:csb1="00000000"/>
  </w:font>
  <w:font w:name="Times-Italic">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AdvP7B6C">
    <w:panose1 w:val="00000000000000000000"/>
    <w:charset w:val="00"/>
    <w:family w:val="roman"/>
    <w:notTrueType/>
    <w:pitch w:val="default"/>
    <w:sig w:usb0="00000003" w:usb1="00000000" w:usb2="00000000" w:usb3="00000000" w:csb0="00000001" w:csb1="00000000"/>
  </w:font>
  <w:font w:name="VistaSansReg">
    <w:panose1 w:val="00000000000000000000"/>
    <w:charset w:val="00"/>
    <w:family w:val="auto"/>
    <w:notTrueType/>
    <w:pitch w:val="default"/>
    <w:sig w:usb0="00000003" w:usb1="00000000" w:usb2="00000000" w:usb3="00000000" w:csb0="00000001" w:csb1="00000000"/>
  </w:font>
  <w:font w:name="VistaSansRegItalic">
    <w:panose1 w:val="00000000000000000000"/>
    <w:charset w:val="00"/>
    <w:family w:val="auto"/>
    <w:notTrueType/>
    <w:pitch w:val="default"/>
    <w:sig w:usb0="00000003" w:usb1="00000000" w:usb2="00000000" w:usb3="00000000" w:csb0="00000001" w:csb1="00000000"/>
  </w:font>
  <w:font w:name="TrebuchetMS">
    <w:panose1 w:val="00000000000000000000"/>
    <w:charset w:val="00"/>
    <w:family w:val="auto"/>
    <w:notTrueType/>
    <w:pitch w:val="default"/>
    <w:sig w:usb0="00000003" w:usb1="00000000" w:usb2="00000000" w:usb3="00000000" w:csb0="00000001" w:csb1="00000000"/>
  </w:font>
  <w:font w:name="HelveticaNeueLTStd-Lt">
    <w:panose1 w:val="00000000000000000000"/>
    <w:charset w:val="00"/>
    <w:family w:val="swiss"/>
    <w:notTrueType/>
    <w:pitch w:val="default"/>
    <w:sig w:usb0="00000003" w:usb1="00000000" w:usb2="00000000" w:usb3="00000000" w:csb0="00000001" w:csb1="00000000"/>
  </w:font>
  <w:font w:name="AdvGulliv-R">
    <w:panose1 w:val="00000000000000000000"/>
    <w:charset w:val="00"/>
    <w:family w:val="auto"/>
    <w:notTrueType/>
    <w:pitch w:val="default"/>
    <w:sig w:usb0="00000003" w:usb1="00000000" w:usb2="00000000" w:usb3="00000000" w:csb0="00000001" w:csb1="00000000"/>
  </w:font>
  <w:font w:name="AdvGulliv-I">
    <w:panose1 w:val="00000000000000000000"/>
    <w:charset w:val="00"/>
    <w:family w:val="auto"/>
    <w:notTrueType/>
    <w:pitch w:val="default"/>
    <w:sig w:usb0="00000003" w:usb1="00000000" w:usb2="00000000" w:usb3="00000000" w:csb0="00000001" w:csb1="00000000"/>
  </w:font>
  <w:font w:name="CantoriaMT">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dvOT681422bb">
    <w:panose1 w:val="00000000000000000000"/>
    <w:charset w:val="00"/>
    <w:family w:val="swiss"/>
    <w:notTrueType/>
    <w:pitch w:val="default"/>
    <w:sig w:usb0="00000003" w:usb1="00000000" w:usb2="00000000" w:usb3="00000000" w:csb0="00000001" w:csb1="00000000"/>
  </w:font>
  <w:font w:name="AdvOT681422bb+fb">
    <w:panose1 w:val="00000000000000000000"/>
    <w:charset w:val="00"/>
    <w:family w:val="auto"/>
    <w:notTrueType/>
    <w:pitch w:val="default"/>
    <w:sig w:usb0="00000003" w:usb1="00000000" w:usb2="00000000" w:usb3="00000000" w:csb0="00000001" w:csb1="00000000"/>
  </w:font>
  <w:font w:name="Minion-Regular">
    <w:panose1 w:val="00000000000000000000"/>
    <w:charset w:val="00"/>
    <w:family w:val="roman"/>
    <w:notTrueType/>
    <w:pitch w:val="default"/>
    <w:sig w:usb0="00000003" w:usb1="00000000" w:usb2="00000000" w:usb3="00000000" w:csb0="00000001" w:csb1="00000000"/>
  </w:font>
  <w:font w:name="MinionPro-Regular">
    <w:altName w:val="MS Mincho"/>
    <w:panose1 w:val="00000000000000000000"/>
    <w:charset w:val="80"/>
    <w:family w:val="roman"/>
    <w:notTrueType/>
    <w:pitch w:val="default"/>
    <w:sig w:usb0="00000001" w:usb1="080F0000" w:usb2="00000010" w:usb3="00000000" w:csb0="00120000" w:csb1="00000000"/>
  </w:font>
  <w:font w:name="AdvT013">
    <w:altName w:val="MS Mincho"/>
    <w:panose1 w:val="00000000000000000000"/>
    <w:charset w:val="80"/>
    <w:family w:val="auto"/>
    <w:notTrueType/>
    <w:pitch w:val="default"/>
    <w:sig w:usb0="00000001" w:usb1="08070000" w:usb2="00000010" w:usb3="00000000" w:csb0="00020000" w:csb1="00000000"/>
  </w:font>
  <w:font w:name="AdvP46190F">
    <w:panose1 w:val="00000000000000000000"/>
    <w:charset w:val="00"/>
    <w:family w:val="roman"/>
    <w:notTrueType/>
    <w:pitch w:val="default"/>
    <w:sig w:usb0="00000003" w:usb1="00000000" w:usb2="00000000" w:usb3="00000000" w:csb0="00000001" w:csb1="00000000"/>
  </w:font>
  <w:font w:name="StoneSerif-Italic">
    <w:panose1 w:val="00000000000000000000"/>
    <w:charset w:val="00"/>
    <w:family w:val="roman"/>
    <w:notTrueType/>
    <w:pitch w:val="default"/>
    <w:sig w:usb0="00000003" w:usb1="00000000" w:usb2="00000000" w:usb3="00000000" w:csb0="00000001" w:csb1="00000000"/>
  </w:font>
  <w:font w:name="AdvOT681422bb+20">
    <w:panose1 w:val="00000000000000000000"/>
    <w:charset w:val="00"/>
    <w:family w:val="swiss"/>
    <w:notTrueType/>
    <w:pitch w:val="default"/>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TimesNewRoman">
    <w:altName w:val="MS Mincho"/>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TI">
    <w:panose1 w:val="00000000000000000000"/>
    <w:charset w:val="00"/>
    <w:family w:val="roman"/>
    <w:notTrueType/>
    <w:pitch w:val="default"/>
    <w:sig w:usb0="00000003" w:usb1="00000000" w:usb2="00000000" w:usb3="00000000" w:csb0="00000001" w:csb1="00000000"/>
  </w:font>
  <w:font w:name="AdvTR">
    <w:panose1 w:val="00000000000000000000"/>
    <w:charset w:val="00"/>
    <w:family w:val="roman"/>
    <w:notTrueType/>
    <w:pitch w:val="default"/>
    <w:sig w:usb0="00000003" w:usb1="00000000" w:usb2="00000000" w:usb3="00000000" w:csb0="00000001" w:csb1="00000000"/>
  </w:font>
  <w:font w:name="GillSans">
    <w:panose1 w:val="00000000000000000000"/>
    <w:charset w:val="00"/>
    <w:family w:val="roman"/>
    <w:notTrueType/>
    <w:pitch w:val="default"/>
    <w:sig w:usb0="00000003" w:usb1="00000000" w:usb2="00000000" w:usb3="00000000" w:csb0="00000001" w:csb1="00000000"/>
  </w:font>
  <w:font w:name="AdvPSPAL-B">
    <w:panose1 w:val="00000000000000000000"/>
    <w:charset w:val="00"/>
    <w:family w:val="roman"/>
    <w:notTrueType/>
    <w:pitch w:val="default"/>
    <w:sig w:usb0="00000003" w:usb1="00000000" w:usb2="00000000" w:usb3="00000000" w:csb0="00000001" w:csb1="00000000"/>
  </w:font>
  <w:font w:name="F18">
    <w:panose1 w:val="00000000000000000000"/>
    <w:charset w:val="00"/>
    <w:family w:val="swiss"/>
    <w:notTrueType/>
    <w:pitch w:val="default"/>
    <w:sig w:usb0="00000003" w:usb1="00000000" w:usb2="00000000" w:usb3="00000000" w:csb0="00000001" w:csb1="00000000"/>
  </w:font>
  <w:font w:name="AdvPSPAL-R">
    <w:panose1 w:val="00000000000000000000"/>
    <w:charset w:val="00"/>
    <w:family w:val="roman"/>
    <w:notTrueType/>
    <w:pitch w:val="default"/>
    <w:sig w:usb0="00000003" w:usb1="00000000" w:usb2="00000000" w:usb3="00000000" w:csb0="00000001" w:csb1="00000000"/>
  </w:font>
  <w:font w:name="Advpala-ita">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MR10">
    <w:panose1 w:val="00000000000000000000"/>
    <w:charset w:val="00"/>
    <w:family w:val="auto"/>
    <w:notTrueType/>
    <w:pitch w:val="default"/>
    <w:sig w:usb0="00000003" w:usb1="00000000" w:usb2="00000000" w:usb3="00000000" w:csb0="00000001" w:csb1="00000000"/>
  </w:font>
  <w:font w:name="AdvOT863180fb">
    <w:altName w:val="MS Mincho"/>
    <w:panose1 w:val="00000000000000000000"/>
    <w:charset w:val="80"/>
    <w:family w:val="auto"/>
    <w:notTrueType/>
    <w:pitch w:val="default"/>
    <w:sig w:usb0="00000001" w:usb1="08070000" w:usb2="00000010" w:usb3="00000000" w:csb0="00020000" w:csb1="00000000"/>
  </w:font>
  <w:font w:name="AdvP595D">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AdvOTef299c07.I">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Italic">
    <w:panose1 w:val="00000000000000000000"/>
    <w:charset w:val="00"/>
    <w:family w:val="swiss"/>
    <w:notTrueType/>
    <w:pitch w:val="default"/>
    <w:sig w:usb0="00000003" w:usb1="00000000" w:usb2="00000000" w:usb3="00000000" w:csb0="00000001" w:csb1="00000000"/>
  </w:font>
  <w:font w:name="AdvT905">
    <w:panose1 w:val="00000000000000000000"/>
    <w:charset w:val="00"/>
    <w:family w:val="auto"/>
    <w:notTrueType/>
    <w:pitch w:val="default"/>
    <w:sig w:usb0="00000003" w:usb1="00000000" w:usb2="00000000" w:usb3="00000000" w:csb0="00000001" w:csb1="00000000"/>
  </w:font>
  <w:font w:name="AdvT002">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92" w:rsidRDefault="00DF2DF8" w:rsidP="002049D4">
    <w:pPr>
      <w:pStyle w:val="Footer"/>
      <w:framePr w:wrap="around" w:vAnchor="text" w:hAnchor="margin" w:xAlign="right" w:y="1"/>
      <w:rPr>
        <w:rStyle w:val="PageNumber"/>
      </w:rPr>
    </w:pPr>
    <w:r>
      <w:rPr>
        <w:rStyle w:val="PageNumber"/>
      </w:rPr>
      <w:fldChar w:fldCharType="begin"/>
    </w:r>
    <w:r w:rsidR="002B3E92">
      <w:rPr>
        <w:rStyle w:val="PageNumber"/>
      </w:rPr>
      <w:instrText xml:space="preserve">PAGE  </w:instrText>
    </w:r>
    <w:r>
      <w:rPr>
        <w:rStyle w:val="PageNumber"/>
      </w:rPr>
      <w:fldChar w:fldCharType="end"/>
    </w:r>
  </w:p>
  <w:p w:rsidR="002B3E92" w:rsidRDefault="002B3E92" w:rsidP="00C90301">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92" w:rsidRDefault="002B3E92" w:rsidP="00FA7F0D">
    <w:pPr>
      <w:pStyle w:val="Footer"/>
      <w:ind w:right="360"/>
    </w:pPr>
  </w:p>
  <w:p w:rsidR="002B3E92" w:rsidRDefault="002B3E9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92" w:rsidRDefault="00DF2DF8" w:rsidP="00FA7F0D">
    <w:pPr>
      <w:pStyle w:val="Footer"/>
      <w:framePr w:wrap="around" w:vAnchor="text" w:hAnchor="margin" w:xAlign="right" w:y="1"/>
      <w:rPr>
        <w:rStyle w:val="PageNumber"/>
      </w:rPr>
    </w:pPr>
    <w:r>
      <w:rPr>
        <w:rStyle w:val="PageNumber"/>
      </w:rPr>
      <w:fldChar w:fldCharType="begin"/>
    </w:r>
    <w:r w:rsidR="002B3E92">
      <w:rPr>
        <w:rStyle w:val="PageNumber"/>
      </w:rPr>
      <w:instrText xml:space="preserve">PAGE  </w:instrText>
    </w:r>
    <w:r>
      <w:rPr>
        <w:rStyle w:val="PageNumber"/>
      </w:rPr>
      <w:fldChar w:fldCharType="separate"/>
    </w:r>
    <w:r w:rsidR="00C72372">
      <w:rPr>
        <w:rStyle w:val="PageNumber"/>
        <w:noProof/>
      </w:rPr>
      <w:t>xii</w:t>
    </w:r>
    <w:r>
      <w:rPr>
        <w:rStyle w:val="PageNumber"/>
      </w:rPr>
      <w:fldChar w:fldCharType="end"/>
    </w:r>
  </w:p>
  <w:p w:rsidR="002B3E92" w:rsidRDefault="002B3E92" w:rsidP="00011342">
    <w:pPr>
      <w:pStyle w:val="Footer"/>
      <w:framePr w:wrap="around" w:vAnchor="text" w:hAnchor="page" w:x="9721" w:y="69"/>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92" w:rsidRDefault="00DF2DF8" w:rsidP="005A74B4">
    <w:pPr>
      <w:pStyle w:val="Footer"/>
      <w:framePr w:wrap="around" w:vAnchor="text" w:hAnchor="margin" w:xAlign="right" w:y="1"/>
      <w:rPr>
        <w:rStyle w:val="PageNumber"/>
      </w:rPr>
    </w:pPr>
    <w:r>
      <w:rPr>
        <w:rStyle w:val="PageNumber"/>
      </w:rPr>
      <w:fldChar w:fldCharType="begin"/>
    </w:r>
    <w:r w:rsidR="002B3E92">
      <w:rPr>
        <w:rStyle w:val="PageNumber"/>
      </w:rPr>
      <w:instrText xml:space="preserve">PAGE  </w:instrText>
    </w:r>
    <w:r>
      <w:rPr>
        <w:rStyle w:val="PageNumber"/>
      </w:rPr>
      <w:fldChar w:fldCharType="separate"/>
    </w:r>
    <w:r w:rsidR="00C72372">
      <w:rPr>
        <w:rStyle w:val="PageNumber"/>
        <w:noProof/>
      </w:rPr>
      <w:t>430</w:t>
    </w:r>
    <w:r>
      <w:rPr>
        <w:rStyle w:val="PageNumber"/>
      </w:rPr>
      <w:fldChar w:fldCharType="end"/>
    </w:r>
  </w:p>
  <w:p w:rsidR="002B3E92" w:rsidRDefault="002B3E92" w:rsidP="00BA0F0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24D0" w:rsidRDefault="00C624D0" w:rsidP="00DC23A2">
      <w:pPr>
        <w:spacing w:after="0" w:line="240" w:lineRule="auto"/>
      </w:pPr>
      <w:r>
        <w:separator/>
      </w:r>
    </w:p>
  </w:footnote>
  <w:footnote w:type="continuationSeparator" w:id="0">
    <w:p w:rsidR="00C624D0" w:rsidRDefault="00C624D0" w:rsidP="00DC23A2">
      <w:pPr>
        <w:spacing w:after="0" w:line="240" w:lineRule="auto"/>
      </w:pPr>
      <w:r>
        <w:continuationSeparator/>
      </w:r>
    </w:p>
  </w:footnote>
  <w:footnote w:id="1">
    <w:p w:rsidR="002B3E92" w:rsidRPr="001C2844" w:rsidRDefault="002B3E92" w:rsidP="00BB49E2">
      <w:pPr>
        <w:pStyle w:val="FootnoteText"/>
        <w:rPr>
          <w:rFonts w:ascii="Garamond" w:hAnsi="Garamond"/>
        </w:rPr>
      </w:pPr>
      <w:r w:rsidRPr="001C2844">
        <w:rPr>
          <w:rStyle w:val="FootnoteReference"/>
          <w:rFonts w:ascii="Garamond" w:hAnsi="Garamond"/>
        </w:rPr>
        <w:footnoteRef/>
      </w:r>
      <w:r w:rsidRPr="001C2844">
        <w:rPr>
          <w:rFonts w:ascii="Garamond" w:hAnsi="Garamond"/>
        </w:rPr>
        <w:t xml:space="preserve"> See </w:t>
      </w:r>
      <w:r>
        <w:rPr>
          <w:rFonts w:ascii="Garamond" w:eastAsia="Times New Roman" w:hAnsi="Garamond"/>
          <w:lang w:val="en-US"/>
        </w:rPr>
        <w:t xml:space="preserve">Smith (1990), </w:t>
      </w:r>
      <w:r w:rsidRPr="001C2844">
        <w:rPr>
          <w:rFonts w:ascii="Garamond" w:eastAsia="Times New Roman" w:hAnsi="Garamond"/>
          <w:lang w:val="en-US"/>
        </w:rPr>
        <w:t>Yuksel &amp; Mryteza (2009</w:t>
      </w:r>
      <w:r>
        <w:rPr>
          <w:rFonts w:ascii="Garamond" w:eastAsia="Times New Roman" w:hAnsi="Garamond"/>
          <w:lang w:val="en-US"/>
        </w:rPr>
        <w:t>).</w:t>
      </w:r>
    </w:p>
  </w:footnote>
  <w:footnote w:id="2">
    <w:p w:rsidR="002B3E92" w:rsidRPr="00C25292" w:rsidRDefault="002B3E92" w:rsidP="00BB49E2">
      <w:pPr>
        <w:spacing w:after="0" w:line="240" w:lineRule="auto"/>
        <w:jc w:val="both"/>
        <w:rPr>
          <w:rFonts w:ascii="Garamond" w:eastAsia="Times New Roman" w:hAnsi="Garamond"/>
          <w:sz w:val="20"/>
          <w:szCs w:val="20"/>
          <w:lang w:val="en-US"/>
        </w:rPr>
      </w:pPr>
      <w:r w:rsidRPr="00C25292">
        <w:rPr>
          <w:rStyle w:val="FootnoteReference"/>
          <w:rFonts w:ascii="Garamond" w:hAnsi="Garamond"/>
          <w:sz w:val="20"/>
          <w:szCs w:val="20"/>
        </w:rPr>
        <w:footnoteRef/>
      </w:r>
      <w:r w:rsidRPr="00C25292">
        <w:rPr>
          <w:rFonts w:ascii="Garamond" w:hAnsi="Garamond"/>
          <w:sz w:val="20"/>
          <w:szCs w:val="20"/>
        </w:rPr>
        <w:t xml:space="preserve"> </w:t>
      </w:r>
      <w:r w:rsidRPr="00C25292">
        <w:rPr>
          <w:rFonts w:ascii="Garamond" w:eastAsia="Times New Roman" w:hAnsi="Garamond"/>
          <w:sz w:val="20"/>
          <w:szCs w:val="20"/>
          <w:lang w:val="en-US"/>
        </w:rPr>
        <w:t>Four monographs have been published on commodity boycotts in English: two in the second decade of the twentieth century by American trade union scholars Harry Laidler (1913)</w:t>
      </w:r>
      <w:r>
        <w:rPr>
          <w:rFonts w:ascii="Garamond" w:eastAsia="Times New Roman" w:hAnsi="Garamond"/>
          <w:sz w:val="20"/>
          <w:szCs w:val="20"/>
          <w:lang w:val="en-US"/>
        </w:rPr>
        <w:t xml:space="preserve"> and</w:t>
      </w:r>
      <w:r w:rsidRPr="00C25292">
        <w:rPr>
          <w:rFonts w:ascii="Garamond" w:eastAsia="Times New Roman" w:hAnsi="Garamond"/>
          <w:sz w:val="20"/>
          <w:szCs w:val="20"/>
          <w:lang w:val="en-US"/>
        </w:rPr>
        <w:t xml:space="preserve"> Leo Wolman (1914); and two in the 1990s by marketing academics Craig Smith (1990) and Monroe Friedman (1999). Laidler and Wolman wrote with the optimism that commodity boycotts, when used with strikes, could initiate societal transformation and radical forms of political organization. Smith and Friedman's work describes ways to gauge the effectiveness of boycotts by looking at economic and symbolic effects, by examining how markets are moralized, and considering the role of media in advancing the boycott. This sentence is the closest I offer to a definition of a commodity boycott, worked from a reading of the four authors combined with the reasoning (following Friedman, 1999) that buycotts need to be incorporated as a form of boycotting. </w:t>
      </w:r>
    </w:p>
  </w:footnote>
  <w:footnote w:id="3">
    <w:p w:rsidR="002B3E92" w:rsidRPr="00C25292" w:rsidRDefault="002B3E92" w:rsidP="00BB49E2">
      <w:pPr>
        <w:pStyle w:val="FootnoteText"/>
        <w:rPr>
          <w:rFonts w:ascii="Garamond" w:hAnsi="Garamond"/>
        </w:rPr>
      </w:pPr>
      <w:r w:rsidRPr="00C25292">
        <w:rPr>
          <w:rStyle w:val="FootnoteReference"/>
          <w:rFonts w:ascii="Garamond" w:hAnsi="Garamond"/>
        </w:rPr>
        <w:footnoteRef/>
      </w:r>
      <w:r w:rsidRPr="00C25292">
        <w:rPr>
          <w:rFonts w:ascii="Garamond" w:hAnsi="Garamond"/>
        </w:rPr>
        <w:t xml:space="preserve"> The latter three authors here do not refer to fair trade or other forms of ethical consumption as buycotting: see chapter two for a discussion of the situated politics of framing ethical consumption as boycott/buycott campaigns.</w:t>
      </w:r>
    </w:p>
  </w:footnote>
  <w:footnote w:id="4">
    <w:p w:rsidR="002B3E92" w:rsidRPr="00633CC6" w:rsidRDefault="002B3E92" w:rsidP="00BB49E2">
      <w:pPr>
        <w:pStyle w:val="FootnoteText"/>
      </w:pPr>
      <w:r w:rsidRPr="00C25292">
        <w:rPr>
          <w:rStyle w:val="FootnoteReference"/>
          <w:rFonts w:ascii="Garamond" w:hAnsi="Garamond"/>
        </w:rPr>
        <w:footnoteRef/>
      </w:r>
      <w:r w:rsidRPr="00C25292">
        <w:rPr>
          <w:rFonts w:ascii="Garamond" w:hAnsi="Garamond"/>
        </w:rPr>
        <w:t xml:space="preserve"> Some emphasis on the embodied politics of boycotters can be found in Kozinets</w:t>
      </w:r>
      <w:r>
        <w:rPr>
          <w:rFonts w:ascii="Garamond" w:hAnsi="Garamond"/>
        </w:rPr>
        <w:t xml:space="preserve"> and Handelman</w:t>
      </w:r>
      <w:r w:rsidRPr="00C25292">
        <w:rPr>
          <w:rFonts w:ascii="Garamond" w:hAnsi="Garamond"/>
        </w:rPr>
        <w:t xml:space="preserve"> (1998), Midgley (1996), </w:t>
      </w:r>
      <w:r>
        <w:rPr>
          <w:rFonts w:ascii="Garamond" w:hAnsi="Garamond"/>
        </w:rPr>
        <w:t xml:space="preserve">and </w:t>
      </w:r>
      <w:r w:rsidRPr="00C25292">
        <w:rPr>
          <w:rFonts w:ascii="Garamond" w:hAnsi="Garamond"/>
        </w:rPr>
        <w:t>Sheller (2002).</w:t>
      </w:r>
    </w:p>
  </w:footnote>
  <w:footnote w:id="5">
    <w:p w:rsidR="002B3E92" w:rsidRPr="00274F9B" w:rsidRDefault="002B3E92" w:rsidP="00BB49E2">
      <w:pPr>
        <w:pStyle w:val="FootnoteText"/>
        <w:rPr>
          <w:rFonts w:ascii="Garamond" w:hAnsi="Garamond"/>
        </w:rPr>
      </w:pPr>
      <w:r w:rsidRPr="00274F9B">
        <w:rPr>
          <w:rStyle w:val="FootnoteReference"/>
        </w:rPr>
        <w:footnoteRef/>
      </w:r>
      <w:r w:rsidRPr="00274F9B">
        <w:t xml:space="preserve"> </w:t>
      </w:r>
      <w:r w:rsidRPr="00274F9B">
        <w:rPr>
          <w:rFonts w:ascii="Garamond" w:hAnsi="Garamond"/>
        </w:rPr>
        <w:t xml:space="preserve">Antislavery pamphleteer William Fox's </w:t>
      </w:r>
      <w:r w:rsidRPr="00274F9B">
        <w:rPr>
          <w:rFonts w:ascii="Garamond" w:hAnsi="Garamond"/>
          <w:i/>
        </w:rPr>
        <w:t>Address to the People of Great Britain.</w:t>
      </w:r>
      <w:r>
        <w:rPr>
          <w:rFonts w:ascii="Garamond" w:hAnsi="Garamond"/>
        </w:rPr>
        <w:t xml:space="preserve"> Available at:</w:t>
      </w:r>
      <w:r w:rsidRPr="00274F9B">
        <w:rPr>
          <w:rFonts w:ascii="Garamond" w:hAnsi="Garamond"/>
        </w:rPr>
        <w:t xml:space="preserve"> </w:t>
      </w:r>
      <w:hyperlink r:id="rId1" w:history="1">
        <w:r w:rsidRPr="00274F9B">
          <w:rPr>
            <w:rStyle w:val="Hyperlink"/>
            <w:rFonts w:ascii="Garamond" w:hAnsi="Garamond"/>
            <w:color w:val="auto"/>
            <w:u w:val="none"/>
          </w:rPr>
          <w:t>http://www.brown.edu/Facilities /John _Carter_Brown_Library/sugar/images/large/915-001.html</w:t>
        </w:r>
      </w:hyperlink>
      <w:r>
        <w:rPr>
          <w:rFonts w:ascii="Garamond" w:hAnsi="Garamond"/>
        </w:rPr>
        <w:t xml:space="preserve">. (Accessed: 21 September </w:t>
      </w:r>
      <w:r w:rsidRPr="00274F9B">
        <w:rPr>
          <w:rFonts w:ascii="Garamond" w:hAnsi="Garamond"/>
        </w:rPr>
        <w:t>2013</w:t>
      </w:r>
      <w:r>
        <w:rPr>
          <w:rFonts w:ascii="Garamond" w:hAnsi="Garamond"/>
        </w:rPr>
        <w:t>)</w:t>
      </w:r>
      <w:r w:rsidRPr="00274F9B">
        <w:rPr>
          <w:rFonts w:ascii="Garamond" w:hAnsi="Garamond"/>
        </w:rPr>
        <w:t>.</w:t>
      </w:r>
    </w:p>
  </w:footnote>
  <w:footnote w:id="6">
    <w:p w:rsidR="002B3E92" w:rsidRPr="008E0A9C" w:rsidRDefault="002B3E92" w:rsidP="00BB49E2">
      <w:pPr>
        <w:pStyle w:val="FootnoteText"/>
        <w:jc w:val="both"/>
        <w:rPr>
          <w:rFonts w:ascii="Garamond" w:hAnsi="Garamond"/>
        </w:rPr>
      </w:pPr>
      <w:r w:rsidRPr="008E0A9C">
        <w:rPr>
          <w:rStyle w:val="FootnoteReference"/>
          <w:rFonts w:ascii="Garamond" w:hAnsi="Garamond"/>
        </w:rPr>
        <w:footnoteRef/>
      </w:r>
      <w:r w:rsidRPr="008E0A9C">
        <w:rPr>
          <w:rFonts w:ascii="Garamond" w:hAnsi="Garamond"/>
        </w:rPr>
        <w:t xml:space="preserve"> Commodity boycotts do more than literally unveil the commodity fetish as Hartwick's influential paper on geographies of consumption suggests (2000), they </w:t>
      </w:r>
      <w:r>
        <w:rPr>
          <w:rFonts w:ascii="Garamond" w:hAnsi="Garamond"/>
        </w:rPr>
        <w:t>'</w:t>
      </w:r>
      <w:r w:rsidRPr="008E0A9C">
        <w:rPr>
          <w:rFonts w:ascii="Garamond" w:hAnsi="Garamond"/>
        </w:rPr>
        <w:t>get with</w:t>
      </w:r>
      <w:r>
        <w:rPr>
          <w:rFonts w:ascii="Garamond" w:hAnsi="Garamond"/>
        </w:rPr>
        <w:t>'</w:t>
      </w:r>
      <w:r w:rsidRPr="008E0A9C">
        <w:rPr>
          <w:rFonts w:ascii="Garamond" w:hAnsi="Garamond"/>
        </w:rPr>
        <w:t xml:space="preserve"> the magical properties of the fetish and rework it (Goodman, 2004</w:t>
      </w:r>
      <w:r>
        <w:rPr>
          <w:rFonts w:ascii="Garamond" w:hAnsi="Garamond"/>
        </w:rPr>
        <w:t>; Cook et al. 2004</w:t>
      </w:r>
      <w:r w:rsidRPr="008E0A9C">
        <w:rPr>
          <w:rFonts w:ascii="Garamond" w:hAnsi="Garamond"/>
        </w:rPr>
        <w:t xml:space="preserve">). Boycotters submit their tropes of connectivity to the vibrant materiality of matter (Bennett, 2010). </w:t>
      </w:r>
      <w:r>
        <w:rPr>
          <w:rFonts w:ascii="Garamond" w:hAnsi="Garamond"/>
        </w:rPr>
        <w:t>I describe how the materiality of chocolate and citrus can take activisms down specific paths.</w:t>
      </w:r>
    </w:p>
  </w:footnote>
  <w:footnote w:id="7">
    <w:p w:rsidR="002B3E92" w:rsidRDefault="002B3E92" w:rsidP="00BB49E2">
      <w:pPr>
        <w:pStyle w:val="FootnoteText"/>
        <w:jc w:val="both"/>
      </w:pPr>
      <w:r w:rsidRPr="00274F9B">
        <w:rPr>
          <w:rStyle w:val="FootnoteReference"/>
          <w:rFonts w:ascii="Garamond" w:hAnsi="Garamond"/>
        </w:rPr>
        <w:footnoteRef/>
      </w:r>
      <w:r w:rsidRPr="00274F9B">
        <w:rPr>
          <w:rFonts w:ascii="Garamond" w:hAnsi="Garamond"/>
        </w:rPr>
        <w:t xml:space="preserve"> Although anti-trafficking organizations suggest that they are not conducting boycotts of non-fair trade chocolate, I refute this idea by showing that buycotts such as fair trade are a form of commodity boycott.</w:t>
      </w:r>
    </w:p>
  </w:footnote>
  <w:footnote w:id="8">
    <w:p w:rsidR="002B3E92" w:rsidRDefault="002B3E92" w:rsidP="00BB49E2">
      <w:pPr>
        <w:pStyle w:val="FootnoteText"/>
      </w:pPr>
      <w:r>
        <w:rPr>
          <w:rStyle w:val="FootnoteReference"/>
        </w:rPr>
        <w:footnoteRef/>
      </w:r>
      <w:r>
        <w:t xml:space="preserve"> </w:t>
      </w:r>
      <w:r w:rsidRPr="0042556F">
        <w:rPr>
          <w:rFonts w:ascii="Garamond" w:hAnsi="Garamond"/>
        </w:rPr>
        <w:t>Ground</w:t>
      </w:r>
      <w:r>
        <w:rPr>
          <w:rFonts w:ascii="Garamond" w:hAnsi="Garamond"/>
        </w:rPr>
        <w:t>ed theory uses coding and cross-</w:t>
      </w:r>
      <w:r w:rsidRPr="0042556F">
        <w:rPr>
          <w:rFonts w:ascii="Garamond" w:hAnsi="Garamond"/>
        </w:rPr>
        <w:t>referencing interview data with campaign material, press releases etc</w:t>
      </w:r>
      <w:r>
        <w:rPr>
          <w:rFonts w:ascii="Garamond" w:hAnsi="Garamond"/>
        </w:rPr>
        <w:t>.</w:t>
      </w:r>
      <w:r w:rsidRPr="0042556F">
        <w:rPr>
          <w:rFonts w:ascii="Garamond" w:hAnsi="Garamond"/>
        </w:rPr>
        <w:t>, to identify perceptions, identities and emotions used by organizations and social movements (see Mattoni, 2013</w:t>
      </w:r>
      <w:r>
        <w:rPr>
          <w:rFonts w:ascii="Garamond" w:hAnsi="Garamond"/>
        </w:rPr>
        <w:t>).</w:t>
      </w:r>
    </w:p>
  </w:footnote>
  <w:footnote w:id="9">
    <w:p w:rsidR="002B3E92" w:rsidRPr="00753129" w:rsidRDefault="002B3E92" w:rsidP="00BB49E2">
      <w:pPr>
        <w:pStyle w:val="FootnoteText"/>
        <w:contextualSpacing/>
      </w:pPr>
      <w:r w:rsidRPr="0042556F">
        <w:rPr>
          <w:rStyle w:val="FootnoteReference"/>
          <w:rFonts w:ascii="Garamond" w:hAnsi="Garamond"/>
        </w:rPr>
        <w:footnoteRef/>
      </w:r>
      <w:r w:rsidRPr="0042556F">
        <w:rPr>
          <w:rFonts w:ascii="Garamond" w:hAnsi="Garamond"/>
        </w:rPr>
        <w:t xml:space="preserve"> See Cloke et al. 2004, pp. 329-331 for a discussion on the recognition that research grows from two bodies (researched and researcher) in a hermeneutic cycle. The type of dialogue and the power-relations of my interactions with respondents from both organizations varied significantly.</w:t>
      </w:r>
    </w:p>
  </w:footnote>
  <w:footnote w:id="10">
    <w:p w:rsidR="002B3E92" w:rsidRPr="007474DE" w:rsidRDefault="002B3E92" w:rsidP="00BB49E2">
      <w:pPr>
        <w:pStyle w:val="FootnoteText"/>
        <w:jc w:val="both"/>
        <w:rPr>
          <w:rFonts w:ascii="Garamond" w:hAnsi="Garamond"/>
        </w:rPr>
      </w:pPr>
      <w:r w:rsidRPr="00753129">
        <w:rPr>
          <w:rStyle w:val="FootnoteReference"/>
          <w:rFonts w:ascii="Garamond" w:hAnsi="Garamond"/>
        </w:rPr>
        <w:footnoteRef/>
      </w:r>
      <w:r w:rsidRPr="00753129">
        <w:rPr>
          <w:rFonts w:ascii="Garamond" w:hAnsi="Garamond"/>
        </w:rPr>
        <w:t xml:space="preserve"> At various points in the research process</w:t>
      </w:r>
      <w:r>
        <w:rPr>
          <w:rFonts w:ascii="Garamond" w:hAnsi="Garamond"/>
        </w:rPr>
        <w:t xml:space="preserve">, </w:t>
      </w:r>
      <w:r w:rsidRPr="00753129">
        <w:rPr>
          <w:rFonts w:ascii="Garamond" w:hAnsi="Garamond"/>
        </w:rPr>
        <w:t>ruptures between interpretive frames has led to insights</w:t>
      </w:r>
      <w:r w:rsidRPr="007474DE">
        <w:rPr>
          <w:rFonts w:ascii="Garamond" w:hAnsi="Garamond"/>
        </w:rPr>
        <w:t xml:space="preserve"> on the production and utility of anti-trafficking and anti-apartheid knowledge (e.g. when activists defer to international protocols and</w:t>
      </w:r>
      <w:r>
        <w:rPr>
          <w:rFonts w:ascii="Garamond" w:hAnsi="Garamond"/>
        </w:rPr>
        <w:t xml:space="preserve"> laws for explaining meaning), </w:t>
      </w:r>
      <w:r w:rsidRPr="007474DE">
        <w:rPr>
          <w:rFonts w:ascii="Garamond" w:hAnsi="Garamond"/>
        </w:rPr>
        <w:t>and to a less productive loss of dialogue.</w:t>
      </w:r>
    </w:p>
  </w:footnote>
  <w:footnote w:id="11">
    <w:p w:rsidR="002B3E92" w:rsidRPr="00753129" w:rsidRDefault="002B3E92" w:rsidP="00BB49E2">
      <w:pPr>
        <w:autoSpaceDE w:val="0"/>
        <w:autoSpaceDN w:val="0"/>
        <w:adjustRightInd w:val="0"/>
        <w:spacing w:after="0" w:line="240" w:lineRule="auto"/>
        <w:jc w:val="both"/>
        <w:rPr>
          <w:rFonts w:ascii="StoneSans" w:hAnsi="StoneSans" w:cs="StoneSans"/>
          <w:sz w:val="20"/>
          <w:szCs w:val="20"/>
        </w:rPr>
      </w:pPr>
      <w:r w:rsidRPr="00753129">
        <w:rPr>
          <w:rStyle w:val="FootnoteReference"/>
          <w:rFonts w:ascii="Garamond" w:hAnsi="Garamond"/>
          <w:sz w:val="20"/>
          <w:szCs w:val="20"/>
        </w:rPr>
        <w:footnoteRef/>
      </w:r>
      <w:r w:rsidRPr="00753129">
        <w:rPr>
          <w:rFonts w:ascii="Garamond" w:hAnsi="Garamond"/>
          <w:sz w:val="20"/>
          <w:szCs w:val="20"/>
        </w:rPr>
        <w:t xml:space="preserve"> The authors suggest that practitioners tend to produce 'knowledge as technology' in comparison to critical geographic knowledge production</w:t>
      </w:r>
      <w:r>
        <w:rPr>
          <w:rFonts w:ascii="Garamond" w:hAnsi="Garamond"/>
          <w:sz w:val="20"/>
          <w:szCs w:val="20"/>
        </w:rPr>
        <w:t>,</w:t>
      </w:r>
      <w:r w:rsidRPr="00753129">
        <w:rPr>
          <w:rFonts w:ascii="Garamond" w:hAnsi="Garamond"/>
          <w:sz w:val="20"/>
          <w:szCs w:val="20"/>
        </w:rPr>
        <w:t xml:space="preserve"> which is more attuned to epistemology.</w:t>
      </w:r>
    </w:p>
  </w:footnote>
  <w:footnote w:id="12">
    <w:p w:rsidR="002B3E92" w:rsidRDefault="002B3E92" w:rsidP="00BB49E2">
      <w:pPr>
        <w:pStyle w:val="FootnoteText"/>
      </w:pPr>
      <w:r w:rsidRPr="007474DE">
        <w:rPr>
          <w:rStyle w:val="FootnoteReference"/>
          <w:rFonts w:ascii="Garamond" w:hAnsi="Garamond"/>
        </w:rPr>
        <w:footnoteRef/>
      </w:r>
      <w:r w:rsidRPr="007474DE">
        <w:rPr>
          <w:rFonts w:ascii="Garamond" w:hAnsi="Garamond"/>
        </w:rPr>
        <w:t xml:space="preserve"> Social movements produce various repertoires of communication to encourage and sustain interaction</w:t>
      </w:r>
      <w:r>
        <w:rPr>
          <w:rFonts w:ascii="Garamond" w:hAnsi="Garamond"/>
        </w:rPr>
        <w:t>s in broad political arenas (Teu</w:t>
      </w:r>
      <w:r w:rsidRPr="007474DE">
        <w:rPr>
          <w:rFonts w:ascii="Garamond" w:hAnsi="Garamond"/>
        </w:rPr>
        <w:t>ne, 2009</w:t>
      </w:r>
      <w:r>
        <w:rPr>
          <w:rFonts w:ascii="Garamond" w:hAnsi="Garamond"/>
        </w:rPr>
        <w:t>;</w:t>
      </w:r>
      <w:r w:rsidRPr="007474DE">
        <w:rPr>
          <w:rFonts w:ascii="Garamond" w:hAnsi="Garamond"/>
        </w:rPr>
        <w:t xml:space="preserve"> Mattoni, 2013).</w:t>
      </w:r>
      <w:r>
        <w:t xml:space="preserve"> </w:t>
      </w:r>
    </w:p>
  </w:footnote>
  <w:footnote w:id="13">
    <w:p w:rsidR="002B3E92" w:rsidRPr="00E53286" w:rsidRDefault="002B3E92" w:rsidP="00BB49E2">
      <w:pPr>
        <w:pStyle w:val="FootnoteText"/>
        <w:rPr>
          <w:rFonts w:ascii="Garamond" w:hAnsi="Garamond"/>
        </w:rPr>
      </w:pPr>
      <w:r w:rsidRPr="00E53286">
        <w:rPr>
          <w:rStyle w:val="FootnoteReference"/>
          <w:rFonts w:ascii="Garamond" w:hAnsi="Garamond"/>
        </w:rPr>
        <w:footnoteRef/>
      </w:r>
      <w:r w:rsidRPr="00E53286">
        <w:rPr>
          <w:rFonts w:ascii="Garamond" w:hAnsi="Garamond"/>
        </w:rPr>
        <w:t xml:space="preserve"> </w:t>
      </w:r>
      <w:r>
        <w:rPr>
          <w:rFonts w:ascii="Garamond" w:hAnsi="Garamond"/>
        </w:rPr>
        <w:t>However, in Chapter Five</w:t>
      </w:r>
      <w:r w:rsidRPr="00E53286">
        <w:rPr>
          <w:rFonts w:ascii="Garamond" w:hAnsi="Garamond"/>
        </w:rPr>
        <w:t xml:space="preserve"> I take a more deductive approach to analysis in working STT's communicative paradigms into structures of political economy.</w:t>
      </w:r>
    </w:p>
  </w:footnote>
  <w:footnote w:id="14">
    <w:p w:rsidR="002B3E92" w:rsidRPr="00E53286" w:rsidRDefault="002B3E92" w:rsidP="00BB49E2">
      <w:pPr>
        <w:pStyle w:val="FootnoteText"/>
        <w:rPr>
          <w:rFonts w:ascii="Garamond" w:hAnsi="Garamond"/>
        </w:rPr>
      </w:pPr>
      <w:r w:rsidRPr="00E53286">
        <w:rPr>
          <w:rStyle w:val="FootnoteReference"/>
          <w:rFonts w:ascii="Garamond" w:hAnsi="Garamond"/>
        </w:rPr>
        <w:footnoteRef/>
      </w:r>
      <w:r w:rsidRPr="00E53286">
        <w:rPr>
          <w:rFonts w:ascii="Garamond" w:hAnsi="Garamond"/>
        </w:rPr>
        <w:t xml:space="preserve"> </w:t>
      </w:r>
      <w:r w:rsidRPr="00E53286">
        <w:rPr>
          <w:rFonts w:ascii="Garamond" w:hAnsi="Garamond" w:cs="Times New Roman"/>
        </w:rPr>
        <w:t>Where possible</w:t>
      </w:r>
      <w:r>
        <w:rPr>
          <w:rFonts w:ascii="Garamond" w:hAnsi="Garamond" w:cs="Times New Roman"/>
        </w:rPr>
        <w:t>,</w:t>
      </w:r>
      <w:r w:rsidRPr="00E53286">
        <w:rPr>
          <w:rFonts w:ascii="Garamond" w:hAnsi="Garamond" w:cs="Times New Roman"/>
        </w:rPr>
        <w:t xml:space="preserve"> my process</w:t>
      </w:r>
      <w:r>
        <w:rPr>
          <w:rFonts w:ascii="Garamond" w:hAnsi="Garamond" w:cs="Times New Roman"/>
        </w:rPr>
        <w:t xml:space="preserve"> has been to work outwards from</w:t>
      </w:r>
      <w:r w:rsidRPr="00E53286">
        <w:rPr>
          <w:rFonts w:ascii="Garamond" w:hAnsi="Garamond" w:cs="Times New Roman"/>
        </w:rPr>
        <w:t xml:space="preserve"> information contained in policy documents, private correspondence, interview transcripts, oral histories, visual representations and campaign texts. To extrapolate patterns or contradictions from the informatio</w:t>
      </w:r>
      <w:r>
        <w:rPr>
          <w:rFonts w:ascii="Garamond" w:hAnsi="Garamond" w:cs="Times New Roman"/>
        </w:rPr>
        <w:t>n, I ask questions of the data. H</w:t>
      </w:r>
      <w:r w:rsidRPr="00E53286">
        <w:rPr>
          <w:rFonts w:ascii="Garamond" w:hAnsi="Garamond" w:cs="Times New Roman"/>
        </w:rPr>
        <w:t>ow is the information situated? What are its contexts? How is it framed?</w:t>
      </w:r>
      <w:r>
        <w:rPr>
          <w:rFonts w:ascii="Garamond" w:hAnsi="Garamond" w:cs="Times New Roman"/>
        </w:rPr>
        <w:t xml:space="preserve"> </w:t>
      </w:r>
    </w:p>
  </w:footnote>
  <w:footnote w:id="15">
    <w:p w:rsidR="002B3E92" w:rsidRPr="00E53286" w:rsidRDefault="002B3E92" w:rsidP="00BB49E2">
      <w:pPr>
        <w:pStyle w:val="FootnoteText"/>
        <w:rPr>
          <w:rFonts w:ascii="Garamond" w:hAnsi="Garamond"/>
        </w:rPr>
      </w:pPr>
      <w:r w:rsidRPr="00E53286">
        <w:rPr>
          <w:rStyle w:val="FootnoteReference"/>
          <w:rFonts w:ascii="Garamond" w:hAnsi="Garamond"/>
        </w:rPr>
        <w:footnoteRef/>
      </w:r>
      <w:r w:rsidRPr="00E53286">
        <w:rPr>
          <w:rFonts w:ascii="Garamond" w:hAnsi="Garamond"/>
        </w:rPr>
        <w:t xml:space="preserve"> The </w:t>
      </w:r>
      <w:r>
        <w:rPr>
          <w:rFonts w:ascii="Garamond" w:hAnsi="Garamond"/>
        </w:rPr>
        <w:t xml:space="preserve">chronology of the research (2009-2013) includes nine </w:t>
      </w:r>
      <w:r w:rsidRPr="00E53286">
        <w:rPr>
          <w:rFonts w:ascii="Garamond" w:hAnsi="Garamond"/>
        </w:rPr>
        <w:t xml:space="preserve">months of official interruption from studies resulting from illness (November 2009- June 2011, and July 2013-November 2013). </w:t>
      </w:r>
    </w:p>
  </w:footnote>
  <w:footnote w:id="16">
    <w:p w:rsidR="002B3E92" w:rsidRDefault="002B3E92" w:rsidP="00BB49E2">
      <w:pPr>
        <w:pStyle w:val="FootnoteText"/>
      </w:pPr>
      <w:r>
        <w:rPr>
          <w:rStyle w:val="FootnoteReference"/>
        </w:rPr>
        <w:footnoteRef/>
      </w:r>
      <w:r>
        <w:t xml:space="preserve"> </w:t>
      </w:r>
      <w:r w:rsidRPr="00E53286">
        <w:t>F</w:t>
      </w:r>
      <w:r w:rsidRPr="00E53286">
        <w:rPr>
          <w:rFonts w:ascii="Garamond" w:hAnsi="Garamond" w:cs="Times New Roman"/>
        </w:rPr>
        <w:t xml:space="preserve">or </w:t>
      </w:r>
      <w:r>
        <w:rPr>
          <w:rFonts w:ascii="Garamond" w:hAnsi="Garamond" w:cs="Times New Roman"/>
        </w:rPr>
        <w:t>example, I have found that lucid interview data has come from relaxed conversations recorded with activists while conducting archival research and using ephemera as conversational props. Through</w:t>
      </w:r>
      <w:r w:rsidRPr="00E53286">
        <w:rPr>
          <w:rFonts w:ascii="Garamond" w:hAnsi="Garamond" w:cs="Times New Roman"/>
        </w:rPr>
        <w:t xml:space="preserve"> blogging </w:t>
      </w:r>
      <w:r>
        <w:rPr>
          <w:rFonts w:ascii="Garamond" w:hAnsi="Garamond" w:cs="Times New Roman"/>
        </w:rPr>
        <w:t xml:space="preserve">various topics of my research </w:t>
      </w:r>
      <w:r w:rsidRPr="00E53286">
        <w:rPr>
          <w:rFonts w:ascii="Garamond" w:hAnsi="Garamond" w:cs="Times New Roman"/>
        </w:rPr>
        <w:t>over the last year,</w:t>
      </w:r>
      <w:r>
        <w:rPr>
          <w:rFonts w:ascii="Garamond" w:hAnsi="Garamond" w:cs="Times New Roman"/>
        </w:rPr>
        <w:t xml:space="preserve"> I have enabled relationships with new respondents. Blogging has become a methodological tool for me to facilitate gateways into new research possibilities.    </w:t>
      </w:r>
    </w:p>
  </w:footnote>
  <w:footnote w:id="17">
    <w:p w:rsidR="002B3E92" w:rsidRPr="00E53286" w:rsidRDefault="002B3E92" w:rsidP="00BB49E2">
      <w:pPr>
        <w:pStyle w:val="FootnoteText"/>
        <w:rPr>
          <w:rFonts w:ascii="Garamond" w:hAnsi="Garamond"/>
        </w:rPr>
      </w:pPr>
      <w:r w:rsidRPr="006E5AA4">
        <w:rPr>
          <w:rStyle w:val="FootnoteReference"/>
          <w:rFonts w:ascii="Garamond" w:hAnsi="Garamond"/>
        </w:rPr>
        <w:footnoteRef/>
      </w:r>
      <w:r w:rsidRPr="006E5AA4">
        <w:rPr>
          <w:rFonts w:ascii="Garamond" w:hAnsi="Garamond"/>
        </w:rPr>
        <w:t xml:space="preserve"> In July 2010 I </w:t>
      </w:r>
      <w:r w:rsidRPr="006E5AA4">
        <w:rPr>
          <w:rFonts w:ascii="Garamond" w:hAnsi="Garamond" w:cs="Times New Roman"/>
        </w:rPr>
        <w:t>learnt</w:t>
      </w:r>
      <w:r>
        <w:rPr>
          <w:rFonts w:ascii="Garamond" w:hAnsi="Garamond" w:cs="Times New Roman"/>
        </w:rPr>
        <w:t xml:space="preserve"> that Richardson-Ngwenya's (2009</w:t>
      </w:r>
      <w:r w:rsidRPr="006E5AA4">
        <w:rPr>
          <w:rFonts w:ascii="Garamond" w:hAnsi="Garamond" w:cs="Times New Roman"/>
        </w:rPr>
        <w:t xml:space="preserve">) excellent thesis on Caribbean sugar networks would bring materialist analyses of the anti-saccharites to the fore. </w:t>
      </w:r>
      <w:r>
        <w:rPr>
          <w:rFonts w:ascii="Garamond" w:hAnsi="Garamond" w:cs="Times New Roman"/>
        </w:rPr>
        <w:t xml:space="preserve">What initially seemed bad news </w:t>
      </w:r>
      <w:r w:rsidRPr="006E5AA4">
        <w:rPr>
          <w:rFonts w:ascii="Garamond" w:hAnsi="Garamond" w:cs="Times New Roman"/>
        </w:rPr>
        <w:t>became the catalyst for pressing ahead with a new focus on anti-apartheid and anti-trafficking.</w:t>
      </w:r>
      <w:r>
        <w:rPr>
          <w:rFonts w:ascii="Garamond" w:hAnsi="Garamond" w:cs="Times New Roman"/>
        </w:rPr>
        <w:t xml:space="preserve">  </w:t>
      </w:r>
    </w:p>
  </w:footnote>
  <w:footnote w:id="18">
    <w:p w:rsidR="002B3E92" w:rsidRDefault="002B3E92"/>
    <w:p w:rsidR="002B3E92" w:rsidRDefault="002B3E92" w:rsidP="00BB49E2">
      <w:pPr>
        <w:pStyle w:val="FootnoteText"/>
      </w:pPr>
    </w:p>
  </w:footnote>
  <w:footnote w:id="19">
    <w:p w:rsidR="002B3E92" w:rsidRPr="00BB2602" w:rsidRDefault="002B3E92" w:rsidP="002049D4">
      <w:pPr>
        <w:pStyle w:val="FootnoteText"/>
        <w:jc w:val="both"/>
        <w:rPr>
          <w:rFonts w:ascii="Garamond" w:hAnsi="Garamond"/>
        </w:rPr>
      </w:pPr>
      <w:r w:rsidRPr="00BB2602">
        <w:rPr>
          <w:rStyle w:val="FootnoteReference"/>
          <w:rFonts w:ascii="Garamond" w:hAnsi="Garamond"/>
        </w:rPr>
        <w:footnoteRef/>
      </w:r>
      <w:r w:rsidRPr="00BB2602">
        <w:rPr>
          <w:rFonts w:ascii="Garamond" w:hAnsi="Garamond"/>
        </w:rPr>
        <w:t xml:space="preserve"> The </w:t>
      </w:r>
      <w:r w:rsidRPr="00BB2602">
        <w:rPr>
          <w:rFonts w:ascii="Garamond" w:eastAsia="Times New Roman" w:hAnsi="Garamond" w:cs="Times New Roman"/>
          <w:color w:val="000000"/>
          <w:szCs w:val="24"/>
          <w:shd w:val="clear" w:color="auto" w:fill="FFFFFF"/>
          <w:lang w:eastAsia="en-GB"/>
        </w:rPr>
        <w:t>'</w:t>
      </w:r>
      <w:r w:rsidRPr="00BB2602">
        <w:rPr>
          <w:rFonts w:ascii="Garamond" w:hAnsi="Garamond"/>
        </w:rPr>
        <w:t>lowest threshold</w:t>
      </w:r>
      <w:r w:rsidRPr="00BB2602">
        <w:rPr>
          <w:rFonts w:ascii="Garamond" w:eastAsia="Times New Roman" w:hAnsi="Garamond" w:cs="Times New Roman"/>
          <w:color w:val="000000"/>
          <w:szCs w:val="24"/>
          <w:shd w:val="clear" w:color="auto" w:fill="FFFFFF"/>
          <w:lang w:eastAsia="en-GB"/>
        </w:rPr>
        <w:t>'</w:t>
      </w:r>
      <w:r w:rsidRPr="00BB2602">
        <w:rPr>
          <w:rFonts w:ascii="Garamond" w:hAnsi="Garamond"/>
        </w:rPr>
        <w:t xml:space="preserve"> in BOA ideology did not allude solely to the working class. It also referred to the extensive reach of oranges. Hunger and thirst are the lowest threshold – all people need food and drink to exist.   </w:t>
      </w:r>
    </w:p>
  </w:footnote>
  <w:footnote w:id="20">
    <w:p w:rsidR="002B3E92" w:rsidRPr="00E53286" w:rsidRDefault="002B3E92" w:rsidP="002049D4">
      <w:pPr>
        <w:pStyle w:val="FootnoteText"/>
        <w:jc w:val="both"/>
        <w:rPr>
          <w:rFonts w:ascii="Garamond" w:hAnsi="Garamond"/>
        </w:rPr>
      </w:pPr>
      <w:r w:rsidRPr="00E53286">
        <w:rPr>
          <w:rStyle w:val="FootnoteReference"/>
          <w:rFonts w:ascii="Garamond" w:hAnsi="Garamond"/>
        </w:rPr>
        <w:footnoteRef/>
      </w:r>
      <w:r w:rsidRPr="00E53286">
        <w:rPr>
          <w:rFonts w:ascii="Garamond" w:hAnsi="Garamond"/>
        </w:rPr>
        <w:t xml:space="preserve"> </w:t>
      </w:r>
      <w:r w:rsidRPr="00E53286">
        <w:rPr>
          <w:rFonts w:ascii="Garamond" w:hAnsi="Garamond"/>
          <w:lang w:val="en-US"/>
        </w:rPr>
        <w:t>Mather &amp; Mac</w:t>
      </w:r>
      <w:r>
        <w:rPr>
          <w:rFonts w:ascii="Garamond" w:hAnsi="Garamond"/>
          <w:lang w:val="en-US"/>
        </w:rPr>
        <w:t xml:space="preserve">kenzie (2006) interview former Outspan Girls </w:t>
      </w:r>
      <w:r w:rsidRPr="00E53286">
        <w:rPr>
          <w:rFonts w:ascii="Garamond" w:hAnsi="Garamond"/>
          <w:lang w:val="en-US"/>
        </w:rPr>
        <w:t>and discuss the ways in which the young, white, South African women were sent to the Citrus Exchange for training to promote a sanitized, healthy and vibrant South Africa to European pub</w:t>
      </w:r>
      <w:r>
        <w:rPr>
          <w:rFonts w:ascii="Garamond" w:hAnsi="Garamond"/>
          <w:lang w:val="en-US"/>
        </w:rPr>
        <w:t>lics. The authors argue that d</w:t>
      </w:r>
      <w:r w:rsidRPr="00E53286">
        <w:rPr>
          <w:rFonts w:ascii="Garamond" w:hAnsi="Garamond"/>
          <w:lang w:val="en-US"/>
        </w:rPr>
        <w:t>eferring co</w:t>
      </w:r>
      <w:r>
        <w:rPr>
          <w:rFonts w:ascii="Garamond" w:hAnsi="Garamond"/>
          <w:lang w:val="en-US"/>
        </w:rPr>
        <w:t xml:space="preserve">nsumption knowledges to health meant that the Outspan Girls </w:t>
      </w:r>
      <w:r w:rsidRPr="00E53286">
        <w:rPr>
          <w:rFonts w:ascii="Garamond" w:hAnsi="Garamond"/>
          <w:lang w:val="en-US"/>
        </w:rPr>
        <w:t>could deflect attention from apartheid to the discursive formation of the beautiful, healthy and vibrant consume</w:t>
      </w:r>
      <w:r>
        <w:rPr>
          <w:rFonts w:ascii="Garamond" w:hAnsi="Garamond"/>
          <w:lang w:val="en-US"/>
        </w:rPr>
        <w:t>r body. Reference to the BOA’s Inspan Girls</w:t>
      </w:r>
      <w:r w:rsidRPr="00E53286">
        <w:rPr>
          <w:rFonts w:ascii="Garamond" w:hAnsi="Garamond"/>
          <w:lang w:val="en-US"/>
        </w:rPr>
        <w:t xml:space="preserve"> are limited to a few sentences, and they are not interviewed.</w:t>
      </w:r>
    </w:p>
  </w:footnote>
  <w:footnote w:id="21">
    <w:p w:rsidR="002B3E92" w:rsidRPr="00E53286" w:rsidRDefault="002B3E92" w:rsidP="002049D4">
      <w:pPr>
        <w:pStyle w:val="FootnoteText"/>
        <w:jc w:val="both"/>
        <w:rPr>
          <w:rFonts w:ascii="Garamond" w:hAnsi="Garamond"/>
        </w:rPr>
      </w:pPr>
      <w:r w:rsidRPr="00E53286">
        <w:rPr>
          <w:rStyle w:val="FootnoteReference"/>
          <w:rFonts w:ascii="Garamond" w:hAnsi="Garamond"/>
        </w:rPr>
        <w:footnoteRef/>
      </w:r>
      <w:r w:rsidRPr="00E53286">
        <w:rPr>
          <w:rFonts w:ascii="Garamond" w:hAnsi="Garamond"/>
        </w:rPr>
        <w:t xml:space="preserve">Anti-apartheid archives at </w:t>
      </w:r>
      <w:r w:rsidRPr="00E53286">
        <w:rPr>
          <w:rFonts w:ascii="Garamond" w:hAnsi="Garamond"/>
          <w:i/>
        </w:rPr>
        <w:t>The International Institute of Social History</w:t>
      </w:r>
      <w:r w:rsidRPr="00E53286">
        <w:rPr>
          <w:rFonts w:ascii="Garamond" w:hAnsi="Garamond"/>
        </w:rPr>
        <w:t>, based in Amsterdam.</w:t>
      </w:r>
    </w:p>
  </w:footnote>
  <w:footnote w:id="22">
    <w:p w:rsidR="002B3E92" w:rsidRPr="0086692E" w:rsidRDefault="002B3E92" w:rsidP="00BB49E2">
      <w:pPr>
        <w:pStyle w:val="FootnoteText"/>
        <w:jc w:val="both"/>
        <w:rPr>
          <w:rFonts w:ascii="Times New Roman" w:hAnsi="Times New Roman"/>
        </w:rPr>
      </w:pPr>
      <w:r w:rsidRPr="00E53286">
        <w:rPr>
          <w:rStyle w:val="FootnoteReference"/>
          <w:rFonts w:ascii="Garamond" w:hAnsi="Garamond"/>
        </w:rPr>
        <w:footnoteRef/>
      </w:r>
      <w:r>
        <w:rPr>
          <w:rFonts w:ascii="Garamond" w:hAnsi="Garamond"/>
        </w:rPr>
        <w:t xml:space="preserve"> </w:t>
      </w:r>
      <w:r w:rsidRPr="00E53286">
        <w:rPr>
          <w:rFonts w:ascii="Garamond" w:hAnsi="Garamond"/>
        </w:rPr>
        <w:t>During provisional investigations into the BOA</w:t>
      </w:r>
      <w:r>
        <w:rPr>
          <w:rFonts w:ascii="Garamond" w:hAnsi="Garamond"/>
        </w:rPr>
        <w:t>,</w:t>
      </w:r>
      <w:r w:rsidRPr="00E53286">
        <w:rPr>
          <w:rFonts w:ascii="Garamond" w:hAnsi="Garamond"/>
        </w:rPr>
        <w:t xml:space="preserve"> I contacted Charles Mather about the extent and scope of his work on the BOA. The research was tailored for the chapter for </w:t>
      </w:r>
      <w:r w:rsidRPr="00E53286">
        <w:rPr>
          <w:rFonts w:ascii="Garamond" w:hAnsi="Garamond"/>
          <w:i/>
        </w:rPr>
        <w:t>Commodity Chains</w:t>
      </w:r>
      <w:r>
        <w:rPr>
          <w:rFonts w:ascii="Garamond" w:hAnsi="Garamond"/>
          <w:i/>
        </w:rPr>
        <w:t>,</w:t>
      </w:r>
      <w:r w:rsidRPr="00E53286">
        <w:rPr>
          <w:rFonts w:ascii="Garamond" w:hAnsi="Garamond"/>
          <w:i/>
        </w:rPr>
        <w:t xml:space="preserve"> </w:t>
      </w:r>
      <w:r w:rsidRPr="00E53286">
        <w:rPr>
          <w:rFonts w:ascii="Garamond" w:hAnsi="Garamond"/>
        </w:rPr>
        <w:t>which focuses on the displacement of geographical knowledge and the representation of O</w:t>
      </w:r>
      <w:r>
        <w:rPr>
          <w:rFonts w:ascii="Garamond" w:hAnsi="Garamond"/>
        </w:rPr>
        <w:t>utspan and apartheid. Mather &amp;</w:t>
      </w:r>
      <w:r w:rsidRPr="00E53286">
        <w:rPr>
          <w:rFonts w:ascii="Garamond" w:hAnsi="Garamond"/>
        </w:rPr>
        <w:t xml:space="preserve"> Mackenzie did not interview former BOA members or associates. This might explain the casual interchange of ascribing agency for the Outspan boycott to the BOA, and at other times to the ‘Dutch Anti-Apartheid Movement’. The Dutch anti-apartheid movement should not be presented as a u</w:t>
      </w:r>
      <w:r>
        <w:rPr>
          <w:rFonts w:ascii="Garamond" w:hAnsi="Garamond"/>
        </w:rPr>
        <w:t>nified whole, it was characteriz</w:t>
      </w:r>
      <w:r w:rsidRPr="00E53286">
        <w:rPr>
          <w:rFonts w:ascii="Garamond" w:hAnsi="Garamond"/>
        </w:rPr>
        <w:t>ed by five main organizations with distinct methods, agendas and ideologies (Grundy,</w:t>
      </w:r>
      <w:r>
        <w:rPr>
          <w:rFonts w:ascii="Garamond" w:hAnsi="Garamond"/>
        </w:rPr>
        <w:t xml:space="preserve"> 1974; Klein, 2001; Bosgra, 2008</w:t>
      </w:r>
      <w:r w:rsidRPr="00E53286">
        <w:rPr>
          <w:rFonts w:ascii="Garamond" w:hAnsi="Garamond"/>
        </w:rPr>
        <w:t>). Their multiplicity was at times the source of conflict, but it had positives in provid</w:t>
      </w:r>
      <w:r>
        <w:rPr>
          <w:rFonts w:ascii="Garamond" w:hAnsi="Garamond"/>
        </w:rPr>
        <w:t xml:space="preserve">ing competitive advantages, </w:t>
      </w:r>
      <w:r w:rsidRPr="00E53286">
        <w:rPr>
          <w:rFonts w:ascii="Garamond" w:hAnsi="Garamond"/>
        </w:rPr>
        <w:t>scope for addressing a variety of issues, and most importantly</w:t>
      </w:r>
      <w:r>
        <w:rPr>
          <w:rFonts w:ascii="Garamond" w:hAnsi="Garamond"/>
        </w:rPr>
        <w:t>,</w:t>
      </w:r>
      <w:r w:rsidRPr="00E53286">
        <w:rPr>
          <w:rFonts w:ascii="Garamond" w:hAnsi="Garamond"/>
        </w:rPr>
        <w:t xml:space="preserve"> for capturing the enthusiasm of a politically and religiously striated Dutch public. At times the organizations worked in allegiance, but the Outspan boycott should be solely attributed to the BOA.  </w:t>
      </w:r>
    </w:p>
  </w:footnote>
  <w:footnote w:id="23">
    <w:p w:rsidR="002B3E92" w:rsidRPr="00E53286" w:rsidRDefault="002B3E92" w:rsidP="00BB49E2">
      <w:pPr>
        <w:pStyle w:val="FootnoteText"/>
        <w:jc w:val="both"/>
        <w:rPr>
          <w:rFonts w:ascii="Garamond" w:hAnsi="Garamond"/>
        </w:rPr>
      </w:pPr>
      <w:r w:rsidRPr="00E53286">
        <w:rPr>
          <w:rStyle w:val="FootnoteReference"/>
          <w:rFonts w:ascii="Garamond" w:hAnsi="Garamond"/>
        </w:rPr>
        <w:footnoteRef/>
      </w:r>
      <w:r w:rsidRPr="00E53286">
        <w:rPr>
          <w:rFonts w:ascii="Garamond" w:hAnsi="Garamond"/>
        </w:rPr>
        <w:t xml:space="preserve"> Nicholls (2009) suggests that the places of social movements consist of multiple ‘contact-points’ where diverse activists come into contingent interactions with multiple others.</w:t>
      </w:r>
    </w:p>
  </w:footnote>
  <w:footnote w:id="24">
    <w:p w:rsidR="002B3E92" w:rsidRPr="00215193" w:rsidRDefault="002B3E92" w:rsidP="00BB49E2">
      <w:pPr>
        <w:autoSpaceDE w:val="0"/>
        <w:autoSpaceDN w:val="0"/>
        <w:adjustRightInd w:val="0"/>
        <w:spacing w:after="0" w:line="240" w:lineRule="auto"/>
        <w:jc w:val="both"/>
        <w:rPr>
          <w:rFonts w:ascii="Garamond" w:hAnsi="Garamond"/>
          <w:sz w:val="20"/>
          <w:szCs w:val="20"/>
        </w:rPr>
      </w:pPr>
      <w:r w:rsidRPr="00E53286">
        <w:rPr>
          <w:rStyle w:val="FootnoteReference"/>
          <w:rFonts w:ascii="Garamond" w:hAnsi="Garamond"/>
        </w:rPr>
        <w:footnoteRef/>
      </w:r>
      <w:r>
        <w:rPr>
          <w:rFonts w:ascii="Garamond" w:hAnsi="Garamond"/>
          <w:sz w:val="20"/>
          <w:szCs w:val="20"/>
        </w:rPr>
        <w:t xml:space="preserve"> </w:t>
      </w:r>
      <w:r w:rsidRPr="00E53286">
        <w:rPr>
          <w:rFonts w:ascii="Garamond" w:hAnsi="Garamond"/>
          <w:sz w:val="20"/>
          <w:szCs w:val="20"/>
        </w:rPr>
        <w:t>Through visibility and individual complicity</w:t>
      </w:r>
      <w:r>
        <w:rPr>
          <w:rFonts w:ascii="Garamond" w:hAnsi="Garamond"/>
          <w:sz w:val="20"/>
          <w:szCs w:val="20"/>
        </w:rPr>
        <w:t>,</w:t>
      </w:r>
      <w:r w:rsidRPr="00E53286">
        <w:rPr>
          <w:rFonts w:ascii="Garamond" w:hAnsi="Garamond"/>
          <w:sz w:val="20"/>
          <w:szCs w:val="20"/>
        </w:rPr>
        <w:t xml:space="preserve"> the BOA made the consumption of race and place relevant to the Dutch public. Accessibility was inscribed into</w:t>
      </w:r>
      <w:r>
        <w:rPr>
          <w:rFonts w:ascii="Garamond" w:hAnsi="Garamond"/>
          <w:sz w:val="20"/>
          <w:szCs w:val="20"/>
        </w:rPr>
        <w:t xml:space="preserve"> the</w:t>
      </w:r>
      <w:r w:rsidRPr="00E53286">
        <w:rPr>
          <w:rFonts w:ascii="Garamond" w:hAnsi="Garamond"/>
          <w:sz w:val="20"/>
          <w:szCs w:val="20"/>
        </w:rPr>
        <w:t xml:space="preserve"> BOA ideology during boycotts, anti-emigration, and urban campaigns. In Holland during the 1970s many young people flitted between different liberal, feminist and leftist movements (interview Mol, 2011; interview Tan, 2011), engaging in ‘individualised lifestyle politics’ (Giddens, 1991).  O</w:t>
      </w:r>
      <w:r>
        <w:rPr>
          <w:rFonts w:ascii="Garamond" w:hAnsi="Garamond"/>
          <w:sz w:val="20"/>
          <w:szCs w:val="20"/>
        </w:rPr>
        <w:t xml:space="preserve">n convergence space, Routledge </w:t>
      </w:r>
      <w:r w:rsidRPr="00E53286">
        <w:rPr>
          <w:rFonts w:ascii="Garamond" w:hAnsi="Garamond"/>
          <w:sz w:val="20"/>
          <w:szCs w:val="20"/>
        </w:rPr>
        <w:t>writes:  “grassroots globalization networks forge an associational politics that constitute a diverse, contested coalition of place-specific social movements, which prosecute conflict on a variety of multi-scalar terrains”</w:t>
      </w:r>
      <w:r>
        <w:rPr>
          <w:rFonts w:ascii="Garamond" w:hAnsi="Garamond"/>
          <w:sz w:val="20"/>
          <w:szCs w:val="20"/>
        </w:rPr>
        <w:t xml:space="preserve"> (2003: 334)</w:t>
      </w:r>
      <w:r w:rsidRPr="00E53286">
        <w:rPr>
          <w:rFonts w:ascii="Garamond" w:hAnsi="Garamond"/>
          <w:sz w:val="20"/>
          <w:szCs w:val="20"/>
        </w:rPr>
        <w:t>.</w:t>
      </w:r>
    </w:p>
  </w:footnote>
  <w:footnote w:id="25">
    <w:p w:rsidR="002B3E92" w:rsidRPr="00725F4D" w:rsidRDefault="002B3E92" w:rsidP="00BB2602">
      <w:pPr>
        <w:autoSpaceDE w:val="0"/>
        <w:autoSpaceDN w:val="0"/>
        <w:adjustRightInd w:val="0"/>
        <w:spacing w:after="0" w:line="240" w:lineRule="auto"/>
        <w:rPr>
          <w:rFonts w:ascii="Garamond" w:hAnsi="Garamond" w:cs="Times New Roman"/>
          <w:sz w:val="20"/>
          <w:szCs w:val="20"/>
        </w:rPr>
      </w:pPr>
      <w:r w:rsidRPr="00725F4D">
        <w:rPr>
          <w:rStyle w:val="FootnoteReference"/>
          <w:rFonts w:ascii="Garamond" w:hAnsi="Garamond"/>
          <w:sz w:val="20"/>
          <w:szCs w:val="20"/>
        </w:rPr>
        <w:footnoteRef/>
      </w:r>
      <w:r w:rsidRPr="00725F4D">
        <w:rPr>
          <w:rFonts w:ascii="Garamond" w:hAnsi="Garamond"/>
          <w:sz w:val="20"/>
          <w:szCs w:val="20"/>
        </w:rPr>
        <w:t>Kruger and du Toit write, "</w:t>
      </w:r>
      <w:r w:rsidRPr="00725F4D">
        <w:rPr>
          <w:rFonts w:ascii="Garamond" w:hAnsi="Garamond" w:cs="Times New Roman"/>
          <w:sz w:val="20"/>
          <w:szCs w:val="20"/>
        </w:rPr>
        <w:t>Fair Trade activists – many of whom were weaned on the verities of the Outspan boycott – were forced to realize that if producers in South Africa were to be certified according to FLO’s generic hired labor standards... The boycott of South African fruit organized by the Dutch organization Boycott Outspan Aktie played a key role in focusing early international solidarity work with the antiapartheid movement" (2007: 217)</w:t>
      </w:r>
    </w:p>
  </w:footnote>
  <w:footnote w:id="26">
    <w:p w:rsidR="002B3E92" w:rsidRPr="000554CA" w:rsidRDefault="002B3E92" w:rsidP="00BB49E2">
      <w:pPr>
        <w:pStyle w:val="FootnoteText"/>
        <w:rPr>
          <w:rFonts w:ascii="Garamond" w:hAnsi="Garamond"/>
        </w:rPr>
      </w:pPr>
      <w:r w:rsidRPr="000554CA">
        <w:rPr>
          <w:rStyle w:val="FootnoteReference"/>
          <w:rFonts w:ascii="Garamond" w:hAnsi="Garamond"/>
        </w:rPr>
        <w:footnoteRef/>
      </w:r>
      <w:r>
        <w:rPr>
          <w:rFonts w:ascii="Garamond" w:hAnsi="Garamond"/>
        </w:rPr>
        <w:t xml:space="preserve"> The ‘Open Letter by Esau du Plessis’ is available online at: </w:t>
      </w:r>
      <w:r w:rsidRPr="00D819BA">
        <w:rPr>
          <w:rFonts w:ascii="Garamond" w:hAnsi="Garamond"/>
        </w:rPr>
        <w:t>http://socialhistory.org/sites/default/files/docs/collections/open-letter-esau.pdf</w:t>
      </w:r>
      <w:r>
        <w:rPr>
          <w:rFonts w:ascii="Garamond" w:hAnsi="Garamond"/>
        </w:rPr>
        <w:t>. (</w:t>
      </w:r>
      <w:r w:rsidRPr="000554CA">
        <w:rPr>
          <w:rFonts w:ascii="Garamond" w:hAnsi="Garamond"/>
        </w:rPr>
        <w:t>Accessed</w:t>
      </w:r>
      <w:r>
        <w:rPr>
          <w:rFonts w:ascii="Garamond" w:hAnsi="Garamond"/>
        </w:rPr>
        <w:t>: 10 August 2013).</w:t>
      </w:r>
    </w:p>
  </w:footnote>
  <w:footnote w:id="27">
    <w:p w:rsidR="002B3E92" w:rsidRDefault="002B3E92" w:rsidP="00BB49E2">
      <w:pPr>
        <w:pStyle w:val="FootnoteText"/>
      </w:pPr>
      <w:r w:rsidRPr="000554CA">
        <w:rPr>
          <w:rStyle w:val="FootnoteReference"/>
          <w:rFonts w:ascii="Garamond" w:hAnsi="Garamond"/>
        </w:rPr>
        <w:footnoteRef/>
      </w:r>
      <w:r w:rsidRPr="000554CA">
        <w:rPr>
          <w:rFonts w:ascii="Garamond" w:hAnsi="Garamond"/>
        </w:rPr>
        <w:t>During the following three months</w:t>
      </w:r>
      <w:r>
        <w:rPr>
          <w:rFonts w:ascii="Garamond" w:hAnsi="Garamond"/>
        </w:rPr>
        <w:t xml:space="preserve"> before my visit</w:t>
      </w:r>
      <w:r w:rsidRPr="000554CA">
        <w:rPr>
          <w:rFonts w:ascii="Garamond" w:hAnsi="Garamond"/>
        </w:rPr>
        <w:t xml:space="preserve"> we exchanged academic papers, news reports and resources. I read BOA co-founder  Karel Roskam's (1960) PhD thesis, </w:t>
      </w:r>
      <w:r w:rsidRPr="000554CA">
        <w:rPr>
          <w:rFonts w:ascii="Garamond" w:hAnsi="Garamond"/>
          <w:i/>
        </w:rPr>
        <w:t>Apartheid and Discrimination</w:t>
      </w:r>
      <w:r w:rsidRPr="000554CA">
        <w:rPr>
          <w:rFonts w:ascii="Garamond" w:hAnsi="Garamond"/>
        </w:rPr>
        <w:t xml:space="preserve"> and passed on papers by geographers Charles Mather and Patricia Rowcroft (2004, regarding the Outspan girls and the BOA) Alan Pred (on Swedish racisms, 1997) and Patricia Price (</w:t>
      </w:r>
      <w:r>
        <w:rPr>
          <w:rFonts w:ascii="Garamond" w:hAnsi="Garamond"/>
        </w:rPr>
        <w:t xml:space="preserve">2010, </w:t>
      </w:r>
      <w:r w:rsidRPr="000554CA">
        <w:rPr>
          <w:rFonts w:ascii="Garamond" w:hAnsi="Garamond"/>
        </w:rPr>
        <w:t>overview of antiracist geographies).</w:t>
      </w:r>
      <w:r w:rsidRPr="000554CA">
        <w:rPr>
          <w:sz w:val="22"/>
        </w:rPr>
        <w:t xml:space="preserve"> </w:t>
      </w:r>
    </w:p>
  </w:footnote>
  <w:footnote w:id="28">
    <w:p w:rsidR="002B3E92" w:rsidRPr="00AD159E" w:rsidRDefault="002B3E92" w:rsidP="00BB49E2">
      <w:pPr>
        <w:spacing w:after="0" w:line="240" w:lineRule="auto"/>
        <w:jc w:val="both"/>
        <w:rPr>
          <w:rFonts w:ascii="Garamond" w:hAnsi="Garamond"/>
          <w:sz w:val="20"/>
          <w:szCs w:val="20"/>
        </w:rPr>
      </w:pPr>
      <w:r w:rsidRPr="00B906FF">
        <w:rPr>
          <w:rStyle w:val="FootnoteReference"/>
          <w:rFonts w:ascii="Garamond" w:hAnsi="Garamond"/>
          <w:sz w:val="20"/>
          <w:szCs w:val="20"/>
        </w:rPr>
        <w:footnoteRef/>
      </w:r>
      <w:r w:rsidRPr="00B906FF">
        <w:rPr>
          <w:rFonts w:ascii="Garamond" w:hAnsi="Garamond"/>
          <w:sz w:val="20"/>
          <w:szCs w:val="20"/>
        </w:rPr>
        <w:t xml:space="preserve"> </w:t>
      </w:r>
      <w:r>
        <w:rPr>
          <w:rFonts w:ascii="Garamond" w:hAnsi="Garamond"/>
          <w:sz w:val="20"/>
          <w:szCs w:val="20"/>
        </w:rPr>
        <w:t>Skype interview dates include:</w:t>
      </w:r>
      <w:r w:rsidRPr="00B906FF">
        <w:rPr>
          <w:rFonts w:ascii="Garamond" w:hAnsi="Garamond"/>
          <w:sz w:val="20"/>
          <w:szCs w:val="20"/>
        </w:rPr>
        <w:t xml:space="preserve"> 3/2/2011, 10/2/2011, 19/2/2011, 5/3/2011, 6/3/2011, 11/6/2011,</w:t>
      </w:r>
      <w:r>
        <w:rPr>
          <w:rFonts w:ascii="Garamond" w:hAnsi="Garamond"/>
          <w:sz w:val="20"/>
          <w:szCs w:val="20"/>
        </w:rPr>
        <w:t xml:space="preserve"> 20/7/2011, 8/9/2011 2/3/2012, </w:t>
      </w:r>
      <w:r w:rsidRPr="00B906FF">
        <w:rPr>
          <w:rFonts w:ascii="Garamond" w:hAnsi="Garamond"/>
          <w:sz w:val="20"/>
          <w:szCs w:val="20"/>
        </w:rPr>
        <w:t>14</w:t>
      </w:r>
      <w:r>
        <w:rPr>
          <w:rFonts w:ascii="Garamond" w:hAnsi="Garamond"/>
          <w:sz w:val="20"/>
          <w:szCs w:val="20"/>
        </w:rPr>
        <w:t>/3/</w:t>
      </w:r>
      <w:r w:rsidRPr="00B906FF">
        <w:rPr>
          <w:rFonts w:ascii="Garamond" w:hAnsi="Garamond"/>
          <w:sz w:val="20"/>
          <w:szCs w:val="20"/>
        </w:rPr>
        <w:t>2012, 23/3/2012, 4/7/2012, 16/10/2012, 21/12/2012, 28/12/2012, 7/1/2013, 15/1/2013</w:t>
      </w:r>
      <w:r>
        <w:rPr>
          <w:rFonts w:ascii="Garamond" w:hAnsi="Garamond"/>
          <w:sz w:val="20"/>
          <w:szCs w:val="20"/>
        </w:rPr>
        <w:t>,</w:t>
      </w:r>
      <w:r w:rsidRPr="00B906FF">
        <w:rPr>
          <w:rFonts w:ascii="Garamond" w:hAnsi="Garamond"/>
          <w:sz w:val="20"/>
          <w:szCs w:val="20"/>
        </w:rPr>
        <w:t xml:space="preserve"> 21/2/2013, 17/5/2013, 19/5/2013, 6/7/2013, 9/8/2013, 12/9/2013, 25/9/2013</w:t>
      </w:r>
      <w:r>
        <w:rPr>
          <w:rFonts w:ascii="Garamond" w:hAnsi="Garamond"/>
          <w:sz w:val="20"/>
          <w:szCs w:val="20"/>
        </w:rPr>
        <w:t>, 11/10/2013</w:t>
      </w:r>
    </w:p>
  </w:footnote>
  <w:footnote w:id="29">
    <w:p w:rsidR="002B3E92" w:rsidRPr="00E66296" w:rsidRDefault="002B3E92" w:rsidP="00BB49E2">
      <w:pPr>
        <w:pStyle w:val="FootnoteText"/>
        <w:rPr>
          <w:rFonts w:ascii="Garamond" w:hAnsi="Garamond"/>
        </w:rPr>
      </w:pPr>
      <w:r w:rsidRPr="00E66296">
        <w:rPr>
          <w:rStyle w:val="FootnoteReference"/>
          <w:rFonts w:ascii="Garamond" w:hAnsi="Garamond"/>
        </w:rPr>
        <w:footnoteRef/>
      </w:r>
      <w:r w:rsidRPr="00E66296">
        <w:rPr>
          <w:rFonts w:ascii="Garamond" w:hAnsi="Garamond"/>
        </w:rPr>
        <w:t xml:space="preserve"> For the most challenging texts I have outsourced translation to Lingvo House, a professional agency based in London. </w:t>
      </w:r>
      <w:r>
        <w:rPr>
          <w:rFonts w:ascii="Garamond" w:hAnsi="Garamond"/>
        </w:rPr>
        <w:t xml:space="preserve">German translation has been outsourced to independent translator, Lili Dreikhausen. </w:t>
      </w:r>
      <w:r w:rsidRPr="00E66296">
        <w:rPr>
          <w:rFonts w:ascii="Garamond" w:hAnsi="Garamond"/>
        </w:rPr>
        <w:t>Other important</w:t>
      </w:r>
      <w:r>
        <w:rPr>
          <w:rFonts w:ascii="Garamond" w:hAnsi="Garamond"/>
        </w:rPr>
        <w:t xml:space="preserve"> newspaper articles,</w:t>
      </w:r>
      <w:r w:rsidRPr="00E66296">
        <w:rPr>
          <w:rFonts w:ascii="Garamond" w:hAnsi="Garamond"/>
        </w:rPr>
        <w:t xml:space="preserve"> texts and letters have been translated by</w:t>
      </w:r>
      <w:r>
        <w:rPr>
          <w:rFonts w:ascii="Garamond" w:hAnsi="Garamond"/>
        </w:rPr>
        <w:t xml:space="preserve"> myself and du Plessis</w:t>
      </w:r>
      <w:r w:rsidRPr="00E66296">
        <w:rPr>
          <w:rFonts w:ascii="Garamond" w:hAnsi="Garamond"/>
        </w:rPr>
        <w:t xml:space="preserve">. The process of dialogic ethnography has been vital in affording the time and ability to locate, </w:t>
      </w:r>
      <w:r>
        <w:rPr>
          <w:rFonts w:ascii="Garamond" w:hAnsi="Garamond"/>
        </w:rPr>
        <w:t xml:space="preserve">translate and analyse key texts across various campaigns. </w:t>
      </w:r>
    </w:p>
  </w:footnote>
  <w:footnote w:id="30">
    <w:p w:rsidR="002B3E92" w:rsidRPr="006E5AA4" w:rsidRDefault="002B3E92" w:rsidP="00BB49E2">
      <w:pPr>
        <w:pStyle w:val="FootnoteText"/>
        <w:jc w:val="both"/>
        <w:rPr>
          <w:rFonts w:ascii="Garamond" w:hAnsi="Garamond"/>
        </w:rPr>
      </w:pPr>
      <w:r w:rsidRPr="006E5AA4">
        <w:rPr>
          <w:rStyle w:val="FootnoteReference"/>
          <w:rFonts w:ascii="Garamond" w:hAnsi="Garamond"/>
        </w:rPr>
        <w:footnoteRef/>
      </w:r>
      <w:r>
        <w:rPr>
          <w:rFonts w:ascii="Garamond" w:hAnsi="Garamond"/>
        </w:rPr>
        <w:t xml:space="preserve"> Roeland Muske</w:t>
      </w:r>
      <w:r w:rsidRPr="006E5AA4">
        <w:rPr>
          <w:rFonts w:ascii="Garamond" w:hAnsi="Garamond"/>
        </w:rPr>
        <w:t xml:space="preserve">ns has a Dutch thesis due out in 2013 in collaboration with the IISH on Dutch anti-apartheid 1960-1990. He will publish a small chapter on the BOA. However, </w:t>
      </w:r>
      <w:r>
        <w:rPr>
          <w:rFonts w:ascii="Garamond" w:hAnsi="Garamond"/>
        </w:rPr>
        <w:t>up until June 2013 he had</w:t>
      </w:r>
      <w:r w:rsidRPr="006E5AA4">
        <w:rPr>
          <w:rFonts w:ascii="Garamond" w:hAnsi="Garamond"/>
        </w:rPr>
        <w:t xml:space="preserve"> not interviewed du Plessis, or most of the other former members of the BOA.</w:t>
      </w:r>
    </w:p>
  </w:footnote>
  <w:footnote w:id="31">
    <w:p w:rsidR="002B3E92" w:rsidRPr="00613524" w:rsidRDefault="002B3E92" w:rsidP="00BB49E2">
      <w:pPr>
        <w:pStyle w:val="FootnoteText"/>
        <w:rPr>
          <w:rFonts w:ascii="Garamond" w:hAnsi="Garamond"/>
        </w:rPr>
      </w:pPr>
      <w:r w:rsidRPr="00613524">
        <w:rPr>
          <w:rStyle w:val="FootnoteReference"/>
          <w:rFonts w:ascii="Garamond" w:hAnsi="Garamond"/>
        </w:rPr>
        <w:footnoteRef/>
      </w:r>
      <w:r w:rsidRPr="00613524">
        <w:rPr>
          <w:rFonts w:ascii="Garamond" w:hAnsi="Garamond"/>
        </w:rPr>
        <w:t xml:space="preserve"> Steve Chalke is the leader of the Christian organization, Oasis. STT operate in partnership with Oasis, with many of STT’</w:t>
      </w:r>
      <w:r>
        <w:rPr>
          <w:rFonts w:ascii="Garamond" w:hAnsi="Garamond"/>
        </w:rPr>
        <w:t>s offices working from Oasis’.</w:t>
      </w:r>
    </w:p>
  </w:footnote>
  <w:footnote w:id="32">
    <w:p w:rsidR="002B3E92" w:rsidRDefault="002B3E92" w:rsidP="00BB49E2">
      <w:pPr>
        <w:pStyle w:val="FootnoteText"/>
      </w:pPr>
      <w:r w:rsidRPr="00613524">
        <w:rPr>
          <w:rStyle w:val="FootnoteReference"/>
          <w:rFonts w:ascii="Garamond" w:hAnsi="Garamond"/>
        </w:rPr>
        <w:footnoteRef/>
      </w:r>
      <w:r w:rsidRPr="00613524">
        <w:rPr>
          <w:rFonts w:ascii="Garamond" w:hAnsi="Garamond"/>
        </w:rPr>
        <w:t xml:space="preserve"> </w:t>
      </w:r>
      <w:r w:rsidRPr="00613524">
        <w:rPr>
          <w:rFonts w:ascii="Garamond" w:eastAsia="Times New Roman" w:hAnsi="Garamond" w:cs="Times New Roman"/>
          <w:color w:val="000000"/>
          <w:shd w:val="clear" w:color="auto" w:fill="FFFFFF"/>
          <w:lang w:eastAsia="en-GB"/>
        </w:rPr>
        <w:t>Partners and associate or</w:t>
      </w:r>
      <w:r>
        <w:rPr>
          <w:rFonts w:ascii="Garamond" w:eastAsia="Times New Roman" w:hAnsi="Garamond" w:cs="Times New Roman"/>
          <w:color w:val="000000"/>
          <w:shd w:val="clear" w:color="auto" w:fill="FFFFFF"/>
          <w:lang w:eastAsia="en-GB"/>
        </w:rPr>
        <w:t xml:space="preserve">ganizations </w:t>
      </w:r>
      <w:r w:rsidRPr="00613524">
        <w:rPr>
          <w:rFonts w:ascii="Garamond" w:eastAsia="Times New Roman" w:hAnsi="Garamond" w:cs="Times New Roman"/>
          <w:color w:val="000000"/>
          <w:shd w:val="clear" w:color="auto" w:fill="FFFFFF"/>
          <w:lang w:eastAsia="en-GB"/>
        </w:rPr>
        <w:t>include</w:t>
      </w:r>
      <w:r>
        <w:rPr>
          <w:rFonts w:ascii="Garamond" w:eastAsia="Times New Roman" w:hAnsi="Garamond" w:cs="Times New Roman"/>
          <w:color w:val="000000"/>
          <w:shd w:val="clear" w:color="auto" w:fill="FFFFFF"/>
          <w:lang w:eastAsia="en-GB"/>
        </w:rPr>
        <w:t>:</w:t>
      </w:r>
      <w:r w:rsidRPr="00613524">
        <w:rPr>
          <w:rFonts w:ascii="Garamond" w:eastAsia="Times New Roman" w:hAnsi="Garamond" w:cs="Times New Roman"/>
          <w:color w:val="000000"/>
          <w:shd w:val="clear" w:color="auto" w:fill="FFFFFF"/>
          <w:lang w:eastAsia="en-GB"/>
        </w:rPr>
        <w:t xml:space="preserve"> Oasis, Anti-Slavery International, UN GIFT, The Fairtrade Foundation, The Rainforest Alliance, The SCD9 Metropolitan Police unit, and SOCA</w:t>
      </w:r>
      <w:r>
        <w:rPr>
          <w:rFonts w:ascii="Garamond" w:eastAsia="Times New Roman" w:hAnsi="Garamond" w:cs="Times New Roman"/>
          <w:color w:val="000000"/>
          <w:shd w:val="clear" w:color="auto" w:fill="FFFFFF"/>
          <w:lang w:eastAsia="en-GB"/>
        </w:rPr>
        <w:t>.</w:t>
      </w:r>
    </w:p>
  </w:footnote>
  <w:footnote w:id="33">
    <w:p w:rsidR="002B3E92" w:rsidRDefault="002B3E92" w:rsidP="00BB49E2">
      <w:pPr>
        <w:pStyle w:val="FootnoteText"/>
      </w:pPr>
      <w:r>
        <w:rPr>
          <w:rStyle w:val="FootnoteReference"/>
        </w:rPr>
        <w:footnoteRef/>
      </w:r>
      <w:r>
        <w:t xml:space="preserve"> </w:t>
      </w:r>
      <w:r>
        <w:rPr>
          <w:rFonts w:ascii="Garamond" w:eastAsia="Times New Roman" w:hAnsi="Garamond" w:cs="Times New Roman"/>
          <w:color w:val="000000"/>
          <w:shd w:val="clear" w:color="auto" w:fill="FFFFFF"/>
          <w:lang w:eastAsia="en-GB"/>
        </w:rPr>
        <w:t xml:space="preserve">Sophie, </w:t>
      </w:r>
      <w:r w:rsidRPr="002B2503">
        <w:rPr>
          <w:rFonts w:ascii="Garamond" w:eastAsia="Times New Roman" w:hAnsi="Garamond" w:cs="Times New Roman"/>
          <w:color w:val="000000"/>
          <w:shd w:val="clear" w:color="auto" w:fill="FFFFFF"/>
          <w:lang w:eastAsia="en-GB"/>
        </w:rPr>
        <w:t>who as a child had witnessed trafficking first-hand in her hometown, was committed to the application of different forms of anti-traffick</w:t>
      </w:r>
      <w:r>
        <w:rPr>
          <w:rFonts w:ascii="Garamond" w:eastAsia="Times New Roman" w:hAnsi="Garamond" w:cs="Times New Roman"/>
          <w:color w:val="000000"/>
          <w:shd w:val="clear" w:color="auto" w:fill="FFFFFF"/>
          <w:lang w:eastAsia="en-GB"/>
        </w:rPr>
        <w:t>ing in London</w:t>
      </w:r>
      <w:r>
        <w:rPr>
          <w:rFonts w:ascii="Garamond" w:eastAsia="Times New Roman" w:hAnsi="Garamond" w:cs="Times New Roman"/>
          <w:color w:val="000000"/>
          <w:sz w:val="24"/>
          <w:szCs w:val="24"/>
          <w:shd w:val="clear" w:color="auto" w:fill="FFFFFF"/>
          <w:lang w:eastAsia="en-GB"/>
        </w:rPr>
        <w:t xml:space="preserve">.    </w:t>
      </w:r>
    </w:p>
  </w:footnote>
  <w:footnote w:id="34">
    <w:p w:rsidR="002B3E92" w:rsidRPr="002C0568" w:rsidRDefault="002B3E92">
      <w:pPr>
        <w:pStyle w:val="FootnoteText"/>
        <w:rPr>
          <w:rFonts w:ascii="Garamond" w:hAnsi="Garamond"/>
        </w:rPr>
      </w:pPr>
      <w:r w:rsidRPr="002C0568">
        <w:rPr>
          <w:rStyle w:val="FootnoteReference"/>
          <w:rFonts w:ascii="Garamond" w:hAnsi="Garamond"/>
        </w:rPr>
        <w:footnoteRef/>
      </w:r>
      <w:r w:rsidRPr="002C0568">
        <w:rPr>
          <w:rFonts w:ascii="Garamond" w:hAnsi="Garamond"/>
        </w:rPr>
        <w:t xml:space="preserve"> When requested, I have used pseudonyms for respondents.</w:t>
      </w:r>
    </w:p>
  </w:footnote>
  <w:footnote w:id="35">
    <w:p w:rsidR="002B3E92" w:rsidRPr="001A025F" w:rsidRDefault="002B3E92" w:rsidP="007F618F">
      <w:pPr>
        <w:pStyle w:val="FootnoteText"/>
        <w:rPr>
          <w:rFonts w:ascii="Garamond" w:hAnsi="Garamond"/>
        </w:rPr>
      </w:pPr>
      <w:r w:rsidRPr="001A025F">
        <w:rPr>
          <w:rStyle w:val="FootnoteReference"/>
          <w:rFonts w:ascii="Garamond" w:hAnsi="Garamond"/>
        </w:rPr>
        <w:footnoteRef/>
      </w:r>
      <w:r w:rsidRPr="001A025F">
        <w:rPr>
          <w:rFonts w:ascii="Garamond" w:hAnsi="Garamond"/>
        </w:rPr>
        <w:t xml:space="preserve"> Dialogic ethnography required immersion, trust (trusting motives created critical space and allowed a degree of boundary setting), and accepting authorial vul</w:t>
      </w:r>
      <w:r>
        <w:rPr>
          <w:rFonts w:ascii="Garamond" w:hAnsi="Garamond"/>
        </w:rPr>
        <w:t>nerability. My concession not to</w:t>
      </w:r>
      <w:r w:rsidRPr="001A025F">
        <w:rPr>
          <w:rFonts w:ascii="Garamond" w:hAnsi="Garamond"/>
        </w:rPr>
        <w:t xml:space="preserve"> interview Sietse Bosgra is most keenly absent from this chapter. </w:t>
      </w:r>
    </w:p>
  </w:footnote>
  <w:footnote w:id="36">
    <w:p w:rsidR="002B3E92" w:rsidRPr="00CB6CEE" w:rsidRDefault="002B3E92" w:rsidP="002D22FA">
      <w:pPr>
        <w:pStyle w:val="FootnoteText"/>
        <w:rPr>
          <w:rFonts w:ascii="Garamond" w:hAnsi="Garamond"/>
        </w:rPr>
      </w:pPr>
      <w:r w:rsidRPr="00CB6CEE">
        <w:rPr>
          <w:rStyle w:val="FootnoteReference"/>
          <w:rFonts w:ascii="Garamond" w:hAnsi="Garamond"/>
        </w:rPr>
        <w:footnoteRef/>
      </w:r>
      <w:r w:rsidRPr="00CB6CEE">
        <w:rPr>
          <w:rFonts w:ascii="Garamond" w:hAnsi="Garamond"/>
        </w:rPr>
        <w:t xml:space="preserve"> </w:t>
      </w:r>
      <w:r w:rsidRPr="00CB6CEE">
        <w:rPr>
          <w:rFonts w:ascii="Garamond" w:hAnsi="Garamond"/>
          <w:lang w:val="en-US"/>
        </w:rPr>
        <w:t>Though, what constituted the B</w:t>
      </w:r>
      <w:r>
        <w:rPr>
          <w:rFonts w:ascii="Garamond" w:hAnsi="Garamond"/>
          <w:lang w:val="en-US"/>
        </w:rPr>
        <w:t>engali domestic sphere differed</w:t>
      </w:r>
      <w:r w:rsidRPr="00CB6CEE">
        <w:rPr>
          <w:rFonts w:ascii="Garamond" w:hAnsi="Garamond"/>
          <w:lang w:val="en-US"/>
        </w:rPr>
        <w:t xml:space="preserve"> immensely from its eighteenth century British counterpart – the ‘native’ </w:t>
      </w:r>
      <w:r w:rsidRPr="00CB6CEE">
        <w:rPr>
          <w:rFonts w:ascii="Garamond" w:hAnsi="Garamond"/>
          <w:i/>
          <w:lang w:val="en-US"/>
        </w:rPr>
        <w:t xml:space="preserve">lack </w:t>
      </w:r>
      <w:r w:rsidRPr="00CB6CEE">
        <w:rPr>
          <w:rFonts w:ascii="Garamond" w:hAnsi="Garamond"/>
          <w:lang w:val="en-US"/>
        </w:rPr>
        <w:t>of consumables in the home consti</w:t>
      </w:r>
      <w:r>
        <w:rPr>
          <w:rFonts w:ascii="Garamond" w:hAnsi="Garamond"/>
          <w:lang w:val="en-US"/>
        </w:rPr>
        <w:t xml:space="preserve">tuted a key colonial regime of difference </w:t>
      </w:r>
      <w:r w:rsidRPr="00CB6CEE">
        <w:rPr>
          <w:rFonts w:ascii="Garamond" w:hAnsi="Garamond"/>
          <w:lang w:val="en-US"/>
        </w:rPr>
        <w:t xml:space="preserve">implemented by the British to separate </w:t>
      </w:r>
      <w:r>
        <w:rPr>
          <w:rFonts w:ascii="Garamond" w:hAnsi="Garamond"/>
          <w:lang w:val="en-US"/>
        </w:rPr>
        <w:t xml:space="preserve">the ruled from the rulers, </w:t>
      </w:r>
      <w:r w:rsidRPr="00CB6CEE">
        <w:rPr>
          <w:rFonts w:ascii="Garamond" w:hAnsi="Garamond"/>
          <w:lang w:val="en-US"/>
        </w:rPr>
        <w:t>see Sartori, 2003.</w:t>
      </w:r>
    </w:p>
  </w:footnote>
  <w:footnote w:id="37">
    <w:p w:rsidR="002B3E92" w:rsidRPr="005F44D2" w:rsidRDefault="002B3E92" w:rsidP="002D22FA">
      <w:pPr>
        <w:pStyle w:val="FootnoteText"/>
        <w:rPr>
          <w:rFonts w:ascii="Garamond" w:hAnsi="Garamond"/>
        </w:rPr>
      </w:pPr>
      <w:r w:rsidRPr="005F44D2">
        <w:rPr>
          <w:rStyle w:val="FootnoteReference"/>
          <w:rFonts w:ascii="Garamond" w:hAnsi="Garamond"/>
        </w:rPr>
        <w:footnoteRef/>
      </w:r>
      <w:r w:rsidRPr="005F44D2">
        <w:rPr>
          <w:rFonts w:ascii="Garamond" w:hAnsi="Garamond"/>
        </w:rPr>
        <w:t xml:space="preserve"> The anti-saccharite </w:t>
      </w:r>
      <w:r>
        <w:rPr>
          <w:rFonts w:ascii="Garamond" w:hAnsi="Garamond"/>
        </w:rPr>
        <w:t xml:space="preserve">sugar </w:t>
      </w:r>
      <w:r w:rsidRPr="005F44D2">
        <w:rPr>
          <w:rFonts w:ascii="Garamond" w:hAnsi="Garamond"/>
        </w:rPr>
        <w:t>abs</w:t>
      </w:r>
      <w:r>
        <w:rPr>
          <w:rFonts w:ascii="Garamond" w:hAnsi="Garamond"/>
        </w:rPr>
        <w:t>t</w:t>
      </w:r>
      <w:r w:rsidRPr="005F44D2">
        <w:rPr>
          <w:rFonts w:ascii="Garamond" w:hAnsi="Garamond"/>
        </w:rPr>
        <w:t xml:space="preserve">ention campaign is posthumously described as a boycott by Sheller (2003), Brown (2006), Midgley (1996) and Richardson-Ngwenya (2009). </w:t>
      </w:r>
    </w:p>
  </w:footnote>
  <w:footnote w:id="38">
    <w:p w:rsidR="002B3E92" w:rsidRPr="00446791" w:rsidRDefault="002B3E92" w:rsidP="002D22FA">
      <w:pPr>
        <w:spacing w:line="240" w:lineRule="auto"/>
        <w:jc w:val="both"/>
        <w:rPr>
          <w:rFonts w:ascii="Garamond" w:hAnsi="Garamond"/>
          <w:sz w:val="20"/>
          <w:szCs w:val="20"/>
          <w:lang w:val="en-US"/>
        </w:rPr>
      </w:pPr>
      <w:r w:rsidRPr="00446791">
        <w:rPr>
          <w:rStyle w:val="FootnoteReference"/>
          <w:rFonts w:ascii="Garamond" w:hAnsi="Garamond"/>
          <w:sz w:val="20"/>
          <w:szCs w:val="20"/>
        </w:rPr>
        <w:footnoteRef/>
      </w:r>
      <w:r w:rsidRPr="00446791">
        <w:rPr>
          <w:rFonts w:ascii="Garamond" w:hAnsi="Garamond"/>
          <w:sz w:val="20"/>
          <w:szCs w:val="20"/>
        </w:rPr>
        <w:t xml:space="preserve"> </w:t>
      </w:r>
      <w:r w:rsidRPr="00446791">
        <w:rPr>
          <w:rFonts w:ascii="Garamond" w:hAnsi="Garamond"/>
          <w:sz w:val="20"/>
          <w:szCs w:val="20"/>
          <w:lang w:val="en-US"/>
        </w:rPr>
        <w:t xml:space="preserve">In September 1909 the feminist Indian nationalist, Bhikaji Cama, published the first European edition of </w:t>
      </w:r>
      <w:r>
        <w:rPr>
          <w:rFonts w:ascii="Garamond" w:hAnsi="Garamond"/>
          <w:i/>
          <w:sz w:val="20"/>
          <w:szCs w:val="20"/>
          <w:lang w:val="en-US"/>
        </w:rPr>
        <w:t>Bande Mata</w:t>
      </w:r>
      <w:r w:rsidRPr="00446791">
        <w:rPr>
          <w:rFonts w:ascii="Garamond" w:hAnsi="Garamond"/>
          <w:i/>
          <w:sz w:val="20"/>
          <w:szCs w:val="20"/>
          <w:lang w:val="en-US"/>
        </w:rPr>
        <w:t>ram</w:t>
      </w:r>
      <w:r w:rsidRPr="00446791">
        <w:rPr>
          <w:rFonts w:ascii="Garamond" w:hAnsi="Garamond"/>
          <w:sz w:val="20"/>
          <w:szCs w:val="20"/>
          <w:lang w:val="en-US"/>
        </w:rPr>
        <w:t xml:space="preserve"> in Paris under the auspices of the </w:t>
      </w:r>
      <w:r w:rsidRPr="00446791">
        <w:rPr>
          <w:rFonts w:ascii="Garamond" w:hAnsi="Garamond"/>
          <w:i/>
          <w:sz w:val="20"/>
          <w:szCs w:val="20"/>
          <w:lang w:val="en-US"/>
        </w:rPr>
        <w:t>Paris Indian Society</w:t>
      </w:r>
      <w:r w:rsidRPr="00446791">
        <w:rPr>
          <w:rFonts w:ascii="Garamond" w:hAnsi="Garamond"/>
          <w:sz w:val="20"/>
          <w:szCs w:val="20"/>
          <w:lang w:val="en-US"/>
        </w:rPr>
        <w:t>. The Paris edition was initiated as a response to the banni</w:t>
      </w:r>
      <w:r>
        <w:rPr>
          <w:rFonts w:ascii="Garamond" w:hAnsi="Garamond"/>
          <w:sz w:val="20"/>
          <w:szCs w:val="20"/>
          <w:lang w:val="en-US"/>
        </w:rPr>
        <w:t xml:space="preserve">ng of Bankim Chandra Chattopadhyay’s 1882 </w:t>
      </w:r>
      <w:r w:rsidRPr="00446791">
        <w:rPr>
          <w:rFonts w:ascii="Garamond" w:hAnsi="Garamond"/>
          <w:sz w:val="20"/>
          <w:szCs w:val="20"/>
          <w:lang w:val="en-US"/>
        </w:rPr>
        <w:t xml:space="preserve">poem </w:t>
      </w:r>
      <w:r>
        <w:rPr>
          <w:rFonts w:ascii="Garamond" w:hAnsi="Garamond"/>
          <w:i/>
          <w:sz w:val="20"/>
          <w:szCs w:val="20"/>
          <w:lang w:val="en-US"/>
        </w:rPr>
        <w:t>Vande Mata</w:t>
      </w:r>
      <w:r w:rsidRPr="00446791">
        <w:rPr>
          <w:rFonts w:ascii="Garamond" w:hAnsi="Garamond"/>
          <w:i/>
          <w:sz w:val="20"/>
          <w:szCs w:val="20"/>
          <w:lang w:val="en-US"/>
        </w:rPr>
        <w:t xml:space="preserve">ram. </w:t>
      </w:r>
      <w:r w:rsidRPr="00446791">
        <w:rPr>
          <w:rFonts w:ascii="Garamond" w:hAnsi="Garamond"/>
          <w:sz w:val="20"/>
          <w:szCs w:val="20"/>
          <w:lang w:val="en-US"/>
        </w:rPr>
        <w:t xml:space="preserve">Cama helped smuggle boycott correspondence between India and Europe through Pondicherry. From 1907 the London publication, </w:t>
      </w:r>
      <w:r w:rsidRPr="00446791">
        <w:rPr>
          <w:rFonts w:ascii="Garamond" w:hAnsi="Garamond"/>
          <w:i/>
          <w:sz w:val="20"/>
          <w:szCs w:val="20"/>
          <w:lang w:val="en-US"/>
        </w:rPr>
        <w:t>The</w:t>
      </w:r>
      <w:r w:rsidRPr="00446791">
        <w:rPr>
          <w:rFonts w:ascii="Garamond" w:hAnsi="Garamond"/>
          <w:sz w:val="20"/>
          <w:szCs w:val="20"/>
          <w:lang w:val="en-US"/>
        </w:rPr>
        <w:t xml:space="preserve"> </w:t>
      </w:r>
      <w:r w:rsidRPr="00446791">
        <w:rPr>
          <w:rFonts w:ascii="Garamond" w:hAnsi="Garamond"/>
          <w:i/>
          <w:sz w:val="20"/>
          <w:szCs w:val="20"/>
          <w:lang w:val="en-US"/>
        </w:rPr>
        <w:t xml:space="preserve">Indian Sociologist </w:t>
      </w:r>
      <w:r w:rsidRPr="00446791">
        <w:rPr>
          <w:rFonts w:ascii="Garamond" w:hAnsi="Garamond"/>
          <w:sz w:val="20"/>
          <w:szCs w:val="20"/>
          <w:lang w:val="en-US"/>
        </w:rPr>
        <w:t xml:space="preserve">became the political mouthpiece of the Swadeshi movement in </w:t>
      </w:r>
      <w:r w:rsidRPr="006669F5">
        <w:rPr>
          <w:rFonts w:ascii="Garamond" w:hAnsi="Garamond"/>
          <w:sz w:val="20"/>
          <w:szCs w:val="20"/>
          <w:lang w:val="en-US"/>
        </w:rPr>
        <w:t>Britain (Pandya and Pandya, 2003).</w:t>
      </w:r>
      <w:r w:rsidRPr="00446791">
        <w:rPr>
          <w:rFonts w:ascii="Garamond" w:hAnsi="Garamond"/>
          <w:sz w:val="20"/>
          <w:szCs w:val="20"/>
          <w:lang w:val="en-US"/>
        </w:rPr>
        <w:t xml:space="preserve"> </w:t>
      </w:r>
    </w:p>
    <w:p w:rsidR="002B3E92" w:rsidRDefault="002B3E92" w:rsidP="002D22FA">
      <w:pPr>
        <w:pStyle w:val="FootnoteText"/>
      </w:pPr>
    </w:p>
  </w:footnote>
  <w:footnote w:id="39">
    <w:p w:rsidR="002B3E92" w:rsidRPr="002B6707" w:rsidRDefault="002B3E92" w:rsidP="002D22FA">
      <w:pPr>
        <w:pStyle w:val="FootnoteText"/>
        <w:jc w:val="both"/>
        <w:rPr>
          <w:rFonts w:ascii="Garamond" w:hAnsi="Garamond"/>
        </w:rPr>
      </w:pPr>
      <w:r w:rsidRPr="0026312F">
        <w:rPr>
          <w:rStyle w:val="FootnoteReference"/>
          <w:rFonts w:ascii="Garamond" w:hAnsi="Garamond"/>
        </w:rPr>
        <w:footnoteRef/>
      </w:r>
      <w:r>
        <w:rPr>
          <w:rFonts w:ascii="Garamond" w:hAnsi="Garamond"/>
        </w:rPr>
        <w:t xml:space="preserve"> I take humanitarianism to be the ideology, practice and profession of </w:t>
      </w:r>
      <w:r w:rsidRPr="0026312F">
        <w:rPr>
          <w:rFonts w:ascii="Garamond" w:hAnsi="Garamond"/>
        </w:rPr>
        <w:t xml:space="preserve">extending human rights to others. </w:t>
      </w:r>
      <w:r w:rsidRPr="0026312F">
        <w:rPr>
          <w:rFonts w:ascii="Garamond" w:hAnsi="Garamond" w:cs="Times New Roman"/>
        </w:rPr>
        <w:t>Humanitarianism is “dedicated to helping others, and it frequently does so without soliciting the desires of those perceived to be in need”</w:t>
      </w:r>
      <w:r>
        <w:rPr>
          <w:rFonts w:ascii="Garamond" w:hAnsi="Garamond" w:cs="Times New Roman"/>
        </w:rPr>
        <w:t xml:space="preserve"> (Rodogn</w:t>
      </w:r>
      <w:r w:rsidRPr="0026312F">
        <w:rPr>
          <w:rFonts w:ascii="Garamond" w:hAnsi="Garamond" w:cs="Times New Roman"/>
        </w:rPr>
        <w:t>o, 2011: 75).</w:t>
      </w:r>
      <w:r>
        <w:rPr>
          <w:rFonts w:ascii="Garamond" w:hAnsi="Garamond" w:cs="Times New Roman"/>
        </w:rPr>
        <w:t xml:space="preserve"> Humanitarian campaigns must emote a politics of witness, suffering and pity to compel action across distance (Boltanski, 1999). I critique the application of paternal humanitarianism in relation to STT in Chapter Five. For a concise Anglo-American history of humanitarianism presented in terms of three phases (imperial, neo and liberal humanitarianisms) see Michael Barnett's (2011) ambitious </w:t>
      </w:r>
      <w:r>
        <w:rPr>
          <w:rFonts w:ascii="Garamond" w:hAnsi="Garamond" w:cs="Times New Roman"/>
          <w:i/>
        </w:rPr>
        <w:t>Empire of Humanity: A History of Humanitarianism.</w:t>
      </w:r>
      <w:r>
        <w:rPr>
          <w:rFonts w:ascii="Garamond" w:hAnsi="Garamond" w:cs="Times New Roman"/>
        </w:rPr>
        <w:t xml:space="preserve"> I draw from Arendt (1990), Boltanski (1999) and Durham-Peters (1999) to understand how humanitarian frames for boycotter practices can produce negative racializing effects.</w:t>
      </w:r>
    </w:p>
  </w:footnote>
  <w:footnote w:id="40">
    <w:p w:rsidR="002B3E92" w:rsidRPr="002A1BC5" w:rsidRDefault="002B3E92" w:rsidP="002D22FA">
      <w:pPr>
        <w:pStyle w:val="FootnoteText"/>
        <w:rPr>
          <w:rFonts w:ascii="Garamond" w:hAnsi="Garamond"/>
        </w:rPr>
      </w:pPr>
      <w:r w:rsidRPr="002A1BC5">
        <w:rPr>
          <w:rStyle w:val="FootnoteReference"/>
          <w:rFonts w:ascii="Garamond" w:hAnsi="Garamond"/>
        </w:rPr>
        <w:footnoteRef/>
      </w:r>
      <w:r w:rsidRPr="002A1BC5">
        <w:rPr>
          <w:rFonts w:ascii="Garamond" w:hAnsi="Garamond"/>
        </w:rPr>
        <w:t xml:space="preserve"> </w:t>
      </w:r>
      <w:r>
        <w:rPr>
          <w:rFonts w:ascii="Garamond" w:hAnsi="Garamond"/>
          <w:lang w:val="en-US"/>
        </w:rPr>
        <w:t>From the 1760s, Quakers Benezet and Woolman</w:t>
      </w:r>
      <w:r w:rsidRPr="002A1BC5">
        <w:rPr>
          <w:rFonts w:ascii="Garamond" w:hAnsi="Garamond"/>
          <w:lang w:val="en-US"/>
        </w:rPr>
        <w:t xml:space="preserve"> were penning pamphlets and letters to plantation owners and to the London and Philadelphia Society of Friends on how to become free from complicity in slavery in the marketplace (</w:t>
      </w:r>
      <w:r w:rsidRPr="006A61E5">
        <w:rPr>
          <w:rFonts w:ascii="Garamond" w:hAnsi="Garamond"/>
          <w:lang w:val="en-US"/>
        </w:rPr>
        <w:t xml:space="preserve">Hope-Bacon, </w:t>
      </w:r>
      <w:r w:rsidRPr="008E0CD9">
        <w:rPr>
          <w:rFonts w:ascii="Garamond" w:hAnsi="Garamond"/>
          <w:lang w:val="en-US"/>
        </w:rPr>
        <w:t>1994; David, 2007).</w:t>
      </w:r>
    </w:p>
  </w:footnote>
  <w:footnote w:id="41">
    <w:p w:rsidR="002B3E92" w:rsidRPr="003B7A3E" w:rsidRDefault="002B3E92" w:rsidP="002D22FA">
      <w:pPr>
        <w:pStyle w:val="FootnoteText"/>
        <w:rPr>
          <w:rFonts w:ascii="Garamond" w:hAnsi="Garamond"/>
        </w:rPr>
      </w:pPr>
      <w:r w:rsidRPr="003B7A3E">
        <w:rPr>
          <w:rStyle w:val="FootnoteReference"/>
          <w:rFonts w:ascii="Garamond" w:hAnsi="Garamond"/>
        </w:rPr>
        <w:footnoteRef/>
      </w:r>
      <w:r>
        <w:rPr>
          <w:rFonts w:ascii="Garamond" w:hAnsi="Garamond"/>
        </w:rPr>
        <w:t xml:space="preserve"> See Huzzey 2012</w:t>
      </w:r>
      <w:r w:rsidRPr="003B7A3E">
        <w:rPr>
          <w:rFonts w:ascii="Garamond" w:hAnsi="Garamond"/>
        </w:rPr>
        <w:t xml:space="preserve">, for a discussion on telescopic philanthropy </w:t>
      </w:r>
    </w:p>
  </w:footnote>
  <w:footnote w:id="42">
    <w:p w:rsidR="002B3E92" w:rsidRPr="008859C4" w:rsidRDefault="002B3E92" w:rsidP="002D22FA">
      <w:pPr>
        <w:pStyle w:val="FootnoteText"/>
        <w:rPr>
          <w:rFonts w:ascii="Garamond" w:hAnsi="Garamond"/>
        </w:rPr>
      </w:pPr>
      <w:r w:rsidRPr="008859C4">
        <w:rPr>
          <w:rStyle w:val="FootnoteReference"/>
          <w:rFonts w:ascii="Garamond" w:hAnsi="Garamond"/>
        </w:rPr>
        <w:footnoteRef/>
      </w:r>
      <w:r w:rsidRPr="008859C4">
        <w:rPr>
          <w:rFonts w:ascii="Garamond" w:hAnsi="Garamond"/>
        </w:rPr>
        <w:t xml:space="preserve"> By netographic the authors</w:t>
      </w:r>
      <w:r>
        <w:rPr>
          <w:rFonts w:ascii="Garamond" w:hAnsi="Garamond"/>
        </w:rPr>
        <w:t xml:space="preserve"> archaically</w:t>
      </w:r>
      <w:r w:rsidRPr="008859C4">
        <w:rPr>
          <w:rFonts w:ascii="Garamond" w:hAnsi="Garamond"/>
        </w:rPr>
        <w:t xml:space="preserve"> refer to the virtual and material networks of the internet.</w:t>
      </w:r>
    </w:p>
  </w:footnote>
  <w:footnote w:id="43">
    <w:p w:rsidR="002B3E92" w:rsidRPr="00D35FB3" w:rsidRDefault="002B3E92" w:rsidP="002D22FA">
      <w:pPr>
        <w:pStyle w:val="FootnoteText"/>
      </w:pPr>
      <w:r w:rsidRPr="00D35FB3">
        <w:rPr>
          <w:rStyle w:val="FootnoteReference"/>
        </w:rPr>
        <w:footnoteRef/>
      </w:r>
      <w:r w:rsidRPr="00D35FB3">
        <w:t xml:space="preserve"> </w:t>
      </w:r>
      <w:r w:rsidRPr="00D35FB3">
        <w:rPr>
          <w:rFonts w:ascii="Garamond" w:hAnsi="Garamond"/>
          <w:lang w:val="en-US"/>
        </w:rPr>
        <w:t>The momentum for the internal transition came from Philadelphia Quakers; in 1772-3 over a dozen prominent Friends visited meeting houses in Britain to advoca</w:t>
      </w:r>
      <w:r>
        <w:rPr>
          <w:rFonts w:ascii="Garamond" w:hAnsi="Garamond"/>
          <w:lang w:val="en-US"/>
        </w:rPr>
        <w:t>te political activism over anti-</w:t>
      </w:r>
      <w:r w:rsidRPr="00D35FB3">
        <w:rPr>
          <w:rFonts w:ascii="Garamond" w:hAnsi="Garamond"/>
          <w:lang w:val="en-US"/>
        </w:rPr>
        <w:t xml:space="preserve">slavery quietism (Brown, 2006). When the </w:t>
      </w:r>
      <w:r w:rsidRPr="00D35FB3">
        <w:rPr>
          <w:rFonts w:ascii="Garamond" w:hAnsi="Garamond"/>
          <w:i/>
          <w:lang w:val="en-US"/>
        </w:rPr>
        <w:t>Anti-Slavery Society</w:t>
      </w:r>
      <w:r w:rsidRPr="00D35FB3">
        <w:rPr>
          <w:rFonts w:ascii="Garamond" w:hAnsi="Garamond"/>
          <w:lang w:val="en-US"/>
        </w:rPr>
        <w:t xml:space="preserve"> formed in London in 1787, over half of its committee members were Quakers.</w:t>
      </w:r>
    </w:p>
  </w:footnote>
  <w:footnote w:id="44">
    <w:p w:rsidR="002B3E92" w:rsidRPr="00FD2286" w:rsidRDefault="002B3E92" w:rsidP="002D22FA">
      <w:pPr>
        <w:pStyle w:val="FootnoteText"/>
        <w:rPr>
          <w:rFonts w:ascii="Garamond" w:hAnsi="Garamond"/>
        </w:rPr>
      </w:pPr>
      <w:r w:rsidRPr="00FD2286">
        <w:rPr>
          <w:rStyle w:val="FootnoteReference"/>
          <w:rFonts w:ascii="Garamond" w:hAnsi="Garamond"/>
        </w:rPr>
        <w:footnoteRef/>
      </w:r>
      <w:r w:rsidRPr="00FD2286">
        <w:rPr>
          <w:rFonts w:ascii="Garamond" w:hAnsi="Garamond"/>
        </w:rPr>
        <w:t xml:space="preserve"> According to Barnett et al. (2013: 260), the 2002-2007 ESRC/AHRC </w:t>
      </w:r>
      <w:r w:rsidRPr="008D6027">
        <w:rPr>
          <w:rFonts w:ascii="Garamond" w:hAnsi="Garamond"/>
          <w:i/>
        </w:rPr>
        <w:t>Cultures of Consumption</w:t>
      </w:r>
      <w:r w:rsidRPr="00FD2286">
        <w:rPr>
          <w:rFonts w:ascii="Garamond" w:hAnsi="Garamond"/>
        </w:rPr>
        <w:t xml:space="preserve"> series of publications "might well have been an important intermediary in the diffusion of practice-based understandings of consumption".</w:t>
      </w:r>
      <w:r>
        <w:rPr>
          <w:rFonts w:ascii="Garamond" w:hAnsi="Garamond"/>
        </w:rPr>
        <w:t xml:space="preserve"> Much of the initial thinking around this project was inspired by publications from this series. </w:t>
      </w:r>
    </w:p>
  </w:footnote>
  <w:footnote w:id="45">
    <w:p w:rsidR="002B3E92" w:rsidRPr="00022543" w:rsidRDefault="002B3E92" w:rsidP="00F44C33">
      <w:pPr>
        <w:pStyle w:val="FootnoteText"/>
        <w:jc w:val="both"/>
        <w:rPr>
          <w:rFonts w:ascii="Garamond" w:hAnsi="Garamond"/>
        </w:rPr>
      </w:pPr>
      <w:r w:rsidRPr="00642783">
        <w:rPr>
          <w:rStyle w:val="FootnoteReference"/>
          <w:rFonts w:ascii="Garamond" w:hAnsi="Garamond"/>
        </w:rPr>
        <w:footnoteRef/>
      </w:r>
      <w:r w:rsidRPr="00642783">
        <w:rPr>
          <w:rFonts w:ascii="Garamond" w:hAnsi="Garamond"/>
        </w:rPr>
        <w:t xml:space="preserve"> Following Rose (1999),</w:t>
      </w:r>
      <w:r>
        <w:rPr>
          <w:rFonts w:ascii="Garamond" w:hAnsi="Garamond"/>
        </w:rPr>
        <w:t xml:space="preserve"> Lemke (2001),</w:t>
      </w:r>
      <w:r w:rsidRPr="00642783">
        <w:rPr>
          <w:rFonts w:ascii="Garamond" w:hAnsi="Garamond"/>
        </w:rPr>
        <w:t xml:space="preserve"> Harvey (2005) and Springer (2010),</w:t>
      </w:r>
      <w:r>
        <w:t xml:space="preserve"> </w:t>
      </w:r>
      <w:r>
        <w:rPr>
          <w:rFonts w:ascii="Garamond" w:hAnsi="Garamond"/>
        </w:rPr>
        <w:t>I take neoliberal governmentality to be the rationalities, strategies and techniques that encourage individuals and organizations to conform to the norms of the market, enable the de-centring of government, and allow governance at distance. In Chapter Six I propose that STT are bound up in the delivery of forms of neoliberal governmentality in respect to their anti-trafficking work.</w:t>
      </w:r>
    </w:p>
  </w:footnote>
  <w:footnote w:id="46">
    <w:p w:rsidR="002B3E92" w:rsidRPr="006246EA" w:rsidRDefault="002B3E92" w:rsidP="00F44C33">
      <w:pPr>
        <w:pStyle w:val="FootnoteText"/>
        <w:jc w:val="both"/>
        <w:rPr>
          <w:rFonts w:ascii="Garamond" w:hAnsi="Garamond"/>
        </w:rPr>
      </w:pPr>
      <w:r w:rsidRPr="006246EA">
        <w:rPr>
          <w:rStyle w:val="FootnoteReference"/>
          <w:rFonts w:ascii="Garamond" w:hAnsi="Garamond"/>
        </w:rPr>
        <w:footnoteRef/>
      </w:r>
      <w:r w:rsidRPr="006246EA">
        <w:rPr>
          <w:rFonts w:ascii="Garamond" w:hAnsi="Garamond"/>
        </w:rPr>
        <w:t xml:space="preserve"> In the 'third-space' (Rose, 1999) between markets and governments, the commodity boycott is bound up with the practice of governance and the application of 'ethico politics' as "the relations between one's obligation to oneself and one's obligations to others" (ibid.: 1999, 188).</w:t>
      </w:r>
    </w:p>
  </w:footnote>
  <w:footnote w:id="47">
    <w:p w:rsidR="002B3E92" w:rsidRPr="00442B6F" w:rsidRDefault="002B3E92" w:rsidP="002D22FA">
      <w:pPr>
        <w:pStyle w:val="FootnoteText"/>
        <w:rPr>
          <w:rFonts w:ascii="Garamond" w:hAnsi="Garamond"/>
        </w:rPr>
      </w:pPr>
      <w:r w:rsidRPr="00442B6F">
        <w:rPr>
          <w:rStyle w:val="FootnoteReference"/>
          <w:rFonts w:ascii="Garamond" w:hAnsi="Garamond"/>
        </w:rPr>
        <w:footnoteRef/>
      </w:r>
      <w:r w:rsidRPr="00442B6F">
        <w:rPr>
          <w:rFonts w:ascii="Garamond" w:hAnsi="Garamond"/>
        </w:rPr>
        <w:t xml:space="preserve"> In </w:t>
      </w:r>
      <w:r>
        <w:rPr>
          <w:rFonts w:ascii="Garamond" w:hAnsi="Garamond"/>
        </w:rPr>
        <w:t>Chapter Four and Chapter Five</w:t>
      </w:r>
      <w:r w:rsidRPr="00442B6F">
        <w:rPr>
          <w:rFonts w:ascii="Garamond" w:hAnsi="Garamond"/>
        </w:rPr>
        <w:t xml:space="preserve"> I comment on the complex relationship between </w:t>
      </w:r>
      <w:r>
        <w:rPr>
          <w:rFonts w:ascii="Garamond" w:hAnsi="Garamond"/>
        </w:rPr>
        <w:t>commodity boycott</w:t>
      </w:r>
      <w:r w:rsidRPr="00442B6F">
        <w:rPr>
          <w:rFonts w:ascii="Garamond" w:hAnsi="Garamond"/>
        </w:rPr>
        <w:t xml:space="preserve">s and </w:t>
      </w:r>
      <w:r>
        <w:rPr>
          <w:rFonts w:ascii="Garamond" w:hAnsi="Garamond"/>
        </w:rPr>
        <w:t>fair trade</w:t>
      </w:r>
      <w:r w:rsidRPr="00442B6F">
        <w:rPr>
          <w:rFonts w:ascii="Garamond" w:hAnsi="Garamond"/>
        </w:rPr>
        <w:t xml:space="preserve"> chocolate in relation to STT's anti-trafficking campaigns.</w:t>
      </w:r>
    </w:p>
  </w:footnote>
  <w:footnote w:id="48">
    <w:p w:rsidR="002B3E92" w:rsidRDefault="002B3E92" w:rsidP="002D22FA">
      <w:pPr>
        <w:pStyle w:val="FootnoteText"/>
      </w:pPr>
      <w:r w:rsidRPr="00442B6F">
        <w:rPr>
          <w:rStyle w:val="FootnoteReference"/>
          <w:rFonts w:ascii="Garamond" w:hAnsi="Garamond"/>
        </w:rPr>
        <w:footnoteRef/>
      </w:r>
      <w:r w:rsidRPr="00442B6F">
        <w:rPr>
          <w:rFonts w:ascii="Garamond" w:hAnsi="Garamond"/>
        </w:rPr>
        <w:t xml:space="preserve"> In 2003 Bill Crowther was the Fair Trade Towns co-ordinator of the </w:t>
      </w:r>
      <w:r>
        <w:rPr>
          <w:rFonts w:ascii="Garamond" w:hAnsi="Garamond"/>
          <w:i/>
        </w:rPr>
        <w:t>Fairtrade</w:t>
      </w:r>
      <w:r w:rsidRPr="00442B6F">
        <w:rPr>
          <w:rFonts w:ascii="Garamond" w:hAnsi="Garamond"/>
          <w:i/>
        </w:rPr>
        <w:t xml:space="preserve"> Foundation</w:t>
      </w:r>
      <w:r>
        <w:rPr>
          <w:rFonts w:ascii="Garamond" w:hAnsi="Garamond"/>
          <w:i/>
        </w:rPr>
        <w:t>.</w:t>
      </w:r>
    </w:p>
  </w:footnote>
  <w:footnote w:id="49">
    <w:p w:rsidR="002B3E92" w:rsidRPr="0065186B" w:rsidRDefault="002B3E92" w:rsidP="002D22FA">
      <w:pPr>
        <w:pStyle w:val="FootnoteText"/>
        <w:jc w:val="both"/>
        <w:rPr>
          <w:rFonts w:ascii="Garamond" w:hAnsi="Garamond"/>
        </w:rPr>
      </w:pPr>
      <w:r w:rsidRPr="0065186B">
        <w:rPr>
          <w:rStyle w:val="FootnoteReference"/>
          <w:rFonts w:ascii="Garamond" w:hAnsi="Garamond"/>
        </w:rPr>
        <w:footnoteRef/>
      </w:r>
      <w:r w:rsidRPr="0065186B">
        <w:rPr>
          <w:rFonts w:ascii="Garamond" w:hAnsi="Garamond"/>
        </w:rPr>
        <w:t xml:space="preserve"> The proliferation of geographical interest in the body included writing about the body in the workplace (McDowell &amp; Court, 19</w:t>
      </w:r>
      <w:r>
        <w:rPr>
          <w:rFonts w:ascii="Garamond" w:hAnsi="Garamond"/>
        </w:rPr>
        <w:t>94; McDowell 2004a; Du Gay, 1996</w:t>
      </w:r>
      <w:r w:rsidRPr="0065186B">
        <w:rPr>
          <w:rFonts w:ascii="Garamond" w:hAnsi="Garamond"/>
        </w:rPr>
        <w:t>), clubs (Malbon, 1998), the city (Pile, 1996). Geographical scholarship discussed how bot</w:t>
      </w:r>
      <w:r>
        <w:rPr>
          <w:rFonts w:ascii="Garamond" w:hAnsi="Garamond"/>
        </w:rPr>
        <w:t>h bodies and places are sexualiz</w:t>
      </w:r>
      <w:r w:rsidRPr="0065186B">
        <w:rPr>
          <w:rFonts w:ascii="Garamond" w:hAnsi="Garamond"/>
        </w:rPr>
        <w:t>ed (Bell, 1991; Valentin</w:t>
      </w:r>
      <w:r>
        <w:rPr>
          <w:rFonts w:ascii="Garamond" w:hAnsi="Garamond"/>
        </w:rPr>
        <w:t>e, 1993; Bell &amp; Valentine, 1995; Browne, 2008), racialized (Jackson, 1994; Schein, 2002; Saldanha, 2007; Amin, 2010</w:t>
      </w:r>
      <w:r w:rsidRPr="0065186B">
        <w:rPr>
          <w:rFonts w:ascii="Garamond" w:hAnsi="Garamond"/>
        </w:rPr>
        <w:t>; Tolia-Kelly, 2010) and gendered (Johnson, 1994; McDowell</w:t>
      </w:r>
      <w:r>
        <w:rPr>
          <w:rFonts w:ascii="Garamond" w:hAnsi="Garamond"/>
        </w:rPr>
        <w:t xml:space="preserve"> &amp; Court</w:t>
      </w:r>
      <w:r w:rsidRPr="0065186B">
        <w:rPr>
          <w:rFonts w:ascii="Garamond" w:hAnsi="Garamond"/>
        </w:rPr>
        <w:t>, 1994</w:t>
      </w:r>
      <w:r w:rsidRPr="0065186B">
        <w:rPr>
          <w:rFonts w:ascii="Garamond" w:eastAsia="Times New Roman" w:hAnsi="Garamond"/>
          <w:kern w:val="28"/>
          <w:lang w:val="en-US" w:eastAsia="en-GB"/>
        </w:rPr>
        <w:t xml:space="preserve">). </w:t>
      </w:r>
      <w:r w:rsidRPr="0065186B">
        <w:rPr>
          <w:rFonts w:ascii="Garamond" w:hAnsi="Garamond"/>
          <w:kern w:val="28"/>
          <w:lang w:val="en-US"/>
        </w:rPr>
        <w:t xml:space="preserve">Geographers have considered </w:t>
      </w:r>
      <w:r w:rsidRPr="0065186B">
        <w:rPr>
          <w:rFonts w:ascii="Garamond" w:eastAsia="Times New Roman" w:hAnsi="Garamond"/>
          <w:kern w:val="28"/>
          <w:lang w:val="en-US" w:eastAsia="en-GB"/>
        </w:rPr>
        <w:t xml:space="preserve">the ways the body and gendered attributes have become commodified in performing emotional, aesthetic or </w:t>
      </w:r>
      <w:r>
        <w:rPr>
          <w:rFonts w:ascii="Garamond" w:eastAsia="Times New Roman" w:hAnsi="Garamond"/>
          <w:kern w:val="28"/>
          <w:lang w:val="en-US" w:eastAsia="en-GB"/>
        </w:rPr>
        <w:t>sexual labour (Hochschild, 1984</w:t>
      </w:r>
      <w:r w:rsidRPr="0065186B">
        <w:rPr>
          <w:rFonts w:ascii="Garamond" w:eastAsia="Times New Roman" w:hAnsi="Garamond"/>
          <w:kern w:val="28"/>
          <w:lang w:val="en-US" w:eastAsia="en-GB"/>
        </w:rPr>
        <w:t>; Valentine, 2002; Tyler &amp; Ab</w:t>
      </w:r>
      <w:r>
        <w:rPr>
          <w:rFonts w:ascii="Garamond" w:eastAsia="Times New Roman" w:hAnsi="Garamond"/>
          <w:kern w:val="28"/>
          <w:lang w:val="en-US" w:eastAsia="en-GB"/>
        </w:rPr>
        <w:t>bott, 1998)</w:t>
      </w:r>
      <w:r w:rsidRPr="0065186B">
        <w:rPr>
          <w:rFonts w:ascii="Garamond" w:eastAsia="Times New Roman" w:hAnsi="Garamond"/>
          <w:kern w:val="28"/>
          <w:lang w:val="en-US" w:eastAsia="en-GB"/>
        </w:rPr>
        <w:t>.</w:t>
      </w:r>
    </w:p>
  </w:footnote>
  <w:footnote w:id="50">
    <w:p w:rsidR="002B3E92" w:rsidRPr="00B77C60" w:rsidRDefault="002B3E92" w:rsidP="002D22FA">
      <w:pPr>
        <w:pStyle w:val="FootnoteText"/>
        <w:rPr>
          <w:rFonts w:ascii="Garamond" w:hAnsi="Garamond"/>
        </w:rPr>
      </w:pPr>
      <w:r w:rsidRPr="00B77C60">
        <w:rPr>
          <w:rStyle w:val="FootnoteReference"/>
          <w:rFonts w:ascii="Garamond" w:hAnsi="Garamond"/>
        </w:rPr>
        <w:footnoteRef/>
      </w:r>
      <w:r w:rsidRPr="00B77C60">
        <w:rPr>
          <w:rFonts w:ascii="Garamond" w:hAnsi="Garamond"/>
        </w:rPr>
        <w:t xml:space="preserve"> Fanon's seminal essay from 1952 is published as chapter five in </w:t>
      </w:r>
      <w:r w:rsidRPr="00B77C60">
        <w:rPr>
          <w:rFonts w:ascii="Garamond" w:hAnsi="Garamond"/>
          <w:i/>
        </w:rPr>
        <w:t xml:space="preserve">Black Skin, White Masks </w:t>
      </w:r>
      <w:r w:rsidRPr="00B77C60">
        <w:rPr>
          <w:rFonts w:ascii="Garamond" w:hAnsi="Garamond"/>
        </w:rPr>
        <w:t xml:space="preserve"> (1986) [1967].</w:t>
      </w:r>
    </w:p>
  </w:footnote>
  <w:footnote w:id="51">
    <w:p w:rsidR="002B3E92" w:rsidRPr="00393144" w:rsidRDefault="002B3E92" w:rsidP="002D22FA">
      <w:pPr>
        <w:pStyle w:val="FootnoteText"/>
        <w:rPr>
          <w:rFonts w:ascii="Garamond" w:hAnsi="Garamond"/>
        </w:rPr>
      </w:pPr>
      <w:r w:rsidRPr="00393144">
        <w:rPr>
          <w:rStyle w:val="FootnoteReference"/>
          <w:rFonts w:ascii="Garamond" w:hAnsi="Garamond"/>
        </w:rPr>
        <w:footnoteRef/>
      </w:r>
      <w:r w:rsidRPr="00393144">
        <w:rPr>
          <w:rFonts w:ascii="Garamond" w:hAnsi="Garamond"/>
        </w:rPr>
        <w:t xml:space="preserve"> Levi- Strauss (1992) argues that </w:t>
      </w:r>
      <w:r>
        <w:rPr>
          <w:rFonts w:ascii="Garamond" w:hAnsi="Garamond"/>
        </w:rPr>
        <w:t>'</w:t>
      </w:r>
      <w:r w:rsidRPr="00393144">
        <w:rPr>
          <w:rFonts w:ascii="Garamond" w:hAnsi="Garamond"/>
        </w:rPr>
        <w:t>primitive</w:t>
      </w:r>
      <w:r>
        <w:rPr>
          <w:rFonts w:ascii="Garamond" w:hAnsi="Garamond"/>
        </w:rPr>
        <w:t>'</w:t>
      </w:r>
      <w:r w:rsidRPr="00393144">
        <w:rPr>
          <w:rFonts w:ascii="Garamond" w:hAnsi="Garamond" w:cs="Arial"/>
        </w:rPr>
        <w:t xml:space="preserve"> </w:t>
      </w:r>
      <w:r w:rsidRPr="00393144">
        <w:rPr>
          <w:rFonts w:ascii="Garamond" w:hAnsi="Garamond"/>
        </w:rPr>
        <w:t xml:space="preserve">societies are nominally anthropophagic (or </w:t>
      </w:r>
      <w:r>
        <w:rPr>
          <w:rFonts w:ascii="Garamond" w:hAnsi="Garamond"/>
        </w:rPr>
        <w:t>'</w:t>
      </w:r>
      <w:r w:rsidRPr="00393144">
        <w:rPr>
          <w:rFonts w:ascii="Garamond" w:hAnsi="Garamond"/>
        </w:rPr>
        <w:t>cannibalistic</w:t>
      </w:r>
      <w:r>
        <w:rPr>
          <w:rFonts w:ascii="Garamond" w:hAnsi="Garamond"/>
        </w:rPr>
        <w:t>'</w:t>
      </w:r>
      <w:r w:rsidRPr="00393144">
        <w:rPr>
          <w:rFonts w:ascii="Garamond" w:hAnsi="Garamond"/>
        </w:rPr>
        <w:t xml:space="preserve">) as they deal with strangers by swallowing them up, by assimilating them and gaining strength from them. In contrast, Levi-Strauss argues modern societies are bulimic or anthropoemic in that they “they vomit out the deviant, keeping them outside of society or enclosing them in special institutions within their perimeters” (23, </w:t>
      </w:r>
      <w:r w:rsidRPr="00393144">
        <w:rPr>
          <w:rFonts w:ascii="Garamond" w:hAnsi="Garamond"/>
          <w:i/>
          <w:iCs/>
        </w:rPr>
        <w:t>Tristes Tropiques</w:t>
      </w:r>
      <w:r w:rsidRPr="00393144">
        <w:rPr>
          <w:rFonts w:ascii="Garamond" w:hAnsi="Garamond"/>
        </w:rPr>
        <w:t>). The anthropo</w:t>
      </w:r>
      <w:r>
        <w:rPr>
          <w:rFonts w:ascii="Garamond" w:hAnsi="Garamond"/>
        </w:rPr>
        <w:t>e</w:t>
      </w:r>
      <w:r w:rsidRPr="00393144">
        <w:rPr>
          <w:rFonts w:ascii="Garamond" w:hAnsi="Garamond"/>
        </w:rPr>
        <w:t>mic society resonates with Rancière</w:t>
      </w:r>
      <w:r w:rsidRPr="00393144">
        <w:rPr>
          <w:rFonts w:ascii="Garamond" w:hAnsi="Garamond" w:cs="Arial"/>
        </w:rPr>
        <w:t>’</w:t>
      </w:r>
      <w:r w:rsidRPr="00393144">
        <w:rPr>
          <w:rFonts w:ascii="Garamond" w:hAnsi="Garamond"/>
        </w:rPr>
        <w:t>s understanding of contemporary neoliberalism, where governments and professional agencies expel the political from the public sphere so that there is no space for the creation of democratic polemic.</w:t>
      </w:r>
    </w:p>
    <w:p w:rsidR="002B3E92" w:rsidRDefault="002B3E92" w:rsidP="002D22FA">
      <w:pPr>
        <w:pStyle w:val="FootnoteText"/>
      </w:pPr>
    </w:p>
  </w:footnote>
  <w:footnote w:id="52">
    <w:p w:rsidR="002B3E92" w:rsidRDefault="002B3E92" w:rsidP="007F618F">
      <w:pPr>
        <w:pStyle w:val="FootnoteText"/>
      </w:pPr>
      <w:r w:rsidRPr="0046368A">
        <w:rPr>
          <w:rStyle w:val="FootnoteReference"/>
          <w:rFonts w:ascii="Garamond" w:hAnsi="Garamond"/>
        </w:rPr>
        <w:footnoteRef/>
      </w:r>
      <w:r w:rsidRPr="0046368A">
        <w:rPr>
          <w:rFonts w:ascii="Garamond" w:hAnsi="Garamond"/>
        </w:rPr>
        <w:t xml:space="preserve">However </w:t>
      </w:r>
      <w:r w:rsidRPr="0046368A">
        <w:rPr>
          <w:rFonts w:ascii="Garamond" w:hAnsi="Garamond" w:cs="RotisSemiSans-Bold"/>
          <w:bCs/>
        </w:rPr>
        <w:t>their empirical data does not allow analysis on race or class identity formation through a visceral politics</w:t>
      </w:r>
      <w:r>
        <w:rPr>
          <w:rFonts w:ascii="Garamond" w:hAnsi="Garamond" w:cs="RotisSemiSans-Bold"/>
          <w:bCs/>
          <w:sz w:val="24"/>
          <w:szCs w:val="24"/>
        </w:rPr>
        <w:t>.</w:t>
      </w:r>
    </w:p>
  </w:footnote>
  <w:footnote w:id="53">
    <w:p w:rsidR="002B3E92" w:rsidRPr="0025716F" w:rsidRDefault="002B3E92" w:rsidP="007F618F">
      <w:pPr>
        <w:pStyle w:val="FootnoteText"/>
        <w:rPr>
          <w:rFonts w:ascii="Garamond" w:hAnsi="Garamond"/>
        </w:rPr>
      </w:pPr>
      <w:r w:rsidRPr="0025716F">
        <w:rPr>
          <w:rStyle w:val="FootnoteReference"/>
          <w:rFonts w:ascii="Garamond" w:hAnsi="Garamond"/>
        </w:rPr>
        <w:footnoteRef/>
      </w:r>
      <w:r w:rsidRPr="0025716F">
        <w:rPr>
          <w:rFonts w:ascii="Garamond" w:hAnsi="Garamond"/>
        </w:rPr>
        <w:t xml:space="preserve"> </w:t>
      </w:r>
      <w:r w:rsidRPr="0025716F">
        <w:rPr>
          <w:rFonts w:ascii="Garamond" w:hAnsi="Garamond"/>
          <w:lang w:val="en-US"/>
        </w:rPr>
        <w:t>For a detailed list of the theoretical con</w:t>
      </w:r>
      <w:r>
        <w:rPr>
          <w:rFonts w:ascii="Garamond" w:hAnsi="Garamond"/>
          <w:lang w:val="en-US"/>
        </w:rPr>
        <w:t>tributions made though and in tandem with</w:t>
      </w:r>
      <w:r w:rsidRPr="0025716F">
        <w:rPr>
          <w:rFonts w:ascii="Garamond" w:hAnsi="Garamond"/>
          <w:lang w:val="en-US"/>
        </w:rPr>
        <w:t xml:space="preserve"> activist bodywork see Chapter Eight.        </w:t>
      </w:r>
      <w:r w:rsidRPr="0025716F">
        <w:rPr>
          <w:rFonts w:ascii="Garamond" w:hAnsi="Garamond" w:cs="Arial"/>
          <w:shd w:val="clear" w:color="auto" w:fill="FFFFFF"/>
        </w:rPr>
        <w:t xml:space="preserve">   </w:t>
      </w:r>
    </w:p>
  </w:footnote>
  <w:footnote w:id="54">
    <w:p w:rsidR="002B3E92" w:rsidRPr="00E87240" w:rsidRDefault="002B3E92" w:rsidP="00BA0F0B">
      <w:pPr>
        <w:pStyle w:val="FootnoteText"/>
        <w:rPr>
          <w:rFonts w:ascii="Garamond" w:hAnsi="Garamond"/>
        </w:rPr>
      </w:pPr>
      <w:r w:rsidRPr="00F435A3">
        <w:rPr>
          <w:rStyle w:val="FootnoteReference"/>
          <w:rFonts w:ascii="Times New Roman" w:hAnsi="Times New Roman"/>
        </w:rPr>
        <w:footnoteRef/>
      </w:r>
      <w:r w:rsidRPr="00F435A3">
        <w:rPr>
          <w:rFonts w:ascii="Times New Roman" w:hAnsi="Times New Roman"/>
        </w:rPr>
        <w:t xml:space="preserve"> </w:t>
      </w:r>
      <w:r w:rsidRPr="00E87240">
        <w:rPr>
          <w:rFonts w:ascii="Garamond" w:hAnsi="Garamond"/>
        </w:rPr>
        <w:t xml:space="preserve">At the outset of </w:t>
      </w:r>
      <w:r w:rsidRPr="00E87240">
        <w:rPr>
          <w:rFonts w:ascii="Garamond" w:hAnsi="Garamond"/>
          <w:i/>
        </w:rPr>
        <w:t xml:space="preserve">In Playing in the Dark </w:t>
      </w:r>
      <w:r w:rsidRPr="00E87240">
        <w:rPr>
          <w:rFonts w:ascii="Garamond" w:hAnsi="Garamond"/>
        </w:rPr>
        <w:t xml:space="preserve">, Nobel Peace Prize laureate for literature, Toni Morrison, argues that we live in "wholly racialized worlds" (1992:4). She asserts that there is no outside to race, and that "there is no escape from racially inflected language" (ibid: 12-13).  </w:t>
      </w:r>
    </w:p>
  </w:footnote>
  <w:footnote w:id="55">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In September 1973, A&amp;O launched an injunction against BOA because they claimed that the anti-apartheid activities were hindering customers from entering the supermarket. And then it was taken up in Rotterdam and</w:t>
      </w:r>
      <w:r>
        <w:rPr>
          <w:rFonts w:ascii="Garamond" w:hAnsi="Garamond"/>
        </w:rPr>
        <w:t xml:space="preserve"> the</w:t>
      </w:r>
      <w:r w:rsidRPr="00E87240">
        <w:rPr>
          <w:rFonts w:ascii="Garamond" w:hAnsi="Garamond"/>
        </w:rPr>
        <w:t xml:space="preserve"> judge dismissed the case. A&amp;O described the boycott as 'hindering custom'. </w:t>
      </w:r>
    </w:p>
  </w:footnote>
  <w:footnote w:id="56">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The Netherlands agreed to pay 0.5% of its GDP towards ‘third world development campaigns’ in the late 1960s. Most of the anti-apartheid organizations that flourished in the 1960s and </w:t>
      </w:r>
      <w:r>
        <w:rPr>
          <w:rFonts w:ascii="Garamond" w:hAnsi="Garamond"/>
        </w:rPr>
        <w:t>19</w:t>
      </w:r>
      <w:r w:rsidRPr="00E87240">
        <w:rPr>
          <w:rFonts w:ascii="Garamond" w:hAnsi="Garamond"/>
        </w:rPr>
        <w:t>70s were able to apply for this funding in the form of a yearly grant to sustain public campaigns and to employ salaried workers; du Plessis argues that the downside to the funding was that it encouraged participation amongst Dutch activists who could be less motivated by the anti-apartheid cause.</w:t>
      </w:r>
    </w:p>
  </w:footnote>
  <w:footnote w:id="57">
    <w:p w:rsidR="002B3E92" w:rsidRPr="00E87240" w:rsidRDefault="002B3E92" w:rsidP="00BA0F0B">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In </w:t>
      </w:r>
      <w:r w:rsidRPr="00E87240">
        <w:rPr>
          <w:rFonts w:ascii="Garamond" w:hAnsi="Garamond"/>
          <w:i/>
        </w:rPr>
        <w:t xml:space="preserve">Die Grenzen der Toleranz: der Mord an Theo van Gogh </w:t>
      </w:r>
      <w:r w:rsidRPr="00E87240">
        <w:rPr>
          <w:rFonts w:ascii="Garamond" w:hAnsi="Garamond"/>
        </w:rPr>
        <w:t>(2010), Buruma argues that the political leanings of Dutch civil society has operated in oppositional generational cycles since the 1950s.</w:t>
      </w:r>
    </w:p>
  </w:footnote>
  <w:footnote w:id="58">
    <w:p w:rsidR="002B3E92" w:rsidRPr="00E87240" w:rsidRDefault="002B3E92" w:rsidP="002706A8">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The South African Congress of Trade Unions were forced underground and into exile by the apartheid regime</w:t>
      </w:r>
      <w:r>
        <w:rPr>
          <w:rFonts w:ascii="Garamond" w:hAnsi="Garamond"/>
        </w:rPr>
        <w:t>.</w:t>
      </w:r>
    </w:p>
  </w:footnote>
  <w:footnote w:id="59">
    <w:p w:rsidR="002B3E92" w:rsidRPr="00E87240" w:rsidRDefault="002B3E92" w:rsidP="00BA0F0B">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Ruth First was an exiled ANC and Communist politician and journalist banned from South Africa with her husband Jo Slovo following the end of the treason trial in 1961. She was an ardent and committed anti-apartheid activist and development scholar, lecturing at Durham and Manchester universities in the early 1970s. She was assassinated in Mozambique in 1982.</w:t>
      </w:r>
    </w:p>
  </w:footnote>
  <w:footnote w:id="60">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Trouw are a liberal Dutch daily newspaper which in 1974 had a circulation of about 500,000. Du Plessis maintained a strong working relationship with journalists from the </w:t>
      </w:r>
      <w:r>
        <w:rPr>
          <w:rFonts w:ascii="Garamond" w:hAnsi="Garamond"/>
          <w:i/>
        </w:rPr>
        <w:t>Algemeen Nederlands Persbureau</w:t>
      </w:r>
      <w:r w:rsidRPr="00E87240">
        <w:rPr>
          <w:rFonts w:ascii="Garamond" w:hAnsi="Garamond"/>
        </w:rPr>
        <w:t xml:space="preserve"> (The ANP, General Dutch Press Agency) and the </w:t>
      </w:r>
      <w:r w:rsidRPr="00E87240">
        <w:rPr>
          <w:rFonts w:ascii="Garamond" w:hAnsi="Garamond"/>
          <w:i/>
        </w:rPr>
        <w:t xml:space="preserve">Gemeenschappelijke Persdienst </w:t>
      </w:r>
      <w:r w:rsidRPr="00E87240">
        <w:rPr>
          <w:rFonts w:ascii="Garamond" w:hAnsi="Garamond"/>
        </w:rPr>
        <w:t>(The Common Press Service).</w:t>
      </w:r>
    </w:p>
  </w:footnote>
  <w:footnote w:id="61">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Du Plessis “wrote a few articles for the CZA but was frustrated by their lack of action” (interview notes, 2012). Consequently, in contradiction to Bosgra’s claim, he never joined the organization.</w:t>
      </w:r>
    </w:p>
  </w:footnote>
  <w:footnote w:id="62">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http://www.iisg.nl/collections/anti-apartheid/pdf/open-letter-esau.pdf</w:t>
      </w:r>
    </w:p>
  </w:footnote>
  <w:footnote w:id="63">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Du Plessis signs off the letter with address and phone number in Sweden. A day after reading the dossier I decided to give him a call. This was the only form of contact I could find for the BOA. In small margins this chapter owes its existence.</w:t>
      </w:r>
    </w:p>
  </w:footnote>
  <w:footnote w:id="64">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Bosgra has a long and distinguished history of activism in support the anti-colonial agitation in Angola, Mozambique and South Africa. He is also an active member of NIZA (The Dutch Institute for Southern Africa) where he has a role presiding over the historiography of Dutch anti-apartheid.</w:t>
      </w:r>
    </w:p>
  </w:footnote>
  <w:footnote w:id="65">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After reading the initial draft of this paper, du Plessis responded to this comment: “I never thought or said they let me down, I knew it would be difficult for them to look into their own bosom and recognize their own racism” (du Plessis, notes 2012)</w:t>
      </w:r>
    </w:p>
  </w:footnote>
  <w:footnote w:id="66">
    <w:p w:rsidR="002B3E92" w:rsidRPr="00E87240" w:rsidRDefault="002B3E92" w:rsidP="00BA0F0B">
      <w:pPr>
        <w:autoSpaceDE w:val="0"/>
        <w:autoSpaceDN w:val="0"/>
        <w:adjustRightInd w:val="0"/>
        <w:spacing w:after="0" w:line="240" w:lineRule="auto"/>
        <w:rPr>
          <w:rFonts w:ascii="Garamond" w:hAnsi="Garamond"/>
          <w:sz w:val="20"/>
          <w:szCs w:val="20"/>
        </w:rPr>
      </w:pPr>
      <w:r w:rsidRPr="00E87240">
        <w:rPr>
          <w:rStyle w:val="FootnoteReference"/>
          <w:rFonts w:ascii="Garamond" w:hAnsi="Garamond"/>
          <w:sz w:val="20"/>
          <w:szCs w:val="20"/>
        </w:rPr>
        <w:footnoteRef/>
      </w:r>
      <w:r w:rsidRPr="00E87240">
        <w:rPr>
          <w:rFonts w:ascii="Garamond" w:hAnsi="Garamond"/>
          <w:sz w:val="20"/>
          <w:szCs w:val="20"/>
        </w:rPr>
        <w:t xml:space="preserve"> Beerends, H. (1992). </w:t>
      </w:r>
      <w:r w:rsidRPr="00E87240">
        <w:rPr>
          <w:rFonts w:ascii="Garamond" w:hAnsi="Garamond"/>
          <w:i/>
          <w:iCs/>
          <w:sz w:val="20"/>
          <w:szCs w:val="20"/>
        </w:rPr>
        <w:t xml:space="preserve">De Derde Wereldbeweging, geschiedenis en toekomst </w:t>
      </w:r>
      <w:r w:rsidRPr="00E87240">
        <w:rPr>
          <w:rFonts w:ascii="Garamond" w:hAnsi="Garamond"/>
          <w:sz w:val="20"/>
          <w:szCs w:val="20"/>
        </w:rPr>
        <w:t>[The Third World Movement, history and future]. Utrecht/Den Haag: Jan van Arkel/NOVIB.</w:t>
      </w:r>
    </w:p>
    <w:p w:rsidR="002B3E92" w:rsidRPr="00E87240" w:rsidRDefault="002B3E92" w:rsidP="00BA0F0B">
      <w:pPr>
        <w:pStyle w:val="FootnoteText"/>
        <w:rPr>
          <w:rFonts w:ascii="Garamond" w:hAnsi="Garamond"/>
        </w:rPr>
      </w:pPr>
    </w:p>
  </w:footnote>
  <w:footnote w:id="67">
    <w:p w:rsidR="002B3E92" w:rsidRPr="00E87240" w:rsidRDefault="002B3E92" w:rsidP="00BA0F0B">
      <w:pPr>
        <w:pStyle w:val="FootnoteText"/>
        <w:rPr>
          <w:rStyle w:val="FootnoteReference"/>
          <w:sz w:val="22"/>
          <w:szCs w:val="22"/>
        </w:rPr>
      </w:pPr>
      <w:r w:rsidRPr="00E87240">
        <w:rPr>
          <w:rStyle w:val="FootnoteReference"/>
          <w:rFonts w:ascii="Garamond" w:hAnsi="Garamond"/>
        </w:rPr>
        <w:footnoteRef/>
      </w:r>
      <w:r w:rsidRPr="00E87240">
        <w:rPr>
          <w:rFonts w:ascii="Garamond" w:hAnsi="Garamond"/>
        </w:rPr>
        <w:t xml:space="preserve"> On page 29 of </w:t>
      </w:r>
      <w:r w:rsidRPr="00E87240">
        <w:rPr>
          <w:rFonts w:ascii="Garamond" w:hAnsi="Garamond"/>
          <w:i/>
        </w:rPr>
        <w:t>Angola, Mozambique &amp; Guinea</w:t>
      </w:r>
      <w:r w:rsidRPr="00E87240">
        <w:rPr>
          <w:rStyle w:val="FootnoteReference"/>
          <w:rFonts w:ascii="Garamond" w:hAnsi="Garamond"/>
        </w:rPr>
        <w:t xml:space="preserve"> </w:t>
      </w:r>
      <w:r w:rsidRPr="00E87240">
        <w:rPr>
          <w:rFonts w:ascii="Garamond" w:hAnsi="Garamond"/>
        </w:rPr>
        <w:t xml:space="preserve">, Bosgra reproduces a photograph of a group of Africans and writes in a caption below: “A group of captured </w:t>
      </w:r>
      <w:r w:rsidRPr="00E87240">
        <w:rPr>
          <w:rFonts w:ascii="Garamond" w:hAnsi="Garamond"/>
          <w:i/>
        </w:rPr>
        <w:t>negers</w:t>
      </w:r>
      <w:r w:rsidRPr="00E87240">
        <w:rPr>
          <w:rFonts w:ascii="Garamond" w:hAnsi="Garamond"/>
        </w:rPr>
        <w:t xml:space="preserve"> on their way to coast to be sold as slaves” (200?:29)</w:t>
      </w:r>
    </w:p>
  </w:footnote>
  <w:footnote w:id="68">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De Jonge’s article was published in De Volkstrant (13.11.2005)</w:t>
      </w:r>
      <w:r>
        <w:rPr>
          <w:rFonts w:ascii="Garamond" w:hAnsi="Garamond"/>
        </w:rPr>
        <w:t xml:space="preserve"> and is translated from “er is r</w:t>
      </w:r>
      <w:r w:rsidRPr="00E87240">
        <w:rPr>
          <w:rFonts w:ascii="Garamond" w:hAnsi="Garamond"/>
        </w:rPr>
        <w:t>og s</w:t>
      </w:r>
      <w:r>
        <w:rPr>
          <w:rFonts w:ascii="Garamond" w:hAnsi="Garamond"/>
        </w:rPr>
        <w:t>teeds van alles mis daan…De rot</w:t>
      </w:r>
      <w:r w:rsidRPr="00E87240">
        <w:rPr>
          <w:rFonts w:ascii="Garamond" w:hAnsi="Garamond"/>
        </w:rPr>
        <w:t>zo</w:t>
      </w:r>
      <w:r>
        <w:rPr>
          <w:rFonts w:ascii="Garamond" w:hAnsi="Garamond"/>
        </w:rPr>
        <w:t>o</w:t>
      </w:r>
      <w:r w:rsidRPr="00E87240">
        <w:rPr>
          <w:rFonts w:ascii="Garamond" w:hAnsi="Garamond"/>
        </w:rPr>
        <w:t>ic die ze nu maken, is van henzelf”</w:t>
      </w:r>
    </w:p>
  </w:footnote>
  <w:footnote w:id="69">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Du Plessis avoided describing the Outspan girls as white or Caucasian, suggesting that “it might justify the use of negro…instead I used the names of the countries from which the girls eman</w:t>
      </w:r>
      <w:r>
        <w:rPr>
          <w:rFonts w:ascii="Garamond" w:hAnsi="Garamond"/>
        </w:rPr>
        <w:t>ated” (i</w:t>
      </w:r>
      <w:r w:rsidRPr="00E87240">
        <w:rPr>
          <w:rFonts w:ascii="Garamond" w:hAnsi="Garamond"/>
        </w:rPr>
        <w:t>nterview revisions, 2012).</w:t>
      </w:r>
    </w:p>
  </w:footnote>
  <w:footnote w:id="70">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Solidarity is a commonly used term in the global anti-apartheid movement. For a detailed discussion of its multifarious uses in anti-apartheid, see Thorne (2009)</w:t>
      </w:r>
    </w:p>
  </w:footnote>
  <w:footnote w:id="71">
    <w:p w:rsidR="002B3E92" w:rsidRPr="00E87240" w:rsidRDefault="002B3E92" w:rsidP="00BA0F0B">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Included in the BOA’s inner circle were the scholars and radio journalist Karel Roskam and the author and journalist of </w:t>
      </w:r>
      <w:r>
        <w:rPr>
          <w:rFonts w:ascii="Garamond" w:hAnsi="Garamond"/>
          <w:i/>
        </w:rPr>
        <w:t>Trouw</w:t>
      </w:r>
      <w:r w:rsidRPr="00E87240">
        <w:rPr>
          <w:rFonts w:ascii="Garamond" w:hAnsi="Garamond"/>
          <w:i/>
        </w:rPr>
        <w:t xml:space="preserve">, </w:t>
      </w:r>
      <w:r w:rsidRPr="00E87240">
        <w:rPr>
          <w:rFonts w:ascii="Garamond" w:hAnsi="Garamond"/>
        </w:rPr>
        <w:t>Ben van Kaam, who would use Roskam's current affairs broadcasts on VARA radio to promote the Outspan boycott. Gerard van Dijk and Herman Moscoviter of the GDP agency ar</w:t>
      </w:r>
      <w:r>
        <w:rPr>
          <w:rFonts w:ascii="Garamond" w:hAnsi="Garamond"/>
        </w:rPr>
        <w:t xml:space="preserve">e also credited in du Plessis' </w:t>
      </w:r>
      <w:r w:rsidRPr="00E87240">
        <w:rPr>
          <w:rFonts w:ascii="Garamond" w:hAnsi="Garamond"/>
        </w:rPr>
        <w:t xml:space="preserve">(2009) description of the boycott.  </w:t>
      </w:r>
    </w:p>
  </w:footnote>
  <w:footnote w:id="72">
    <w:p w:rsidR="002B3E92" w:rsidRPr="00E87240" w:rsidRDefault="002B3E92" w:rsidP="00BA0F0B">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Anti-apartheid movements acquired particular patterns of interaction with the media (Thorne, 2009). On this process, Getlin (1980: 22) writes: “As movement and media discovered and acted on each other, they worked out the terms with which they would recognise and work with the other; they developed a grammar of interaction. This grammar then shaped the way movement-media history developed”. This relationship is explored in relation to boycotts in Friedman’s (1999) </w:t>
      </w:r>
      <w:r w:rsidRPr="00E87240">
        <w:rPr>
          <w:rFonts w:ascii="Garamond" w:hAnsi="Garamond"/>
          <w:i/>
        </w:rPr>
        <w:t>Consumer Boycotts: In the Media and the Marketplace.</w:t>
      </w:r>
      <w:r w:rsidRPr="00E87240">
        <w:rPr>
          <w:rFonts w:ascii="Garamond" w:hAnsi="Garamond"/>
        </w:rPr>
        <w:t xml:space="preserve">  </w:t>
      </w:r>
    </w:p>
  </w:footnote>
  <w:footnote w:id="73">
    <w:p w:rsidR="002B3E92" w:rsidRPr="00E87240" w:rsidRDefault="002B3E92" w:rsidP="00B83595">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Apartheid is an Afrikaner word implying separation or separateness. Its first reported usage was at an Afrikaner conference in 1936 (Roskam, 1960). Its entry in the </w:t>
      </w:r>
      <w:r w:rsidRPr="00E87240">
        <w:rPr>
          <w:rFonts w:ascii="Garamond" w:hAnsi="Garamond"/>
          <w:i/>
        </w:rPr>
        <w:t xml:space="preserve">Woordeboek van die Afrikaanse Taal </w:t>
      </w:r>
      <w:r w:rsidRPr="00E87240">
        <w:rPr>
          <w:rFonts w:ascii="Garamond" w:hAnsi="Garamond"/>
        </w:rPr>
        <w:t>(Afrikaner Dictionary) of 1950 suggests how encompassing and integral the policy was for the creation of the post-war South Africa. Apartheid meant that ‘each man should have his own place’; it was the process of differentiating between rac</w:t>
      </w:r>
      <w:r>
        <w:rPr>
          <w:rFonts w:ascii="Garamond" w:hAnsi="Garamond"/>
        </w:rPr>
        <w:t>e, colour, and ‘level of civiliz</w:t>
      </w:r>
      <w:r w:rsidRPr="00E87240">
        <w:rPr>
          <w:rFonts w:ascii="Garamond" w:hAnsi="Garamond"/>
        </w:rPr>
        <w:t>ation’; it was the official policy of preventing miscegenation and promoting the separate development of racial groups; it worked in spatial and political spheres; it could be applied in ‘partial’ or ‘total’ forms depending on the le</w:t>
      </w:r>
      <w:r>
        <w:rPr>
          <w:rFonts w:ascii="Garamond" w:hAnsi="Garamond"/>
        </w:rPr>
        <w:t>vel of separation (Schoonees et</w:t>
      </w:r>
      <w:r w:rsidRPr="00E87240">
        <w:rPr>
          <w:rFonts w:ascii="Garamond" w:hAnsi="Garamond"/>
        </w:rPr>
        <w:t xml:space="preserve"> al., 1950). By 1972, ‘total apartheid’ meant the wholesale urbicide of black suburbs (Huddleston, 1956) and the forced resettlement of Africans from white rural areas to the ‘Native Reserves’ or ‘Bantustans’. There ten were such principalities where over three million inhabitants were denied legal status as South African’s: Transkei, Ciskei, KwaZulu, Bophuthatswana, Lebowa, Venda, QwaQwa, Swazi, Gazankulu, Ndebele (Aislie, 1972). Famine and drought in many of the ‘Bantustans’ were widely reported in the Dutch and European press in 1970.  The idea of total apartheid was a contradiction in practice as the South African economy was entirely dependent on the plentiful and cheap supply of (black) labour that supplied its agricultural and urban production centres, and the master-servant dialectic was engrained in the cultural economies of domesticity, employment and the mores of sexual relations.            </w:t>
      </w:r>
    </w:p>
  </w:footnote>
  <w:footnote w:id="74">
    <w:p w:rsidR="002B3E92" w:rsidRPr="00E87240" w:rsidRDefault="002B3E92" w:rsidP="00B83595">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In </w:t>
      </w:r>
      <w:r w:rsidRPr="00E87240">
        <w:rPr>
          <w:rFonts w:ascii="Garamond" w:hAnsi="Garamond"/>
          <w:i/>
        </w:rPr>
        <w:t xml:space="preserve">Cultural Geography: A Critical Introduction </w:t>
      </w:r>
      <w:r w:rsidRPr="00E87240">
        <w:rPr>
          <w:rFonts w:ascii="Garamond" w:hAnsi="Garamond"/>
        </w:rPr>
        <w:t>(2000), Don Mitchell introduces apartheid as the ‘geography of privi</w:t>
      </w:r>
      <w:r>
        <w:rPr>
          <w:rFonts w:ascii="Garamond" w:hAnsi="Garamond"/>
        </w:rPr>
        <w:t>lege’ expressed in the spatializ</w:t>
      </w:r>
      <w:r w:rsidRPr="00E87240">
        <w:rPr>
          <w:rFonts w:ascii="Garamond" w:hAnsi="Garamond"/>
        </w:rPr>
        <w:t>ation of race at three prima</w:t>
      </w:r>
      <w:r>
        <w:rPr>
          <w:rFonts w:ascii="Garamond" w:hAnsi="Garamond"/>
        </w:rPr>
        <w:t>ry scales; ‘petty’ apartheid in</w:t>
      </w:r>
      <w:r w:rsidRPr="00E87240">
        <w:rPr>
          <w:rFonts w:ascii="Garamond" w:hAnsi="Garamond"/>
        </w:rPr>
        <w:t xml:space="preserve"> micro</w:t>
      </w:r>
      <w:r>
        <w:rPr>
          <w:rFonts w:ascii="Garamond" w:hAnsi="Garamond"/>
        </w:rPr>
        <w:t>-</w:t>
      </w:r>
      <w:r w:rsidRPr="00E87240">
        <w:rPr>
          <w:rFonts w:ascii="Garamond" w:hAnsi="Garamond"/>
        </w:rPr>
        <w:t>segregated spaces of personal interaction, urban segregation in towns, and national segregation in the ‘Bantustans’ achieved through the application of the pass laws which limited mobility and settlement.</w:t>
      </w:r>
    </w:p>
  </w:footnote>
  <w:footnote w:id="75">
    <w:p w:rsidR="002B3E92" w:rsidRPr="00E87240" w:rsidRDefault="002B3E92" w:rsidP="00B83595">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John Vorster was South Africa’s Prime Minister from 1966-1978. He was an av</w:t>
      </w:r>
      <w:r>
        <w:rPr>
          <w:rFonts w:ascii="Garamond" w:hAnsi="Garamond"/>
        </w:rPr>
        <w:t>owed Nazi sympathiz</w:t>
      </w:r>
      <w:r w:rsidRPr="00E87240">
        <w:rPr>
          <w:rFonts w:ascii="Garamond" w:hAnsi="Garamond"/>
        </w:rPr>
        <w:t xml:space="preserve">er during WW2, and was a member of the secretive Calvinistic Broederbond (the single most powerful organization in Afrikaanerdom – see Legum, 1964). Following the Sharpeville massacre (1960) South Africa had to reiterate its importance to the global community,  Vorster suggested that white South Africa’s role was one of stewardship over the entire continent: “We are not settlers, we are part of Africa…The African states need leadership. We have not only the knowledge but the experience as we understand the soul of Africa and its people and therefore I say we have a vocation in Africa and the world” (1967 in Troup, 1972: 382). His speech to the Board of South African International Trade in 1972, acted as the catalyst for the BOA Outspan boycott: ''Each trade agreement, each bank loan, each new investment is another </w:t>
      </w:r>
      <w:r w:rsidRPr="00E87240">
        <w:rPr>
          <w:rStyle w:val="Emphasis"/>
          <w:rFonts w:ascii="Garamond" w:hAnsi="Garamond"/>
        </w:rPr>
        <w:t>brick</w:t>
      </w:r>
      <w:r w:rsidRPr="00E87240">
        <w:rPr>
          <w:rFonts w:ascii="Garamond" w:hAnsi="Garamond"/>
        </w:rPr>
        <w:t xml:space="preserve"> in the </w:t>
      </w:r>
      <w:r w:rsidRPr="00E87240">
        <w:rPr>
          <w:rStyle w:val="Emphasis"/>
          <w:rFonts w:ascii="Garamond" w:hAnsi="Garamond"/>
        </w:rPr>
        <w:t>wall of our continued existence</w:t>
      </w:r>
      <w:r w:rsidRPr="00E87240">
        <w:rPr>
          <w:rFonts w:ascii="Garamond" w:hAnsi="Garamond"/>
        </w:rPr>
        <w:t xml:space="preserve">”.  </w:t>
      </w:r>
    </w:p>
  </w:footnote>
  <w:footnote w:id="76">
    <w:p w:rsidR="002B3E92" w:rsidRPr="00E87240" w:rsidRDefault="002B3E92" w:rsidP="00026BC9">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The press conference was held to announce the threat of the BOA boycott. Variants of the image were printed in thirty dailies across Holland. The idea for sign in the background came not from du Plessis, nor the BOA, but a journalist working for one of the Dutch news agencies.</w:t>
      </w:r>
    </w:p>
  </w:footnote>
  <w:footnote w:id="77">
    <w:p w:rsidR="002B3E92" w:rsidRPr="00E87240" w:rsidRDefault="002B3E92" w:rsidP="005B48FD">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w:t>
      </w:r>
      <w:r w:rsidRPr="00E87240">
        <w:rPr>
          <w:rFonts w:ascii="Garamond" w:eastAsia="Arial Unicode MS" w:hAnsi="Garamond"/>
          <w:shd w:val="clear" w:color="auto" w:fill="FFFFFF"/>
        </w:rPr>
        <w:t>Roskam, K. (1964).</w:t>
      </w:r>
      <w:r w:rsidRPr="00E87240">
        <w:rPr>
          <w:rStyle w:val="apple-converted-space"/>
          <w:rFonts w:ascii="Garamond" w:eastAsia="Arial Unicode MS" w:hAnsi="Garamond"/>
          <w:shd w:val="clear" w:color="auto" w:fill="FFFFFF"/>
        </w:rPr>
        <w:t> </w:t>
      </w:r>
      <w:r w:rsidRPr="00E87240">
        <w:rPr>
          <w:rFonts w:ascii="Garamond" w:eastAsia="Arial Unicode MS" w:hAnsi="Garamond"/>
          <w:i/>
          <w:iCs/>
          <w:shd w:val="clear" w:color="auto" w:fill="FFFFFF"/>
        </w:rPr>
        <w:t>Foto's van Karel Roskam en anderen uit zijn jaren als</w:t>
      </w:r>
      <w:r>
        <w:rPr>
          <w:rFonts w:ascii="Garamond" w:eastAsia="Arial Unicode MS" w:hAnsi="Garamond"/>
          <w:i/>
          <w:iCs/>
          <w:shd w:val="clear" w:color="auto" w:fill="FFFFFF"/>
        </w:rPr>
        <w:t xml:space="preserve"> leraar in Nigeria (1962-1966). </w:t>
      </w:r>
      <w:r w:rsidRPr="00E87240">
        <w:rPr>
          <w:rFonts w:ascii="Garamond" w:eastAsia="Arial Unicode MS" w:hAnsi="Garamond"/>
          <w:shd w:val="clear" w:color="auto" w:fill="FFFFFF"/>
        </w:rPr>
        <w:t>Courtesy of IISH.</w:t>
      </w:r>
    </w:p>
  </w:footnote>
  <w:footnote w:id="78">
    <w:p w:rsidR="002B3E92" w:rsidRPr="00E87240" w:rsidRDefault="002B3E92" w:rsidP="005B48FD">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The Dutch reformed church was, according to Legum (1962: 31), “the rock on which Afrikaanerdom was built”. Its radical elements insisted that only the Christian God could rule and create, so therefore to hold elections was akin to blasphemy of the grandest scale. According to such doctrine only the Nationalist Party could rule South Africa by proxy as God’s given people.    </w:t>
      </w:r>
    </w:p>
  </w:footnote>
  <w:footnote w:id="79">
    <w:p w:rsidR="002B3E92" w:rsidRPr="00E87240" w:rsidRDefault="002B3E92" w:rsidP="005B48FD">
      <w:pPr>
        <w:spacing w:line="240" w:lineRule="auto"/>
        <w:jc w:val="both"/>
        <w:rPr>
          <w:rFonts w:ascii="Garamond" w:hAnsi="Garamond"/>
          <w:sz w:val="20"/>
          <w:szCs w:val="20"/>
        </w:rPr>
      </w:pPr>
      <w:r w:rsidRPr="00E87240">
        <w:rPr>
          <w:rStyle w:val="FootnoteReference"/>
          <w:rFonts w:ascii="Garamond" w:hAnsi="Garamond"/>
          <w:sz w:val="20"/>
          <w:szCs w:val="20"/>
        </w:rPr>
        <w:footnoteRef/>
      </w:r>
      <w:r w:rsidRPr="00E87240">
        <w:rPr>
          <w:rFonts w:ascii="Garamond" w:hAnsi="Garamond"/>
          <w:sz w:val="20"/>
          <w:szCs w:val="20"/>
        </w:rPr>
        <w:t xml:space="preserve"> Roskam charts how a long list of statutes passed from the start of the Union in 1910 through to 1959 systematically transferred racial discrimination into land dispossession, worker discrimination, social and educational segregation, mobility restrictions, de-patriation and the formation of ‘resettlement areas’. Following the ‘Bantu Resettlement Act’ of 1959, Roskam points to the racial inequalities in the division of agricultural land and labour; similar statistics were repeated in the BOA congress literature and monographs on agricultural labour: “571,014 rural whites together possessed 71% of South Africa’s land. Some 16% consisted of municipal and government land and game reserves. The remaining 12.4% was set aside for the 3,387,384 Africans, living in the reserves. Average earnings in 1959 were six morgen per head for reserve population whilst the white population received 200 morgen per head” (1960: 64-</w:t>
      </w:r>
      <w:r>
        <w:rPr>
          <w:rFonts w:ascii="Garamond" w:hAnsi="Garamond"/>
          <w:sz w:val="20"/>
          <w:szCs w:val="20"/>
        </w:rPr>
        <w:t xml:space="preserve"> </w:t>
      </w:r>
      <w:r w:rsidRPr="00E87240">
        <w:rPr>
          <w:rFonts w:ascii="Garamond" w:hAnsi="Garamond"/>
          <w:sz w:val="20"/>
          <w:szCs w:val="20"/>
        </w:rPr>
        <w:t xml:space="preserve">65).  </w:t>
      </w:r>
    </w:p>
    <w:p w:rsidR="002B3E92" w:rsidRPr="00E87240" w:rsidRDefault="002B3E92" w:rsidP="00BA0F0B">
      <w:pPr>
        <w:pStyle w:val="FootnoteText"/>
        <w:rPr>
          <w:rFonts w:ascii="Garamond" w:hAnsi="Garamond"/>
        </w:rPr>
      </w:pPr>
    </w:p>
  </w:footnote>
  <w:footnote w:id="80">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According to Dittmer somatic markers draw on ideas of affect as bodily contagion. </w:t>
      </w:r>
      <w:r w:rsidRPr="00E87240">
        <w:rPr>
          <w:rFonts w:ascii="Garamond" w:hAnsi="Garamond"/>
          <w:iCs/>
          <w:lang w:val="ga-IE"/>
        </w:rPr>
        <w:t>Ó Tuathail</w:t>
      </w:r>
      <w:r w:rsidRPr="00E87240">
        <w:rPr>
          <w:rFonts w:ascii="Garamond" w:hAnsi="Garamond"/>
        </w:rPr>
        <w:t xml:space="preserve"> (2003: 858) describes somatic markers as “an organizing and categorizing capacity that set the ground for higher-order ‘deliberative thinking’ operating below the threshold of reflection and structured by affect saturated memory and ‘gut feelings’. It simplifies and speeds the process of calculative reasoning so that every decision is relatively instantaneous rather than a rational choice marathon”</w:t>
      </w:r>
    </w:p>
  </w:footnote>
  <w:footnote w:id="81">
    <w:p w:rsidR="002B3E92" w:rsidRPr="00E87240" w:rsidRDefault="002B3E92" w:rsidP="00BA0F0B">
      <w:pPr>
        <w:pStyle w:val="FootnoteText"/>
        <w:rPr>
          <w:rFonts w:ascii="Garamond" w:hAnsi="Garamond"/>
        </w:rPr>
      </w:pPr>
      <w:r w:rsidRPr="00E87240">
        <w:rPr>
          <w:rStyle w:val="FootnoteReference"/>
          <w:rFonts w:ascii="Garamond" w:hAnsi="Garamond"/>
        </w:rPr>
        <w:footnoteRef/>
      </w:r>
      <w:r>
        <w:rPr>
          <w:rFonts w:ascii="Garamond" w:hAnsi="Garamond"/>
        </w:rPr>
        <w:t xml:space="preserve"> </w:t>
      </w:r>
      <w:r w:rsidRPr="00E87240">
        <w:rPr>
          <w:rFonts w:ascii="Garamond" w:hAnsi="Garamond"/>
        </w:rPr>
        <w:t>This is a signific</w:t>
      </w:r>
      <w:r>
        <w:rPr>
          <w:rFonts w:ascii="Garamond" w:hAnsi="Garamond"/>
        </w:rPr>
        <w:t xml:space="preserve">ant embellishment; du Plessis’ </w:t>
      </w:r>
      <w:r w:rsidRPr="00E87240">
        <w:rPr>
          <w:rFonts w:ascii="Garamond" w:hAnsi="Garamond"/>
        </w:rPr>
        <w:t xml:space="preserve">private archive contains hundreds of meticulously kept newspaper cuttings but the vast majority are silent on his thought processes and contain no marks or notes other than the publisher’s title and date.     </w:t>
      </w:r>
    </w:p>
  </w:footnote>
  <w:footnote w:id="82">
    <w:p w:rsidR="002B3E92" w:rsidRPr="00E87240" w:rsidRDefault="002B3E92" w:rsidP="005D7559">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In June 1947 the South African weekly, </w:t>
      </w:r>
      <w:r w:rsidRPr="00E87240">
        <w:rPr>
          <w:rFonts w:ascii="Garamond" w:hAnsi="Garamond"/>
          <w:i/>
        </w:rPr>
        <w:t>The</w:t>
      </w:r>
      <w:r w:rsidRPr="00E87240">
        <w:rPr>
          <w:rFonts w:ascii="Garamond" w:hAnsi="Garamond"/>
        </w:rPr>
        <w:t xml:space="preserve"> </w:t>
      </w:r>
      <w:r w:rsidRPr="00E87240">
        <w:rPr>
          <w:rFonts w:ascii="Garamond" w:hAnsi="Garamond"/>
          <w:i/>
        </w:rPr>
        <w:t xml:space="preserve">Guardian, </w:t>
      </w:r>
      <w:r w:rsidRPr="00E87240">
        <w:rPr>
          <w:rFonts w:ascii="Garamond" w:hAnsi="Garamond"/>
        </w:rPr>
        <w:t xml:space="preserve">an outright critic of apartheid, published a front page headline on slavery in the Bethal District. Ruth First, at the time a young reporter for the newspaper, wrote: “It’s not everyday that the Johannesburg reporter for </w:t>
      </w:r>
      <w:r w:rsidRPr="00E87240">
        <w:rPr>
          <w:rFonts w:ascii="Garamond" w:hAnsi="Garamond"/>
          <w:i/>
        </w:rPr>
        <w:t>The Guardian</w:t>
      </w:r>
      <w:r w:rsidRPr="00E87240">
        <w:rPr>
          <w:rFonts w:ascii="Garamond" w:hAnsi="Garamond"/>
        </w:rPr>
        <w:t xml:space="preserve"> meets an African farm worker who, when asked to describe the conditions on the farm which he works, silently takes off his shirt to show large weals and scars on his back, shoulders and arms” (Zug, 2007: 92). Over the next ten years the newspaper ran several exposes on other ‘Bethal farms’ where workers were forced to sign exploitative contracts after being imprisoned in shacks.</w:t>
      </w:r>
    </w:p>
  </w:footnote>
  <w:footnote w:id="83">
    <w:p w:rsidR="002B3E92" w:rsidRPr="00E87240" w:rsidRDefault="002B3E92" w:rsidP="005D7559">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w:t>
      </w:r>
      <w:r w:rsidRPr="00E87240">
        <w:rPr>
          <w:rFonts w:ascii="Garamond" w:hAnsi="Garamond"/>
          <w:i/>
        </w:rPr>
        <w:t xml:space="preserve">Masters and Serfs: Farm Labour in South Africa </w:t>
      </w:r>
      <w:r w:rsidRPr="00E87240">
        <w:rPr>
          <w:rFonts w:ascii="Garamond" w:hAnsi="Garamond"/>
        </w:rPr>
        <w:t>is a fifty page booklet analysing the persona</w:t>
      </w:r>
      <w:r>
        <w:rPr>
          <w:rFonts w:ascii="Garamond" w:hAnsi="Garamond"/>
        </w:rPr>
        <w:t>l and structural institutionaliz</w:t>
      </w:r>
      <w:r w:rsidRPr="00E87240">
        <w:rPr>
          <w:rFonts w:ascii="Garamond" w:hAnsi="Garamond"/>
        </w:rPr>
        <w:t>ation of violence on South African farms. The ‘language of the sjambok’ (whip) is evidenced through specific examples of farmworker torture, castration, maiming and homicide, the implementation of fifteen hour shifts over seven day weeks, and structural forms of violence including laws which deny the agricultural labourer freedom from the land which he tills, forced resettlement policies, and the convict worker scheme which many Outspan farms used to their profit.</w:t>
      </w:r>
    </w:p>
  </w:footnote>
  <w:footnote w:id="84">
    <w:p w:rsidR="002B3E92" w:rsidRPr="00E87240" w:rsidRDefault="002B3E92" w:rsidP="005D7559">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w:t>
      </w:r>
      <w:r w:rsidRPr="00E87240">
        <w:rPr>
          <w:rFonts w:ascii="Garamond" w:hAnsi="Garamond"/>
          <w:i/>
        </w:rPr>
        <w:t>Men who Work for Nothing: The grim Face of Fear and Hunger on the Farms</w:t>
      </w:r>
      <w:r w:rsidRPr="00E87240">
        <w:rPr>
          <w:rFonts w:ascii="Garamond" w:hAnsi="Garamond"/>
        </w:rPr>
        <w:t xml:space="preserve"> was a journalistic expose on farm slavery by Roland Stanbridge. The article contained photographs of diseased and scarred farmworker bodies  </w:t>
      </w:r>
    </w:p>
  </w:footnote>
  <w:footnote w:id="85">
    <w:p w:rsidR="002B3E92" w:rsidRPr="00E87240" w:rsidRDefault="002B3E92" w:rsidP="005D7559">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This may seem an obvious point today, but in Holland during the 1970s there were still many who believed that apartheid was beneficial to the non-white population. During the boycott of Outspan this thought was condensed in the view held by several conservative and liberal papers that the boycott was doing more harm to black labourers than the apartheid regime. </w:t>
      </w:r>
    </w:p>
  </w:footnote>
  <w:footnote w:id="86">
    <w:p w:rsidR="002B3E92" w:rsidRPr="00E87240" w:rsidRDefault="002B3E92" w:rsidP="00BA0F0B">
      <w:pPr>
        <w:pStyle w:val="FootnoteText"/>
        <w:rPr>
          <w:rFonts w:ascii="Garamond" w:hAnsi="Garamond"/>
        </w:rPr>
      </w:pPr>
      <w:r w:rsidRPr="00E87240">
        <w:rPr>
          <w:rStyle w:val="FootnoteReference"/>
          <w:rFonts w:ascii="Garamond" w:hAnsi="Garamond"/>
        </w:rPr>
        <w:footnoteRef/>
      </w:r>
      <w:r>
        <w:rPr>
          <w:rFonts w:ascii="Garamond" w:hAnsi="Garamond"/>
        </w:rPr>
        <w:t xml:space="preserve"> Walters et</w:t>
      </w:r>
      <w:r w:rsidRPr="00E87240">
        <w:rPr>
          <w:rFonts w:ascii="Garamond" w:hAnsi="Garamond"/>
        </w:rPr>
        <w:t xml:space="preserve"> al. (1984) demonstrate that the long-wave spectral properties of the colour orange are more likely to create psychological reactions of arousal, playfulness and excitement than the short-wave colours like blue and green.</w:t>
      </w:r>
    </w:p>
  </w:footnote>
  <w:footnote w:id="87">
    <w:p w:rsidR="002B3E92" w:rsidRDefault="002B3E92" w:rsidP="00BA0F0B">
      <w:pPr>
        <w:pStyle w:val="FootnoteText"/>
        <w:jc w:val="both"/>
      </w:pPr>
      <w:r>
        <w:rPr>
          <w:rStyle w:val="FootnoteReference"/>
        </w:rPr>
        <w:footnoteRef/>
      </w:r>
      <w:r w:rsidRPr="00322F59">
        <w:rPr>
          <w:rFonts w:ascii="Garamond" w:hAnsi="Garamond"/>
        </w:rPr>
        <w:t xml:space="preserve"> </w:t>
      </w:r>
      <w:r w:rsidRPr="00B61BF5">
        <w:rPr>
          <w:rFonts w:ascii="Garamond" w:hAnsi="Garamond"/>
        </w:rPr>
        <w:t>http://www.collinsdictionary.com/dictionary/english/outspanning</w:t>
      </w:r>
      <w:r>
        <w:rPr>
          <w:rFonts w:ascii="Garamond" w:hAnsi="Garamond"/>
        </w:rPr>
        <w:t>. [Last accessed 12/1/2013]</w:t>
      </w:r>
    </w:p>
  </w:footnote>
  <w:footnote w:id="88">
    <w:p w:rsidR="002B3E92" w:rsidRPr="003647FA" w:rsidRDefault="002B3E92" w:rsidP="00BA0F0B">
      <w:pPr>
        <w:pStyle w:val="FootnoteText"/>
        <w:jc w:val="both"/>
        <w:rPr>
          <w:rFonts w:ascii="Garamond" w:hAnsi="Garamond"/>
        </w:rPr>
      </w:pPr>
      <w:r w:rsidRPr="003647FA">
        <w:rPr>
          <w:rStyle w:val="FootnoteReference"/>
          <w:rFonts w:ascii="Garamond" w:hAnsi="Garamond"/>
        </w:rPr>
        <w:footnoteRef/>
      </w:r>
      <w:r w:rsidRPr="003647FA">
        <w:rPr>
          <w:rFonts w:ascii="Garamond" w:hAnsi="Garamond"/>
        </w:rPr>
        <w:t xml:space="preserve">Changing the stories we live by, changes our lives. Price proposes: </w:t>
      </w:r>
      <w:r w:rsidRPr="003647FA">
        <w:rPr>
          <w:rFonts w:ascii="Garamond" w:hAnsi="Garamond" w:cs="Times"/>
        </w:rPr>
        <w:t>“s</w:t>
      </w:r>
      <w:r>
        <w:rPr>
          <w:rFonts w:ascii="Garamond" w:hAnsi="Garamond" w:cs="Times"/>
        </w:rPr>
        <w:t>tories are never merely stories</w:t>
      </w:r>
      <w:r w:rsidRPr="003647FA">
        <w:rPr>
          <w:rFonts w:ascii="Garamond" w:hAnsi="Garamond" w:cs="Times"/>
        </w:rPr>
        <w:t>.</w:t>
      </w:r>
      <w:r>
        <w:rPr>
          <w:rFonts w:ascii="Garamond" w:hAnsi="Garamond" w:cs="Times"/>
        </w:rPr>
        <w:t>..</w:t>
      </w:r>
      <w:r w:rsidRPr="003647FA">
        <w:rPr>
          <w:rFonts w:ascii="Garamond" w:hAnsi="Garamond" w:cs="Times"/>
        </w:rPr>
        <w:t xml:space="preserve"> Nigerian storyteller Ben Okri notes that, ‘We live stories that either give our lives meaning or negate it with meaninglessness. If we change the stories we live by, we change our lives.’ Powerful fiction, indeed!”</w:t>
      </w:r>
      <w:r>
        <w:rPr>
          <w:rFonts w:ascii="Garamond" w:hAnsi="Garamond" w:cs="Times"/>
        </w:rPr>
        <w:t xml:space="preserve"> </w:t>
      </w:r>
      <w:r w:rsidRPr="003647FA">
        <w:rPr>
          <w:rFonts w:ascii="Garamond" w:hAnsi="Garamond"/>
        </w:rPr>
        <w:t>(2010:</w:t>
      </w:r>
      <w:r>
        <w:rPr>
          <w:rFonts w:ascii="Garamond" w:hAnsi="Garamond"/>
        </w:rPr>
        <w:t>207</w:t>
      </w:r>
      <w:r w:rsidRPr="003647FA">
        <w:rPr>
          <w:rFonts w:ascii="Garamond" w:hAnsi="Garamond"/>
        </w:rPr>
        <w:t>)</w:t>
      </w:r>
      <w:r>
        <w:rPr>
          <w:rFonts w:ascii="Garamond" w:hAnsi="Garamond"/>
        </w:rPr>
        <w:t>.</w:t>
      </w:r>
    </w:p>
  </w:footnote>
  <w:footnote w:id="89">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Slocum, 2008, 2010 draws from Saldhana’s viscosity of race and open ended formation of racial identities to analyse how corporeal racisms are materially constructed in relationships with vegetables. </w:t>
      </w:r>
    </w:p>
  </w:footnote>
  <w:footnote w:id="90">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In </w:t>
      </w:r>
      <w:r w:rsidRPr="00E87240">
        <w:rPr>
          <w:rFonts w:ascii="Garamond" w:hAnsi="Garamond"/>
          <w:i/>
        </w:rPr>
        <w:t>Vibrant Matter: A Political Ecology of Things,</w:t>
      </w:r>
      <w:r w:rsidRPr="00E87240">
        <w:rPr>
          <w:rFonts w:ascii="Garamond" w:hAnsi="Garamond"/>
        </w:rPr>
        <w:t xml:space="preserve"> Jane Bennett (2010: viii) describes vibrant matter as "</w:t>
      </w:r>
      <w:r w:rsidRPr="00E87240">
        <w:rPr>
          <w:rFonts w:ascii="Garamond" w:hAnsi="Garamond"/>
          <w:lang w:eastAsia="en-GB"/>
        </w:rPr>
        <w:t>the capacity of things, edibles, commodities, storms, metals-not only to impede or block the will and designs of humans but also to act as quasi agents or forces with trajectories, propensities, or tendencies of their own".</w:t>
      </w:r>
    </w:p>
  </w:footnote>
  <w:footnote w:id="91">
    <w:p w:rsidR="002B3E92" w:rsidRPr="00E87240" w:rsidRDefault="002B3E92" w:rsidP="00E45DAD">
      <w:pPr>
        <w:pStyle w:val="FootnoteText"/>
        <w:jc w:val="both"/>
        <w:rPr>
          <w:rFonts w:ascii="Garamond" w:hAnsi="Garamond"/>
        </w:rPr>
      </w:pPr>
      <w:r w:rsidRPr="00E87240">
        <w:rPr>
          <w:rStyle w:val="FootnoteReference"/>
          <w:rFonts w:ascii="Garamond" w:hAnsi="Garamond"/>
        </w:rPr>
        <w:footnoteRef/>
      </w:r>
      <w:r w:rsidRPr="00E87240">
        <w:rPr>
          <w:rFonts w:ascii="Garamond" w:hAnsi="Garamond"/>
        </w:rPr>
        <w:t xml:space="preserve"> The original text from </w:t>
      </w:r>
      <w:r w:rsidRPr="00E87240">
        <w:rPr>
          <w:rFonts w:ascii="Garamond" w:hAnsi="Garamond"/>
          <w:i/>
        </w:rPr>
        <w:t>Outspan:</w:t>
      </w:r>
      <w:r w:rsidRPr="00E87240">
        <w:rPr>
          <w:rFonts w:ascii="Garamond" w:hAnsi="Garamond"/>
        </w:rPr>
        <w:t xml:space="preserve"> </w:t>
      </w:r>
      <w:r w:rsidRPr="00E87240">
        <w:rPr>
          <w:rFonts w:ascii="Garamond" w:eastAsia="Times New Roman" w:hAnsi="Garamond"/>
          <w:i/>
          <w:lang w:eastAsia="en-GB"/>
        </w:rPr>
        <w:t>Bouwstenen Voor Apartheid</w:t>
      </w:r>
      <w:r w:rsidRPr="00E87240">
        <w:rPr>
          <w:rFonts w:ascii="Garamond" w:hAnsi="Garamond"/>
        </w:rPr>
        <w:t>: “Het doel van de ‘Boycot Outspan Aktie’ is het Nederlandse publiek en iedereen die Zuidafrikaaanse wijn, sinaasappels en andere fruitsoorten op zijn tafel hee</w:t>
      </w:r>
      <w:r>
        <w:rPr>
          <w:rFonts w:ascii="Garamond" w:hAnsi="Garamond"/>
        </w:rPr>
        <w:t>ft, ervan te overtuigen dat de z</w:t>
      </w:r>
      <w:r w:rsidRPr="00E87240">
        <w:rPr>
          <w:rFonts w:ascii="Garamond" w:hAnsi="Garamond"/>
        </w:rPr>
        <w:t>warte arbeid die deze heerlijke wijnen, druiven en citrusvruchten heeft voortgebracht, gedwongen arbeid is dwangardbeid die verricht werd onder onmenselijke omstandighenden. De ‘Boycot Outspan Aktie’ wil aantonen dat zelfs het plukken en verpakken van sinaasappels geheel volgens de totalitaire wetten van de apartheid plaatsvindt”.</w:t>
      </w:r>
    </w:p>
  </w:footnote>
  <w:footnote w:id="92">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Taste, according to Mol (2009) is a learnt disposition. In </w:t>
      </w:r>
      <w:r w:rsidRPr="00E87240">
        <w:rPr>
          <w:rFonts w:ascii="Garamond" w:hAnsi="Garamond"/>
          <w:i/>
        </w:rPr>
        <w:t xml:space="preserve">I Eat an Apple </w:t>
      </w:r>
      <w:r w:rsidRPr="00E87240">
        <w:rPr>
          <w:rFonts w:ascii="Garamond" w:hAnsi="Garamond"/>
        </w:rPr>
        <w:t>she demonstrates how Chilean apples acquired a sour taste for Dutch consumers during the 1970s due to associations with Pinochet’s oppressive regime</w:t>
      </w:r>
    </w:p>
  </w:footnote>
  <w:footnote w:id="93">
    <w:p w:rsidR="002B3E92" w:rsidRDefault="002B3E92">
      <w:pPr>
        <w:pStyle w:val="FootnoteText"/>
      </w:pPr>
      <w:r>
        <w:rPr>
          <w:rStyle w:val="FootnoteReference"/>
        </w:rPr>
        <w:footnoteRef/>
      </w:r>
      <w:r>
        <w:t xml:space="preserve"> </w:t>
      </w:r>
      <w:r w:rsidRPr="00E87240">
        <w:rPr>
          <w:rFonts w:ascii="Garamond" w:hAnsi="Garamond"/>
        </w:rPr>
        <w:t xml:space="preserve">Benjamin quotes from </w:t>
      </w:r>
      <w:r w:rsidRPr="00E87240">
        <w:rPr>
          <w:rFonts w:ascii="Garamond" w:hAnsi="Garamond"/>
          <w:noProof/>
          <w:lang w:eastAsia="en-GB"/>
        </w:rPr>
        <w:t xml:space="preserve">Otto </w:t>
      </w:r>
      <w:r w:rsidRPr="00E87240">
        <w:rPr>
          <w:rFonts w:ascii="Garamond" w:hAnsi="Garamond"/>
        </w:rPr>
        <w:t>Rühle, a radical Marxist in the German labour movement, and biographer of Karl Marx (Rühle 1928: 284-285 in Benjamin, 1997: 181).</w:t>
      </w:r>
    </w:p>
  </w:footnote>
  <w:footnote w:id="94">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 xml:space="preserve">  Larval Subjects, the blog of philosopher Levi Bryant</w:t>
      </w:r>
      <w:r>
        <w:rPr>
          <w:rFonts w:ascii="Garamond" w:hAnsi="Garamond"/>
        </w:rPr>
        <w:t xml:space="preserve"> offers some wonderful entries on</w:t>
      </w:r>
      <w:r w:rsidRPr="00E87240">
        <w:rPr>
          <w:rFonts w:ascii="Garamond" w:hAnsi="Garamond"/>
        </w:rPr>
        <w:t xml:space="preserve"> materiality and vitality. http://larvalsubjects.wordpress.com/2011/05/24/a-brief-remark-on-actants/</w:t>
      </w:r>
    </w:p>
  </w:footnote>
  <w:footnote w:id="95">
    <w:p w:rsidR="002B3E92" w:rsidRPr="00E87240" w:rsidRDefault="002B3E92" w:rsidP="00BA0F0B">
      <w:pPr>
        <w:pStyle w:val="FootnoteText"/>
        <w:rPr>
          <w:rFonts w:ascii="Garamond" w:hAnsi="Garamond"/>
        </w:rPr>
      </w:pPr>
      <w:r w:rsidRPr="00E87240">
        <w:rPr>
          <w:rStyle w:val="FootnoteReference"/>
          <w:rFonts w:ascii="Garamond" w:hAnsi="Garamond"/>
        </w:rPr>
        <w:footnoteRef/>
      </w:r>
      <w:r w:rsidRPr="00E87240">
        <w:rPr>
          <w:rFonts w:ascii="Garamond" w:hAnsi="Garamond"/>
        </w:rPr>
        <w:t>Interviews with BOA members indicate that affecting the ‘home front’ or racism in Holland, was the key goal of the organization. Through implicating the Dutch consumer in apartheid, and by disseminating information, the BOA hoped to contribute to global momentum in disavowing apartheid and create solidarity with resistance in South Africa</w:t>
      </w:r>
      <w:r>
        <w:rPr>
          <w:rFonts w:ascii="Garamond" w:hAnsi="Garamond"/>
        </w:rPr>
        <w:t>.</w:t>
      </w:r>
    </w:p>
  </w:footnote>
  <w:footnote w:id="96">
    <w:p w:rsidR="002B3E92" w:rsidRPr="00E87240" w:rsidRDefault="002B3E92" w:rsidP="00BA0F0B">
      <w:pPr>
        <w:pStyle w:val="FootnoteText"/>
        <w:rPr>
          <w:rFonts w:ascii="Garamond" w:hAnsi="Garamond"/>
        </w:rPr>
      </w:pPr>
      <w:r w:rsidRPr="00E87240">
        <w:rPr>
          <w:rStyle w:val="FootnoteReference"/>
          <w:rFonts w:ascii="Garamond" w:hAnsi="Garamond"/>
        </w:rPr>
        <w:footnoteRef/>
      </w:r>
      <w:r>
        <w:rPr>
          <w:rFonts w:ascii="Garamond" w:hAnsi="Garamond"/>
        </w:rPr>
        <w:t xml:space="preserve"> See website, </w:t>
      </w:r>
      <w:r>
        <w:rPr>
          <w:rFonts w:ascii="Garamond" w:hAnsi="Garamond"/>
          <w:i/>
        </w:rPr>
        <w:t>South Africa History Online</w:t>
      </w:r>
      <w:r>
        <w:rPr>
          <w:rFonts w:ascii="Garamond" w:hAnsi="Garamond"/>
        </w:rPr>
        <w:t xml:space="preserve">: </w:t>
      </w:r>
      <w:r w:rsidRPr="00E87240">
        <w:rPr>
          <w:rFonts w:ascii="Garamond" w:hAnsi="Garamond"/>
        </w:rPr>
        <w:t>http://www.sahistory.org.za/people/dr-eschel-mostert-rhoodie. Accessed 23/12/12</w:t>
      </w:r>
    </w:p>
  </w:footnote>
  <w:footnote w:id="97">
    <w:p w:rsidR="002B3E92" w:rsidRPr="00353742" w:rsidRDefault="002B3E92">
      <w:pPr>
        <w:pStyle w:val="FootnoteText"/>
        <w:rPr>
          <w:rFonts w:ascii="Garamond" w:hAnsi="Garamond"/>
        </w:rPr>
      </w:pPr>
      <w:r w:rsidRPr="00353742">
        <w:rPr>
          <w:rStyle w:val="FootnoteReference"/>
          <w:rFonts w:ascii="Garamond" w:hAnsi="Garamond"/>
        </w:rPr>
        <w:footnoteRef/>
      </w:r>
      <w:r w:rsidRPr="00353742">
        <w:rPr>
          <w:rFonts w:ascii="Garamond" w:hAnsi="Garamond"/>
        </w:rPr>
        <w:t xml:space="preserve"> See website, </w:t>
      </w:r>
      <w:r w:rsidRPr="00353742">
        <w:rPr>
          <w:rFonts w:ascii="Garamond" w:hAnsi="Garamond"/>
          <w:i/>
        </w:rPr>
        <w:t xml:space="preserve">South Africa History Online: </w:t>
      </w:r>
      <w:r w:rsidRPr="00353742">
        <w:rPr>
          <w:rFonts w:ascii="Garamond" w:hAnsi="Garamond"/>
        </w:rPr>
        <w:t>http://www.sahistory.org.za/topic/anti-apartheid-movement-abroad-1906-1990. Accessed 21/12/12</w:t>
      </w:r>
    </w:p>
  </w:footnote>
  <w:footnote w:id="98">
    <w:p w:rsidR="002B3E92" w:rsidRPr="003F3DCA" w:rsidRDefault="002B3E92" w:rsidP="00472B3A">
      <w:pPr>
        <w:pStyle w:val="FootnoteText"/>
        <w:rPr>
          <w:rFonts w:ascii="Garamond" w:hAnsi="Garamond" w:cs="Times New Roman"/>
        </w:rPr>
      </w:pPr>
      <w:r w:rsidRPr="003F3DCA">
        <w:rPr>
          <w:rStyle w:val="FootnoteReference"/>
          <w:rFonts w:ascii="Garamond" w:hAnsi="Garamond"/>
        </w:rPr>
        <w:footnoteRef/>
      </w:r>
      <w:r w:rsidRPr="003F3DCA">
        <w:rPr>
          <w:rFonts w:ascii="Garamond" w:hAnsi="Garamond" w:cs="Times New Roman"/>
        </w:rPr>
        <w:t xml:space="preserve"> The double disconnect is implicitly racialized. In recent advertising campaigns black farmers who produce cocoa are largely invisible and consumers of dark chocolate are overwhelmingly white. Robertson (2009) outlines a history of minstrelsy in the advertising campaigns of Rowntree during the 1940s and </w:t>
      </w:r>
      <w:r>
        <w:rPr>
          <w:rFonts w:ascii="Garamond" w:hAnsi="Garamond" w:cs="Times New Roman"/>
        </w:rPr>
        <w:t>19</w:t>
      </w:r>
      <w:r w:rsidRPr="003F3DCA">
        <w:rPr>
          <w:rFonts w:ascii="Garamond" w:hAnsi="Garamond" w:cs="Times New Roman"/>
        </w:rPr>
        <w:t>50s.</w:t>
      </w:r>
    </w:p>
  </w:footnote>
  <w:footnote w:id="99">
    <w:p w:rsidR="002B3E92" w:rsidRPr="003F3DCA" w:rsidRDefault="002B3E92" w:rsidP="00472B3A">
      <w:pPr>
        <w:pStyle w:val="FootnoteText"/>
        <w:rPr>
          <w:rFonts w:ascii="Garamond" w:hAnsi="Garamond" w:cs="Times New Roman"/>
        </w:rPr>
      </w:pPr>
      <w:r w:rsidRPr="003F3DCA">
        <w:rPr>
          <w:rStyle w:val="FootnoteReference"/>
          <w:rFonts w:ascii="Garamond" w:hAnsi="Garamond"/>
        </w:rPr>
        <w:footnoteRef/>
      </w:r>
      <w:r w:rsidRPr="003F3DCA">
        <w:rPr>
          <w:rFonts w:ascii="Garamond" w:hAnsi="Garamond" w:cs="Times New Roman"/>
        </w:rPr>
        <w:t xml:space="preserve"> Conching involves heating and rolling chocolate crystals between granite presses. Swiss chocolate has to be conched a minimum of sixteen times (Fold, 2002).</w:t>
      </w:r>
    </w:p>
  </w:footnote>
  <w:footnote w:id="100">
    <w:p w:rsidR="002B3E92" w:rsidRDefault="002B3E92" w:rsidP="00472B3A">
      <w:pPr>
        <w:pStyle w:val="FootnoteText"/>
      </w:pPr>
      <w:r w:rsidRPr="003F3DCA">
        <w:rPr>
          <w:rStyle w:val="FootnoteReference"/>
          <w:rFonts w:ascii="Garamond" w:hAnsi="Garamond"/>
        </w:rPr>
        <w:footnoteRef/>
      </w:r>
      <w:r w:rsidRPr="003F3DCA">
        <w:rPr>
          <w:rFonts w:ascii="Garamond" w:hAnsi="Garamond" w:cs="Times New Roman"/>
        </w:rPr>
        <w:t xml:space="preserve"> In 2002, Barry Callebout produced 50% of the world supply of  ‘generic’ industrial chocolate intended for the manufacture of cakes and other desserts (Fold, 2002). In 2012 the cocoa grinding industry was comprised of seven multinationals of which about 10-12 percent of cocoa is certified by the Rainforest Alliance, Utz Certified, or</w:t>
      </w:r>
      <w:r>
        <w:rPr>
          <w:rFonts w:ascii="Garamond" w:hAnsi="Garamond" w:cs="Times New Roman"/>
        </w:rPr>
        <w:t xml:space="preserve"> certified by</w:t>
      </w:r>
      <w:r w:rsidRPr="003F3DCA">
        <w:rPr>
          <w:rFonts w:ascii="Garamond" w:hAnsi="Garamond" w:cs="Times New Roman"/>
        </w:rPr>
        <w:t xml:space="preserve"> the Fair </w:t>
      </w:r>
      <w:r>
        <w:rPr>
          <w:rFonts w:ascii="Garamond" w:hAnsi="Garamond" w:cs="Times New Roman"/>
        </w:rPr>
        <w:t>T</w:t>
      </w:r>
      <w:r w:rsidRPr="003F3DCA">
        <w:rPr>
          <w:rFonts w:ascii="Garamond" w:hAnsi="Garamond" w:cs="Times New Roman"/>
        </w:rPr>
        <w:t>rade Foundation (Hütz-Adams &amp; Fountain, 2012).</w:t>
      </w:r>
    </w:p>
  </w:footnote>
  <w:footnote w:id="101">
    <w:p w:rsidR="002B3E92" w:rsidRDefault="002B3E92">
      <w:pPr>
        <w:pStyle w:val="FootnoteText"/>
      </w:pPr>
      <w:r>
        <w:rPr>
          <w:rStyle w:val="FootnoteReference"/>
        </w:rPr>
        <w:footnoteRef/>
      </w:r>
      <w:r>
        <w:t xml:space="preserve"> </w:t>
      </w:r>
      <w:r w:rsidRPr="00504CFD">
        <w:rPr>
          <w:rFonts w:ascii="Garamond" w:hAnsi="Garamond"/>
          <w:i/>
        </w:rPr>
        <w:t>Top left:</w:t>
      </w:r>
      <w:r>
        <w:t xml:space="preserve"> </w:t>
      </w:r>
      <w:r>
        <w:rPr>
          <w:rFonts w:ascii="Garamond" w:eastAsia="Times New Roman" w:hAnsi="Garamond" w:cs="Times New Roman"/>
          <w:lang w:eastAsia="en-GB"/>
        </w:rPr>
        <w:t>Pure Origin C</w:t>
      </w:r>
      <w:r w:rsidRPr="00930F61">
        <w:rPr>
          <w:rFonts w:ascii="Garamond" w:eastAsia="Times New Roman" w:hAnsi="Garamond" w:cs="Times New Roman"/>
          <w:lang w:eastAsia="en-GB"/>
        </w:rPr>
        <w:t>hocolate</w:t>
      </w:r>
      <w:r>
        <w:rPr>
          <w:rFonts w:ascii="Garamond" w:eastAsia="Times New Roman" w:hAnsi="Garamond" w:cs="Times New Roman"/>
          <w:lang w:eastAsia="en-GB"/>
        </w:rPr>
        <w:t xml:space="preserve"> materializes ethical purity and geographical imaginations of particular origins in their chocolate range. Their website states, "Pure luxury, pure taste, pure origin... </w:t>
      </w:r>
      <w:r w:rsidRPr="00930F61">
        <w:rPr>
          <w:rFonts w:ascii="Garamond" w:eastAsia="Times New Roman" w:hAnsi="Garamond" w:cs="Times New Roman"/>
          <w:lang w:eastAsia="en-GB"/>
        </w:rPr>
        <w:t>Keeping our single origin bars pure and natural without adding any unnecessary ingredients helps to bring out the full flavour of the bean, giving you a unique taste sensation.</w:t>
      </w:r>
      <w:r>
        <w:rPr>
          <w:rFonts w:ascii="Garamond" w:eastAsia="Times New Roman" w:hAnsi="Garamond" w:cs="Times New Roman"/>
          <w:lang w:eastAsia="en-GB"/>
        </w:rPr>
        <w:t xml:space="preserve"> </w:t>
      </w:r>
      <w:r w:rsidRPr="00930F61">
        <w:rPr>
          <w:rFonts w:ascii="Garamond" w:eastAsia="Times New Roman" w:hAnsi="Garamond" w:cs="Times New Roman"/>
          <w:lang w:eastAsia="en-GB"/>
        </w:rPr>
        <w:t>Our beans are ethically sourced from individual areas, meaning you can enjoy our chocolate with a clearer conscience. The single origins of our beans give each chocolate its own distinct flavour, from the citrus and zesty notes of the Grenada to the rich Morello cherry of the Colombia</w:t>
      </w:r>
      <w:r>
        <w:rPr>
          <w:rFonts w:ascii="Garamond" w:eastAsia="Times New Roman" w:hAnsi="Garamond" w:cs="Times New Roman"/>
          <w:lang w:eastAsia="en-GB"/>
        </w:rPr>
        <w:t>", http://www.pure-origin.co.uk. (</w:t>
      </w:r>
      <w:r w:rsidRPr="00E744FF">
        <w:rPr>
          <w:rFonts w:ascii="Garamond" w:eastAsia="Times New Roman" w:hAnsi="Garamond" w:cs="Times New Roman"/>
          <w:lang w:eastAsia="en-GB"/>
        </w:rPr>
        <w:t>Last accessed 21/8/13</w:t>
      </w:r>
      <w:r>
        <w:rPr>
          <w:rFonts w:ascii="Garamond" w:eastAsia="Times New Roman" w:hAnsi="Garamond" w:cs="Times New Roman"/>
          <w:lang w:eastAsia="en-GB"/>
        </w:rPr>
        <w:t xml:space="preserve">). </w:t>
      </w:r>
      <w:r w:rsidRPr="00504CFD">
        <w:rPr>
          <w:rFonts w:ascii="Garamond" w:eastAsia="Times New Roman" w:hAnsi="Garamond" w:cs="Times New Roman"/>
          <w:i/>
          <w:lang w:eastAsia="en-GB"/>
        </w:rPr>
        <w:t>Top right:</w:t>
      </w:r>
      <w:r>
        <w:rPr>
          <w:rFonts w:ascii="Garamond" w:eastAsia="Times New Roman" w:hAnsi="Garamond" w:cs="Times New Roman"/>
          <w:lang w:eastAsia="en-GB"/>
        </w:rPr>
        <w:t xml:space="preserve"> </w:t>
      </w:r>
      <w:r w:rsidRPr="00E744FF">
        <w:rPr>
          <w:rFonts w:ascii="Garamond" w:hAnsi="Garamond"/>
        </w:rPr>
        <w:t>Between 1880 and 1960 chocolate was extensively marketed in the UK as a healthy food that provided pure forms of nourishment and energy (Robertson, 2009). In the late nineteenth century</w:t>
      </w:r>
      <w:r>
        <w:rPr>
          <w:rFonts w:ascii="Garamond" w:hAnsi="Garamond"/>
        </w:rPr>
        <w:t>,</w:t>
      </w:r>
      <w:r w:rsidRPr="00E744FF">
        <w:rPr>
          <w:rFonts w:ascii="Garamond" w:hAnsi="Garamond"/>
        </w:rPr>
        <w:t xml:space="preserve"> cocoa adverts were frequently published in medical journals, and physicians recommended cocoa and chocolate for a variety of maladies. The purity, 'wholesomeness' and solubility of cocoa was sold as a panacea to exhaustion, intestinal problems, sleep deprivation, an</w:t>
      </w:r>
      <w:r>
        <w:rPr>
          <w:rFonts w:ascii="Garamond" w:hAnsi="Garamond"/>
        </w:rPr>
        <w:t>d 'weak stomachs' (Dillinger et</w:t>
      </w:r>
      <w:r w:rsidRPr="00E744FF">
        <w:rPr>
          <w:rFonts w:ascii="Garamond" w:hAnsi="Garamond"/>
        </w:rPr>
        <w:t xml:space="preserve"> al., 2000).</w:t>
      </w:r>
      <w:r>
        <w:rPr>
          <w:rFonts w:ascii="Garamond" w:hAnsi="Garamond"/>
        </w:rPr>
        <w:t xml:space="preserve"> Image courtesy of </w:t>
      </w:r>
      <w:r w:rsidRPr="00E744FF">
        <w:rPr>
          <w:rFonts w:ascii="Garamond" w:hAnsi="Garamond"/>
        </w:rPr>
        <w:t>http://blog.lib.uiowa.edu/hardinmd/2008/12/24/cadburys-chocolate-in-british-medical-journal/</w:t>
      </w:r>
      <w:r>
        <w:rPr>
          <w:rFonts w:ascii="Garamond" w:hAnsi="Garamond"/>
        </w:rPr>
        <w:t xml:space="preserve">. (Last accessed 17/9/13). </w:t>
      </w:r>
      <w:r w:rsidRPr="00504CFD">
        <w:rPr>
          <w:rFonts w:ascii="Garamond" w:hAnsi="Garamond"/>
          <w:i/>
        </w:rPr>
        <w:t>Bottom:</w:t>
      </w:r>
      <w:r>
        <w:rPr>
          <w:rFonts w:ascii="Garamond" w:hAnsi="Garamond"/>
        </w:rPr>
        <w:t xml:space="preserve"> B</w:t>
      </w:r>
      <w:r w:rsidRPr="00E744FF">
        <w:rPr>
          <w:rFonts w:ascii="Garamond" w:hAnsi="Garamond"/>
        </w:rPr>
        <w:t>etween 1880 and 1960 chocolate was extensively marketed in the UK as a healthy food that provided pure forms of nourishment and energy (Robertson, 2009). In the late nineteenth century</w:t>
      </w:r>
      <w:r>
        <w:rPr>
          <w:rFonts w:ascii="Garamond" w:hAnsi="Garamond"/>
        </w:rPr>
        <w:t>,</w:t>
      </w:r>
      <w:r w:rsidRPr="00E744FF">
        <w:rPr>
          <w:rFonts w:ascii="Garamond" w:hAnsi="Garamond"/>
        </w:rPr>
        <w:t xml:space="preserve"> cocoa adverts were frequently published in medical journals, and physicians recommended cocoa and chocolate for a variety of maladies. The purity, 'wholesomeness' and solubility of cocoa was sold as a panacea to exhaustion, intestinal problems, sleep deprivation, an</w:t>
      </w:r>
      <w:r>
        <w:rPr>
          <w:rFonts w:ascii="Garamond" w:hAnsi="Garamond"/>
        </w:rPr>
        <w:t>d 'weak stomachs' (Dillinger et</w:t>
      </w:r>
      <w:r w:rsidRPr="00E744FF">
        <w:rPr>
          <w:rFonts w:ascii="Garamond" w:hAnsi="Garamond"/>
        </w:rPr>
        <w:t xml:space="preserve"> al., 2000).</w:t>
      </w:r>
      <w:r>
        <w:rPr>
          <w:rFonts w:ascii="Garamond" w:hAnsi="Garamond"/>
        </w:rPr>
        <w:t xml:space="preserve"> Image courtesy of </w:t>
      </w:r>
      <w:r w:rsidRPr="00E744FF">
        <w:rPr>
          <w:rFonts w:ascii="Garamond" w:hAnsi="Garamond"/>
        </w:rPr>
        <w:t>http://blog.lib.uiowa.edu/hardinmd/2008/12/24/cadburys-chocolate-in-british-medical-journal/</w:t>
      </w:r>
      <w:r>
        <w:rPr>
          <w:rFonts w:ascii="Garamond" w:hAnsi="Garamond"/>
        </w:rPr>
        <w:t>. Last accessed 17/9/13.</w:t>
      </w:r>
    </w:p>
  </w:footnote>
  <w:footnote w:id="102">
    <w:p w:rsidR="002B3E92" w:rsidRPr="00A24DE3" w:rsidRDefault="002B3E92" w:rsidP="00472B3A">
      <w:pPr>
        <w:pStyle w:val="FootnoteText"/>
        <w:rPr>
          <w:rFonts w:ascii="Garamond" w:hAnsi="Garamond" w:cs="Times New Roman"/>
        </w:rPr>
      </w:pPr>
      <w:r w:rsidRPr="00A24DE3">
        <w:rPr>
          <w:rStyle w:val="FootnoteReference"/>
          <w:rFonts w:ascii="Garamond" w:hAnsi="Garamond"/>
        </w:rPr>
        <w:footnoteRef/>
      </w:r>
      <w:r w:rsidRPr="00A24DE3">
        <w:rPr>
          <w:rFonts w:ascii="Garamond" w:hAnsi="Garamond"/>
        </w:rPr>
        <w:t xml:space="preserve"> </w:t>
      </w:r>
      <w:r w:rsidRPr="00A24DE3">
        <w:rPr>
          <w:rFonts w:ascii="Garamond" w:hAnsi="Garamond" w:cs="Times New Roman"/>
        </w:rPr>
        <w:t xml:space="preserve">Empirical research through interviews or ethnographic practice with NGO activists </w:t>
      </w:r>
      <w:r>
        <w:rPr>
          <w:rFonts w:ascii="Garamond" w:hAnsi="Garamond" w:cs="Times New Roman"/>
        </w:rPr>
        <w:t>is</w:t>
      </w:r>
      <w:r w:rsidRPr="00A24DE3">
        <w:rPr>
          <w:rFonts w:ascii="Garamond" w:hAnsi="Garamond" w:cs="Times New Roman"/>
        </w:rPr>
        <w:t xml:space="preserve"> conspicuously absent; Lawrance’s sources are documentary.</w:t>
      </w:r>
    </w:p>
  </w:footnote>
  <w:footnote w:id="103">
    <w:p w:rsidR="002B3E92" w:rsidRPr="006C01F4" w:rsidRDefault="002B3E92" w:rsidP="00472B3A">
      <w:pPr>
        <w:pStyle w:val="FootnoteText"/>
        <w:rPr>
          <w:rFonts w:ascii="Garamond" w:hAnsi="Garamond"/>
        </w:rPr>
      </w:pPr>
      <w:r w:rsidRPr="006C01F4">
        <w:rPr>
          <w:rStyle w:val="FootnoteReference"/>
          <w:rFonts w:ascii="Garamond" w:hAnsi="Garamond"/>
        </w:rPr>
        <w:footnoteRef/>
      </w:r>
      <w:r w:rsidRPr="00CF12D9">
        <w:rPr>
          <w:rFonts w:ascii="Garamond" w:hAnsi="Garamond"/>
        </w:rPr>
        <w:t>http://www.stopthetraffik.org/library</w:t>
      </w:r>
      <w:r w:rsidRPr="006C01F4">
        <w:rPr>
          <w:rFonts w:ascii="Garamond" w:hAnsi="Garamond"/>
        </w:rPr>
        <w:t>. Last accessed 13/9/13</w:t>
      </w:r>
      <w:r>
        <w:rPr>
          <w:rFonts w:ascii="Garamond" w:hAnsi="Garamond"/>
        </w:rPr>
        <w:t xml:space="preserve">. </w:t>
      </w:r>
    </w:p>
  </w:footnote>
  <w:footnote w:id="104">
    <w:p w:rsidR="002B3E92" w:rsidRPr="00171BA3" w:rsidRDefault="002B3E92" w:rsidP="00472B3A">
      <w:pPr>
        <w:autoSpaceDE w:val="0"/>
        <w:autoSpaceDN w:val="0"/>
        <w:adjustRightInd w:val="0"/>
        <w:spacing w:after="0" w:line="240" w:lineRule="auto"/>
        <w:rPr>
          <w:rFonts w:ascii="Garamond" w:hAnsi="Garamond" w:cs="VistaSansReg"/>
          <w:sz w:val="20"/>
          <w:szCs w:val="20"/>
        </w:rPr>
      </w:pPr>
      <w:r w:rsidRPr="00171BA3">
        <w:rPr>
          <w:rStyle w:val="FootnoteReference"/>
          <w:sz w:val="20"/>
          <w:szCs w:val="20"/>
        </w:rPr>
        <w:footnoteRef/>
      </w:r>
      <w:r w:rsidRPr="00171BA3">
        <w:rPr>
          <w:sz w:val="20"/>
          <w:szCs w:val="20"/>
        </w:rPr>
        <w:t xml:space="preserve"> </w:t>
      </w:r>
      <w:r w:rsidRPr="00171BA3">
        <w:rPr>
          <w:rFonts w:ascii="Garamond" w:hAnsi="Garamond"/>
          <w:sz w:val="20"/>
          <w:szCs w:val="20"/>
        </w:rPr>
        <w:t xml:space="preserve">The </w:t>
      </w:r>
      <w:r w:rsidRPr="00171BA3">
        <w:rPr>
          <w:rFonts w:ascii="Garamond" w:hAnsi="Garamond" w:cs="VistaSansRegItalic"/>
          <w:iCs/>
          <w:sz w:val="20"/>
          <w:szCs w:val="20"/>
        </w:rPr>
        <w:t xml:space="preserve">VOICE network </w:t>
      </w:r>
      <w:r>
        <w:rPr>
          <w:rFonts w:ascii="Garamond" w:hAnsi="Garamond" w:cs="VistaSansRegItalic"/>
          <w:iCs/>
          <w:sz w:val="20"/>
          <w:szCs w:val="20"/>
        </w:rPr>
        <w:t xml:space="preserve">was founded in Belgium and Holland, and </w:t>
      </w:r>
      <w:r w:rsidRPr="00171BA3">
        <w:rPr>
          <w:rFonts w:ascii="Garamond" w:hAnsi="Garamond" w:cs="VistaSansRegItalic"/>
          <w:iCs/>
          <w:sz w:val="20"/>
          <w:szCs w:val="20"/>
        </w:rPr>
        <w:t>c</w:t>
      </w:r>
      <w:r>
        <w:rPr>
          <w:rFonts w:ascii="Garamond" w:hAnsi="Garamond" w:cs="VistaSansRegItalic"/>
          <w:iCs/>
          <w:sz w:val="20"/>
          <w:szCs w:val="20"/>
        </w:rPr>
        <w:t>urrently c</w:t>
      </w:r>
      <w:r w:rsidRPr="00171BA3">
        <w:rPr>
          <w:rFonts w:ascii="Garamond" w:hAnsi="Garamond" w:cs="VistaSansRegItalic"/>
          <w:iCs/>
          <w:sz w:val="20"/>
          <w:szCs w:val="20"/>
        </w:rPr>
        <w:t xml:space="preserve">omprises of </w:t>
      </w:r>
      <w:r w:rsidRPr="00171BA3">
        <w:rPr>
          <w:rFonts w:ascii="Garamond" w:hAnsi="Garamond" w:cs="VistaSansReg"/>
          <w:sz w:val="20"/>
          <w:szCs w:val="20"/>
        </w:rPr>
        <w:t>Stop The Traffik</w:t>
      </w:r>
      <w:r>
        <w:rPr>
          <w:rFonts w:ascii="Garamond" w:hAnsi="Garamond" w:cs="VistaSansReg"/>
          <w:sz w:val="20"/>
          <w:szCs w:val="20"/>
        </w:rPr>
        <w:t xml:space="preserve"> (Belgium, Holland and</w:t>
      </w:r>
      <w:r w:rsidRPr="00171BA3">
        <w:rPr>
          <w:rFonts w:ascii="Garamond" w:hAnsi="Garamond" w:cs="VistaSansReg"/>
          <w:sz w:val="20"/>
          <w:szCs w:val="20"/>
        </w:rPr>
        <w:t xml:space="preserve"> UK</w:t>
      </w:r>
      <w:r>
        <w:rPr>
          <w:rFonts w:ascii="Garamond" w:hAnsi="Garamond" w:cs="VistaSansReg"/>
          <w:sz w:val="20"/>
          <w:szCs w:val="20"/>
        </w:rPr>
        <w:t xml:space="preserve"> offices)</w:t>
      </w:r>
      <w:r w:rsidRPr="00171BA3">
        <w:rPr>
          <w:rFonts w:ascii="Garamond" w:hAnsi="Garamond" w:cs="VistaSansReg"/>
          <w:sz w:val="20"/>
          <w:szCs w:val="20"/>
        </w:rPr>
        <w:t>, Tropical Commodity Coalition</w:t>
      </w:r>
      <w:r>
        <w:rPr>
          <w:rFonts w:ascii="Garamond" w:hAnsi="Garamond" w:cs="VistaSansReg"/>
          <w:sz w:val="20"/>
          <w:szCs w:val="20"/>
        </w:rPr>
        <w:t xml:space="preserve"> (TCC)</w:t>
      </w:r>
      <w:r w:rsidRPr="00171BA3">
        <w:rPr>
          <w:rFonts w:ascii="Garamond" w:hAnsi="Garamond" w:cs="VistaSansReg"/>
          <w:sz w:val="20"/>
          <w:szCs w:val="20"/>
        </w:rPr>
        <w:t>, Fairfood International, Südwind-Institut, Berne Declaration, Oxfam</w:t>
      </w:r>
      <w:r>
        <w:rPr>
          <w:rFonts w:ascii="Garamond" w:hAnsi="Garamond" w:cs="VistaSansReg"/>
          <w:sz w:val="20"/>
          <w:szCs w:val="20"/>
        </w:rPr>
        <w:t xml:space="preserve"> Wereldwinkels, FNV Bondgenoten and</w:t>
      </w:r>
      <w:r w:rsidRPr="00171BA3">
        <w:rPr>
          <w:rFonts w:ascii="Garamond" w:hAnsi="Garamond" w:cs="VistaSansReg"/>
          <w:sz w:val="20"/>
          <w:szCs w:val="20"/>
        </w:rPr>
        <w:t xml:space="preserve"> Oxfam Novib</w:t>
      </w:r>
      <w:r>
        <w:rPr>
          <w:rFonts w:ascii="Garamond" w:hAnsi="Garamond" w:cs="VistaSansReg"/>
          <w:sz w:val="20"/>
          <w:szCs w:val="20"/>
        </w:rPr>
        <w:t xml:space="preserve">. </w:t>
      </w:r>
    </w:p>
    <w:p w:rsidR="002B3E92" w:rsidRDefault="002B3E92" w:rsidP="00472B3A">
      <w:pPr>
        <w:pStyle w:val="FootnoteText"/>
      </w:pPr>
    </w:p>
  </w:footnote>
  <w:footnote w:id="105">
    <w:p w:rsidR="002B3E92" w:rsidRPr="008A5411" w:rsidRDefault="002B3E92" w:rsidP="00472B3A">
      <w:pPr>
        <w:pStyle w:val="FootnoteText"/>
        <w:rPr>
          <w:rFonts w:ascii="Garamond" w:hAnsi="Garamond" w:cs="Times New Roman"/>
        </w:rPr>
      </w:pPr>
      <w:r w:rsidRPr="008A5411">
        <w:rPr>
          <w:rStyle w:val="FootnoteReference"/>
          <w:rFonts w:ascii="Garamond" w:hAnsi="Garamond"/>
        </w:rPr>
        <w:footnoteRef/>
      </w:r>
      <w:r w:rsidRPr="008A5411">
        <w:rPr>
          <w:rFonts w:ascii="Garamond" w:hAnsi="Garamond" w:cs="Times New Roman"/>
        </w:rPr>
        <w:t xml:space="preserve"> Transport Information Service website, http://www.tis-gdv.de/tis_e/ware/genuss/kakao/kakao.htm</w:t>
      </w:r>
    </w:p>
  </w:footnote>
  <w:footnote w:id="106">
    <w:p w:rsidR="002B3E92" w:rsidRPr="008A5411" w:rsidRDefault="002B3E92" w:rsidP="00472B3A">
      <w:pPr>
        <w:pStyle w:val="FootnoteText"/>
        <w:rPr>
          <w:rFonts w:ascii="Garamond" w:hAnsi="Garamond" w:cs="Times New Roman"/>
        </w:rPr>
      </w:pPr>
      <w:r w:rsidRPr="008A5411">
        <w:rPr>
          <w:rStyle w:val="FootnoteReference"/>
          <w:rFonts w:ascii="Garamond" w:hAnsi="Garamond"/>
        </w:rPr>
        <w:footnoteRef/>
      </w:r>
      <w:r w:rsidRPr="008A5411">
        <w:rPr>
          <w:rFonts w:ascii="Garamond" w:hAnsi="Garamond" w:cs="Times New Roman"/>
        </w:rPr>
        <w:t xml:space="preserve"> Prices for July 2012, as accessed from Reuters </w:t>
      </w:r>
      <w:r w:rsidRPr="00943FE2">
        <w:rPr>
          <w:rFonts w:ascii="Garamond" w:hAnsi="Garamond" w:cs="Times New Roman"/>
        </w:rPr>
        <w:t>http://af.reuters.com/article/</w:t>
      </w:r>
      <w:r w:rsidRPr="008A5411">
        <w:rPr>
          <w:rFonts w:ascii="Garamond" w:hAnsi="Garamond" w:cs="Times New Roman"/>
        </w:rPr>
        <w:t>investingNews/idAFJOE76J0MM 20110720</w:t>
      </w:r>
    </w:p>
  </w:footnote>
  <w:footnote w:id="107">
    <w:p w:rsidR="002B3E92" w:rsidRPr="008A5411" w:rsidRDefault="002B3E92" w:rsidP="00472B3A">
      <w:pPr>
        <w:pStyle w:val="FootnoteText"/>
        <w:rPr>
          <w:rFonts w:ascii="Garamond" w:hAnsi="Garamond" w:cs="Times New Roman"/>
        </w:rPr>
      </w:pPr>
      <w:r w:rsidRPr="008A5411">
        <w:rPr>
          <w:rStyle w:val="FootnoteReference"/>
          <w:rFonts w:ascii="Garamond" w:hAnsi="Garamond"/>
        </w:rPr>
        <w:footnoteRef/>
      </w:r>
      <w:r w:rsidRPr="008A5411">
        <w:rPr>
          <w:rFonts w:ascii="Garamond" w:hAnsi="Garamond" w:cs="Times New Roman"/>
        </w:rPr>
        <w:t xml:space="preserve"> http://af.reuters.com/article/investingNews/idAFJOE76J0MM20110720</w:t>
      </w:r>
    </w:p>
    <w:p w:rsidR="002B3E92" w:rsidRDefault="002B3E92" w:rsidP="00472B3A">
      <w:pPr>
        <w:pStyle w:val="FootnoteText"/>
      </w:pPr>
    </w:p>
    <w:p w:rsidR="002B3E92" w:rsidRDefault="002B3E92" w:rsidP="00472B3A">
      <w:pPr>
        <w:pStyle w:val="FootnoteText"/>
      </w:pPr>
    </w:p>
  </w:footnote>
  <w:footnote w:id="108">
    <w:p w:rsidR="002B3E92" w:rsidRDefault="002B3E92" w:rsidP="00472B3A">
      <w:pPr>
        <w:pStyle w:val="FootnoteText"/>
      </w:pPr>
      <w:r w:rsidRPr="004121A1">
        <w:rPr>
          <w:rStyle w:val="FootnoteReference"/>
          <w:rFonts w:ascii="Garamond" w:hAnsi="Garamond"/>
        </w:rPr>
        <w:footnoteRef/>
      </w:r>
      <w:r w:rsidRPr="004121A1">
        <w:rPr>
          <w:rFonts w:ascii="Garamond" w:hAnsi="Garamond"/>
        </w:rPr>
        <w:t xml:space="preserve"> Or, at least, this is how the narrative goes. Guthman (2007) critiques FLOs for shifting responsibility for cocoa producers from states to neoliberal consumers. The thrust of Guthman's argument is that egalitarian principles are difficult to transfer across distance, and meaningful transformation is impossible to achieve through the context of the consumer and the FLO, whose agencies simply perpetuate the unequal geographies of neoliberal relations. Although Guthman's argument is reasonable, she does not consider potential benefits for producers within farming collectives to bargain for better prices, equipment and fertilisers</w:t>
      </w:r>
      <w:r>
        <w:rPr>
          <w:rFonts w:ascii="Garamond" w:hAnsi="Garamond"/>
        </w:rPr>
        <w:t>.</w:t>
      </w:r>
    </w:p>
  </w:footnote>
  <w:footnote w:id="109">
    <w:p w:rsidR="002B3E92" w:rsidRPr="00D4044D" w:rsidRDefault="002B3E92" w:rsidP="00472B3A">
      <w:pPr>
        <w:pStyle w:val="FootnoteText"/>
        <w:rPr>
          <w:rFonts w:ascii="Garamond" w:hAnsi="Garamond" w:cs="Times New Roman"/>
        </w:rPr>
      </w:pPr>
      <w:r w:rsidRPr="00D4044D">
        <w:rPr>
          <w:rStyle w:val="FootnoteReference"/>
          <w:rFonts w:ascii="Garamond" w:hAnsi="Garamond"/>
        </w:rPr>
        <w:footnoteRef/>
      </w:r>
      <w:r>
        <w:rPr>
          <w:rFonts w:ascii="Garamond" w:hAnsi="Garamond" w:cs="Times New Roman"/>
        </w:rPr>
        <w:t xml:space="preserve"> However, as chapters three and seven show,</w:t>
      </w:r>
      <w:r w:rsidRPr="00D4044D">
        <w:rPr>
          <w:rFonts w:ascii="Garamond" w:hAnsi="Garamond" w:cs="Times New Roman"/>
        </w:rPr>
        <w:t xml:space="preserve"> the BOA did implement incremental steps and long-term reform in their actions against Dutch racism.</w:t>
      </w:r>
    </w:p>
  </w:footnote>
  <w:footnote w:id="110">
    <w:p w:rsidR="002B3E92" w:rsidRDefault="002B3E92">
      <w:pPr>
        <w:pStyle w:val="FootnoteText"/>
      </w:pPr>
      <w:r>
        <w:rPr>
          <w:rStyle w:val="FootnoteReference"/>
        </w:rPr>
        <w:footnoteRef/>
      </w:r>
      <w:r>
        <w:t xml:space="preserve"> </w:t>
      </w:r>
      <w:r w:rsidRPr="00B745B7">
        <w:rPr>
          <w:rFonts w:ascii="Garamond" w:hAnsi="Garamond"/>
        </w:rPr>
        <w:t xml:space="preserve">The action was reported on the Christian Union website following MP Voordewind's decision to support STT and Fairfood. </w:t>
      </w:r>
      <w:r w:rsidRPr="00504CFD">
        <w:rPr>
          <w:rFonts w:ascii="Garamond" w:hAnsi="Garamond"/>
        </w:rPr>
        <w:t>http://www.christenunie.nl/k/nl/news/view/190344/59042/kamerlid-voordewind-steunt-kinderdemonstratie-tegen-kinderarbeid.html#.UjsHmsZJPng</w:t>
      </w:r>
      <w:r>
        <w:rPr>
          <w:rFonts w:ascii="Garamond" w:hAnsi="Garamond"/>
        </w:rPr>
        <w:t xml:space="preserve"> (</w:t>
      </w:r>
      <w:r w:rsidRPr="00B745B7">
        <w:rPr>
          <w:rFonts w:ascii="Garamond" w:hAnsi="Garamond"/>
        </w:rPr>
        <w:t>Last accessed 19/09/13</w:t>
      </w:r>
      <w:r>
        <w:rPr>
          <w:rFonts w:ascii="Garamond" w:hAnsi="Garamond"/>
        </w:rPr>
        <w:t>)</w:t>
      </w:r>
      <w:r w:rsidRPr="00B745B7">
        <w:rPr>
          <w:rFonts w:ascii="Garamond" w:hAnsi="Garamond"/>
        </w:rPr>
        <w:t>.</w:t>
      </w:r>
    </w:p>
  </w:footnote>
  <w:footnote w:id="111">
    <w:p w:rsidR="002B3E92" w:rsidRPr="00410C58" w:rsidRDefault="002B3E92" w:rsidP="00410C58">
      <w:pPr>
        <w:pStyle w:val="NormalWeb"/>
        <w:shd w:val="clear" w:color="auto" w:fill="FFFFFF"/>
        <w:spacing w:before="0" w:beforeAutospacing="0" w:after="0" w:afterAutospacing="0"/>
        <w:jc w:val="both"/>
        <w:textAlignment w:val="baseline"/>
        <w:rPr>
          <w:rFonts w:ascii="Garamond" w:hAnsi="Garamond"/>
          <w:sz w:val="20"/>
          <w:szCs w:val="20"/>
        </w:rPr>
      </w:pPr>
      <w:r w:rsidRPr="006F2DCA">
        <w:rPr>
          <w:rStyle w:val="FootnoteReference"/>
          <w:rFonts w:ascii="Garamond" w:hAnsi="Garamond"/>
          <w:sz w:val="20"/>
          <w:szCs w:val="20"/>
        </w:rPr>
        <w:footnoteRef/>
      </w:r>
      <w:r>
        <w:rPr>
          <w:rFonts w:ascii="Garamond" w:hAnsi="Garamond"/>
          <w:sz w:val="20"/>
          <w:szCs w:val="20"/>
        </w:rPr>
        <w:t xml:space="preserve"> There are multiple anti</w:t>
      </w:r>
      <w:r w:rsidRPr="006F2DCA">
        <w:rPr>
          <w:rFonts w:ascii="Garamond" w:hAnsi="Garamond"/>
          <w:sz w:val="20"/>
          <w:szCs w:val="20"/>
        </w:rPr>
        <w:t xml:space="preserve">slavery figures who could have been historicized with different affects by STT. For example, Francois-Dominique Toussaint-Louverture is not memorialized but is widely respected for leading the pioneering transformation of a slave society into a free governing people in San Domingo (see C.L.R James, 1938, </w:t>
      </w:r>
      <w:r>
        <w:rPr>
          <w:rFonts w:ascii="Garamond" w:hAnsi="Garamond"/>
          <w:i/>
          <w:sz w:val="20"/>
          <w:szCs w:val="20"/>
        </w:rPr>
        <w:t>The B</w:t>
      </w:r>
      <w:r w:rsidRPr="006F2DCA">
        <w:rPr>
          <w:rFonts w:ascii="Garamond" w:hAnsi="Garamond"/>
          <w:i/>
          <w:sz w:val="20"/>
          <w:szCs w:val="20"/>
        </w:rPr>
        <w:t>lack Jacobins</w:t>
      </w:r>
      <w:r w:rsidRPr="006F2DCA">
        <w:rPr>
          <w:rFonts w:ascii="Garamond" w:hAnsi="Garamond"/>
          <w:sz w:val="20"/>
          <w:szCs w:val="20"/>
        </w:rPr>
        <w:t>). Prominent anti-saccharite Olouhadah Equiano is not memorialized either. Equiano wrote the most popular slave narrative of the abolitionist era (Brown, 2006), and was an excellent communicator for both the boycott movement and the radical reform movement, the London Corresponding Society (Featherstone, 2007). Equiano's experiences of living in three continents, and his communicative abilities as a translator, marked him out as an archetypal Atlantic Creole, a cosmopolitan type of person: “having by their experiences and sometimes their person… become part of the three worlds that came together in the Atlantic littoral. Familiar with the commerce of the Atlantic, fluent in its new languages, and intimate with its trade and cultures, they were cosmopolitan in the f</w:t>
      </w:r>
      <w:r>
        <w:rPr>
          <w:rFonts w:ascii="Garamond" w:hAnsi="Garamond"/>
          <w:sz w:val="20"/>
          <w:szCs w:val="20"/>
        </w:rPr>
        <w:t xml:space="preserve">ullest sense” (Berlin, 1998 </w:t>
      </w:r>
      <w:r w:rsidRPr="006F2DCA">
        <w:rPr>
          <w:rFonts w:ascii="Garamond" w:hAnsi="Garamond"/>
          <w:sz w:val="20"/>
          <w:szCs w:val="20"/>
        </w:rPr>
        <w:t>in Featherstone, 2008: 15-16). Although, his translation was specifically uni-directional for white audiences, in articulating enslaved suffering to a potentially sympathetic white audience Equiano navigated and adapted hegemonic binaries in communicating the suffering of black slaves into potential antislavery agitation and action. Anti-saccharites and subsequent abolitionists and free produce activists (including Mary Wollstonecraft, Elizabeth Heyrick and Mary Birkett) read and paraphrased Equiano and interpreted his </w:t>
      </w:r>
      <w:r w:rsidRPr="006F2DCA">
        <w:rPr>
          <w:rStyle w:val="Emphasis"/>
          <w:rFonts w:ascii="Garamond" w:hAnsi="Garamond"/>
          <w:sz w:val="20"/>
          <w:szCs w:val="20"/>
          <w:bdr w:val="none" w:sz="0" w:space="0" w:color="auto" w:frame="1"/>
        </w:rPr>
        <w:t>Narrative </w:t>
      </w:r>
      <w:r w:rsidRPr="006F2DCA">
        <w:rPr>
          <w:rFonts w:ascii="Garamond" w:hAnsi="Garamond"/>
          <w:sz w:val="20"/>
          <w:szCs w:val="20"/>
        </w:rPr>
        <w:t>as a call for boycott. David Featherstone notes that Lydia Hardy, the wife of Thomas Hardy and first secretary of the London Corresponding Society (LCS), wrote: “the people here are as much against slavery as any were and there is more people I think here that drinks tea without sugar than drinks with… all are very fond of Vassa’s book” (Hardy, 17</w:t>
      </w:r>
      <w:r>
        <w:rPr>
          <w:rFonts w:ascii="Garamond" w:hAnsi="Garamond"/>
          <w:sz w:val="20"/>
          <w:szCs w:val="20"/>
        </w:rPr>
        <w:t>92, in Featherstone, 2008: 93).</w:t>
      </w:r>
    </w:p>
  </w:footnote>
  <w:footnote w:id="112">
    <w:p w:rsidR="002B3E92" w:rsidRPr="006F2DCA" w:rsidRDefault="002B3E92" w:rsidP="00472B3A">
      <w:pPr>
        <w:pStyle w:val="FootnoteText"/>
        <w:rPr>
          <w:rFonts w:ascii="Garamond" w:hAnsi="Garamond"/>
        </w:rPr>
      </w:pPr>
      <w:r w:rsidRPr="006F2DCA">
        <w:rPr>
          <w:rStyle w:val="FootnoteReference"/>
          <w:rFonts w:ascii="Garamond" w:hAnsi="Garamond"/>
        </w:rPr>
        <w:footnoteRef/>
      </w:r>
      <w:r w:rsidRPr="006F2DCA">
        <w:rPr>
          <w:rFonts w:ascii="Garamond" w:hAnsi="Garamond"/>
        </w:rPr>
        <w:t xml:space="preserve">  </w:t>
      </w:r>
      <w:r w:rsidRPr="006F2DCA">
        <w:rPr>
          <w:rFonts w:ascii="Garamond" w:hAnsi="Garamond" w:cs="Times New Roman"/>
          <w:lang w:val="en-US"/>
        </w:rPr>
        <w:t>In 1791, the seventeen year old Quaker, Mary Birkett, moralized female consumption through her poetry. I</w:t>
      </w:r>
      <w:r>
        <w:rPr>
          <w:rFonts w:ascii="Garamond" w:hAnsi="Garamond" w:cs="Times New Roman"/>
          <w:lang w:val="en-US"/>
        </w:rPr>
        <w:t>n so doing, she was part of a wider move for female anti</w:t>
      </w:r>
      <w:r w:rsidRPr="006F2DCA">
        <w:rPr>
          <w:rFonts w:ascii="Garamond" w:hAnsi="Garamond" w:cs="Times New Roman"/>
          <w:lang w:val="en-US"/>
        </w:rPr>
        <w:t>slavery societies to challenge the distinction between the separate spheres of imperial masculine economy and a de-politicized feminine domestic sphere (Midgley, 2007).</w:t>
      </w:r>
    </w:p>
  </w:footnote>
  <w:footnote w:id="113">
    <w:p w:rsidR="002B3E92" w:rsidRPr="006F2DCA" w:rsidRDefault="002B3E92" w:rsidP="00472B3A">
      <w:pPr>
        <w:spacing w:line="240" w:lineRule="auto"/>
        <w:jc w:val="both"/>
        <w:rPr>
          <w:rFonts w:ascii="Garamond" w:hAnsi="Garamond" w:cs="Times New Roman"/>
          <w:sz w:val="20"/>
          <w:szCs w:val="20"/>
          <w:lang w:val="en-US"/>
        </w:rPr>
      </w:pPr>
      <w:r w:rsidRPr="006F2DCA">
        <w:rPr>
          <w:rStyle w:val="FootnoteReference"/>
          <w:rFonts w:ascii="Garamond" w:hAnsi="Garamond"/>
        </w:rPr>
        <w:footnoteRef/>
      </w:r>
      <w:r w:rsidRPr="006F2DCA">
        <w:rPr>
          <w:rFonts w:ascii="Garamond" w:hAnsi="Garamond"/>
        </w:rPr>
        <w:t xml:space="preserve"> </w:t>
      </w:r>
      <w:r w:rsidRPr="006F2DCA">
        <w:rPr>
          <w:rFonts w:ascii="Garamond" w:hAnsi="Garamond" w:cs="Times New Roman"/>
          <w:sz w:val="20"/>
          <w:szCs w:val="20"/>
          <w:lang w:val="en-US"/>
        </w:rPr>
        <w:t xml:space="preserve">Heyrick’s </w:t>
      </w:r>
      <w:r w:rsidRPr="006F2DCA">
        <w:rPr>
          <w:rFonts w:ascii="Garamond" w:hAnsi="Garamond" w:cs="Times New Roman"/>
          <w:i/>
          <w:sz w:val="20"/>
          <w:szCs w:val="20"/>
          <w:lang w:val="en-US"/>
        </w:rPr>
        <w:t>Immediate Not Gradual Abolition</w:t>
      </w:r>
      <w:r w:rsidRPr="006F2DCA">
        <w:rPr>
          <w:rFonts w:ascii="Garamond" w:hAnsi="Garamond" w:cs="Times New Roman"/>
          <w:sz w:val="20"/>
          <w:szCs w:val="20"/>
          <w:lang w:val="en-US"/>
        </w:rPr>
        <w:t xml:space="preserve"> directly questioned the leadership, fr</w:t>
      </w:r>
      <w:r>
        <w:rPr>
          <w:rFonts w:ascii="Garamond" w:hAnsi="Garamond" w:cs="Times New Roman"/>
          <w:sz w:val="20"/>
          <w:szCs w:val="20"/>
          <w:lang w:val="en-US"/>
        </w:rPr>
        <w:t>aming and fecundity of the anti</w:t>
      </w:r>
      <w:r w:rsidRPr="006F2DCA">
        <w:rPr>
          <w:rFonts w:ascii="Garamond" w:hAnsi="Garamond" w:cs="Times New Roman"/>
          <w:sz w:val="20"/>
          <w:szCs w:val="20"/>
          <w:lang w:val="en-US"/>
        </w:rPr>
        <w:t xml:space="preserve">slavery movement. The call to boycott West Indian sugar in 1824 was combined with a piercing attack on the Conservative abolitionists, whom she accused of making concessions to planters to preserve economic interest in “vain attempts to make humanity and interest meet” (Heyrick, 1824 in Midgley, 2007: 58). The 1824 boycott had a more precise aim than its eighteenth century predecessor. The boycott, according to Heyrick and the </w:t>
      </w:r>
      <w:r w:rsidRPr="006F2DCA">
        <w:rPr>
          <w:rFonts w:ascii="Garamond" w:hAnsi="Garamond" w:cs="Times New Roman"/>
          <w:i/>
          <w:sz w:val="20"/>
          <w:szCs w:val="20"/>
          <w:lang w:val="en-US"/>
        </w:rPr>
        <w:t>Sheffield Female Anti-slavery Society</w:t>
      </w:r>
      <w:r w:rsidRPr="006F2DCA">
        <w:rPr>
          <w:rFonts w:ascii="Garamond" w:hAnsi="Garamond" w:cs="Times New Roman"/>
          <w:sz w:val="20"/>
          <w:szCs w:val="20"/>
          <w:lang w:val="en-US"/>
        </w:rPr>
        <w:t>, would aim for nothing less than the immediate emancipation of slaves. The rhetoric was rights based rather than philanthropically couched. In her various publications Heyrick sketched out constant similarities between the plights of the British labourer and the enslaved African. She called for justice over humanity, benevolence and charity, and she refused to engage abolitionism as a tool for promoting the fairness of workhouse wages (Davis, 1975; Midgley, 2007).</w:t>
      </w:r>
    </w:p>
  </w:footnote>
  <w:footnote w:id="114">
    <w:p w:rsidR="002B3E92" w:rsidRPr="004D35F6" w:rsidRDefault="002B3E92" w:rsidP="00472B3A">
      <w:pPr>
        <w:pStyle w:val="FootnoteText"/>
        <w:rPr>
          <w:rFonts w:ascii="Garamond" w:hAnsi="Garamond"/>
        </w:rPr>
      </w:pPr>
      <w:r w:rsidRPr="004D35F6">
        <w:rPr>
          <w:rStyle w:val="FootnoteReference"/>
          <w:rFonts w:ascii="Garamond" w:hAnsi="Garamond"/>
        </w:rPr>
        <w:footnoteRef/>
      </w:r>
      <w:r w:rsidRPr="004D35F6">
        <w:rPr>
          <w:rFonts w:ascii="Garamond" w:hAnsi="Garamond"/>
        </w:rPr>
        <w:t xml:space="preserve"> </w:t>
      </w:r>
      <w:r>
        <w:rPr>
          <w:rFonts w:ascii="Garamond" w:hAnsi="Garamond"/>
        </w:rPr>
        <w:t xml:space="preserve">Available at the </w:t>
      </w:r>
      <w:r>
        <w:rPr>
          <w:rFonts w:ascii="Garamond" w:hAnsi="Garamond"/>
          <w:i/>
        </w:rPr>
        <w:t>Institute of Historical Research</w:t>
      </w:r>
      <w:r>
        <w:rPr>
          <w:rFonts w:ascii="Garamond" w:hAnsi="Garamond"/>
        </w:rPr>
        <w:t xml:space="preserve"> website: </w:t>
      </w:r>
      <w:r w:rsidRPr="00943FE2">
        <w:rPr>
          <w:rFonts w:ascii="Garamond" w:hAnsi="Garamond"/>
        </w:rPr>
        <w:t>http://www.history.ac.uk/1807commemorated/media/reviews/amazing.html</w:t>
      </w:r>
      <w:r>
        <w:rPr>
          <w:rFonts w:ascii="Garamond" w:hAnsi="Garamond"/>
        </w:rPr>
        <w:t>. (Accessed 2 November 2012).</w:t>
      </w:r>
    </w:p>
  </w:footnote>
  <w:footnote w:id="115">
    <w:p w:rsidR="002B3E92" w:rsidRPr="004D35F6" w:rsidRDefault="002B3E92" w:rsidP="00472B3A">
      <w:pPr>
        <w:pStyle w:val="FootnoteText"/>
        <w:rPr>
          <w:rFonts w:ascii="Garamond" w:hAnsi="Garamond"/>
        </w:rPr>
      </w:pPr>
      <w:r w:rsidRPr="004D35F6">
        <w:rPr>
          <w:rStyle w:val="FootnoteReference"/>
          <w:rFonts w:ascii="Garamond" w:hAnsi="Garamond"/>
        </w:rPr>
        <w:footnoteRef/>
      </w:r>
      <w:r w:rsidRPr="004D35F6">
        <w:rPr>
          <w:rFonts w:ascii="Garamond" w:hAnsi="Garamond"/>
        </w:rPr>
        <w:t xml:space="preserve"> See Lambert (2008) for a remarkable</w:t>
      </w:r>
      <w:r>
        <w:rPr>
          <w:rFonts w:ascii="Garamond" w:hAnsi="Garamond"/>
        </w:rPr>
        <w:t xml:space="preserve"> critique of Baucom (2005</w:t>
      </w:r>
      <w:r w:rsidRPr="004D35F6">
        <w:rPr>
          <w:rFonts w:ascii="Garamond" w:hAnsi="Garamond"/>
        </w:rPr>
        <w:t>), Scott (2004) and Fischer (2005). Through a</w:t>
      </w:r>
      <w:r>
        <w:rPr>
          <w:rFonts w:ascii="Garamond" w:hAnsi="Garamond"/>
        </w:rPr>
        <w:t>n</w:t>
      </w:r>
      <w:r w:rsidRPr="004D35F6">
        <w:rPr>
          <w:rFonts w:ascii="Garamond" w:hAnsi="Garamond"/>
        </w:rPr>
        <w:t xml:space="preserve"> interwoven review of these three substantial works on modernity, colonialism and slavery, Lambert forwards a lucid critique of anticolonial visions of emancipation based on the "narrative mode of Romance" (2008: 276)</w:t>
      </w:r>
      <w:r>
        <w:rPr>
          <w:rFonts w:ascii="Garamond" w:hAnsi="Garamond"/>
        </w:rPr>
        <w:t>,</w:t>
      </w:r>
      <w:r w:rsidRPr="004D35F6">
        <w:rPr>
          <w:rFonts w:ascii="Garamond" w:hAnsi="Garamond"/>
        </w:rPr>
        <w:t xml:space="preserve"> and he shows how by omitting the Haitian revolution from the production of slave (anti) modernities, Ian Baucom's </w:t>
      </w:r>
      <w:r>
        <w:rPr>
          <w:rFonts w:ascii="Garamond" w:hAnsi="Garamond"/>
          <w:i/>
        </w:rPr>
        <w:t>Spectres of the Atlantic  "</w:t>
      </w:r>
      <w:r w:rsidRPr="004D35F6">
        <w:rPr>
          <w:rFonts w:ascii="Garamond" w:hAnsi="Garamond"/>
        </w:rPr>
        <w:t>highlights the Eurocentricism of discourses on modernity" (2008: 276)</w:t>
      </w:r>
      <w:r>
        <w:rPr>
          <w:rFonts w:ascii="Garamond" w:hAnsi="Garamond"/>
        </w:rPr>
        <w:t xml:space="preserve">. </w:t>
      </w:r>
    </w:p>
  </w:footnote>
  <w:footnote w:id="116">
    <w:p w:rsidR="002B3E92" w:rsidRPr="001B3C39" w:rsidRDefault="002B3E92" w:rsidP="00472B3A">
      <w:pPr>
        <w:pStyle w:val="FootnoteText"/>
        <w:rPr>
          <w:rFonts w:ascii="Garamond" w:hAnsi="Garamond"/>
        </w:rPr>
      </w:pPr>
      <w:r w:rsidRPr="001B3C39">
        <w:rPr>
          <w:rStyle w:val="FootnoteReference"/>
          <w:rFonts w:ascii="Garamond" w:hAnsi="Garamond"/>
        </w:rPr>
        <w:footnoteRef/>
      </w:r>
      <w:r w:rsidRPr="001B3C39">
        <w:rPr>
          <w:rFonts w:ascii="Garamond" w:hAnsi="Garamond"/>
        </w:rPr>
        <w:t xml:space="preserve"> </w:t>
      </w:r>
      <w:r>
        <w:rPr>
          <w:rFonts w:ascii="Garamond" w:hAnsi="Garamond"/>
        </w:rPr>
        <w:t xml:space="preserve">Available at: </w:t>
      </w:r>
      <w:r w:rsidRPr="00410C58">
        <w:rPr>
          <w:rFonts w:ascii="Garamond" w:hAnsi="Garamond"/>
        </w:rPr>
        <w:t>http://www.counterpunch.org/2007/02/28/an-amazing-disgrace/</w:t>
      </w:r>
      <w:r>
        <w:rPr>
          <w:rFonts w:ascii="Garamond" w:hAnsi="Garamond"/>
        </w:rPr>
        <w:t xml:space="preserve"> (A</w:t>
      </w:r>
      <w:r w:rsidRPr="001B3C39">
        <w:rPr>
          <w:rFonts w:ascii="Garamond" w:hAnsi="Garamond"/>
        </w:rPr>
        <w:t>ccessed</w:t>
      </w:r>
      <w:r>
        <w:rPr>
          <w:rFonts w:ascii="Garamond" w:hAnsi="Garamond"/>
        </w:rPr>
        <w:t>: 1 February 2013).</w:t>
      </w:r>
    </w:p>
  </w:footnote>
  <w:footnote w:id="117">
    <w:p w:rsidR="002B3E92" w:rsidRPr="001B3C39" w:rsidRDefault="002B3E92" w:rsidP="00472B3A">
      <w:pPr>
        <w:pStyle w:val="FootnoteText"/>
        <w:jc w:val="both"/>
        <w:rPr>
          <w:rFonts w:ascii="Garamond" w:hAnsi="Garamond" w:cs="Times New Roman"/>
        </w:rPr>
      </w:pPr>
      <w:r w:rsidRPr="001B3C39">
        <w:rPr>
          <w:rStyle w:val="FootnoteReference"/>
          <w:rFonts w:ascii="Garamond" w:hAnsi="Garamond"/>
        </w:rPr>
        <w:footnoteRef/>
      </w:r>
      <w:r w:rsidRPr="001B3C39">
        <w:rPr>
          <w:rFonts w:ascii="Garamond" w:hAnsi="Garamond" w:cs="Times New Roman"/>
        </w:rPr>
        <w:t xml:space="preserve"> During the pilot investigations for this chapter I asked an intern from STT if it was important to make consumers feel sickened by non-fair trade chocolate. The reply suggested that STT did not want to make consumers feel sick while eating chocolate, they just wanted consumers to “think about where their chocolate had come from”. Six months later I was handed this leaflet. </w:t>
      </w:r>
    </w:p>
  </w:footnote>
  <w:footnote w:id="118">
    <w:p w:rsidR="002B3E92" w:rsidRPr="00D8765F" w:rsidRDefault="002B3E92" w:rsidP="00472B3A">
      <w:pPr>
        <w:pStyle w:val="FootnoteText"/>
        <w:rPr>
          <w:rFonts w:ascii="Garamond" w:hAnsi="Garamond"/>
        </w:rPr>
      </w:pPr>
      <w:r w:rsidRPr="00D8765F">
        <w:rPr>
          <w:rStyle w:val="FootnoteReference"/>
          <w:rFonts w:ascii="Garamond" w:hAnsi="Garamond"/>
        </w:rPr>
        <w:footnoteRef/>
      </w:r>
      <w:r w:rsidRPr="00D8765F">
        <w:rPr>
          <w:rFonts w:ascii="Garamond" w:hAnsi="Garamond"/>
        </w:rPr>
        <w:t xml:space="preserve"> I understand that the risk here is discrediting and silencing the 'former slave's' testimony. I do not discredit the original witness account, but instead question the sampling strategy for the chapter </w:t>
      </w:r>
      <w:r>
        <w:rPr>
          <w:rFonts w:ascii="Garamond" w:hAnsi="Garamond"/>
        </w:rPr>
        <w:t>that</w:t>
      </w:r>
      <w:r w:rsidRPr="00D8765F">
        <w:rPr>
          <w:rFonts w:ascii="Garamond" w:hAnsi="Garamond"/>
        </w:rPr>
        <w:t xml:space="preserve"> </w:t>
      </w:r>
      <w:r>
        <w:rPr>
          <w:rFonts w:ascii="Garamond" w:hAnsi="Garamond"/>
        </w:rPr>
        <w:t>appears to have reproduced this</w:t>
      </w:r>
      <w:r w:rsidRPr="00D8765F">
        <w:rPr>
          <w:rFonts w:ascii="Garamond" w:hAnsi="Garamond"/>
        </w:rPr>
        <w:t xml:space="preserve"> </w:t>
      </w:r>
      <w:r>
        <w:rPr>
          <w:rFonts w:ascii="Garamond" w:hAnsi="Garamond"/>
        </w:rPr>
        <w:t>particular testimony</w:t>
      </w:r>
      <w:r w:rsidRPr="00D8765F">
        <w:rPr>
          <w:rFonts w:ascii="Garamond" w:hAnsi="Garamond"/>
        </w:rPr>
        <w:t xml:space="preserve"> for its use of</w:t>
      </w:r>
      <w:r>
        <w:rPr>
          <w:rFonts w:ascii="Garamond" w:hAnsi="Garamond"/>
        </w:rPr>
        <w:t xml:space="preserve"> anthropophagic</w:t>
      </w:r>
      <w:r w:rsidRPr="00D8765F">
        <w:rPr>
          <w:rFonts w:ascii="Garamond" w:hAnsi="Garamond"/>
        </w:rPr>
        <w:t xml:space="preserve"> simile.</w:t>
      </w:r>
    </w:p>
  </w:footnote>
  <w:footnote w:id="119">
    <w:p w:rsidR="002B3E92" w:rsidRPr="00884B10" w:rsidRDefault="002B3E92" w:rsidP="00472B3A">
      <w:pPr>
        <w:pStyle w:val="FootnoteText"/>
        <w:rPr>
          <w:rFonts w:ascii="Garamond" w:hAnsi="Garamond" w:cs="Times New Roman"/>
        </w:rPr>
      </w:pPr>
      <w:r w:rsidRPr="00884B10">
        <w:rPr>
          <w:rStyle w:val="FootnoteReference"/>
          <w:rFonts w:ascii="Garamond" w:hAnsi="Garamond"/>
        </w:rPr>
        <w:footnoteRef/>
      </w:r>
      <w:r w:rsidRPr="00884B10">
        <w:rPr>
          <w:rFonts w:ascii="Garamond" w:hAnsi="Garamond"/>
        </w:rPr>
        <w:t xml:space="preserve"> </w:t>
      </w:r>
      <w:r w:rsidRPr="00884B10">
        <w:rPr>
          <w:rFonts w:ascii="Garamond" w:hAnsi="Garamond" w:cs="Times New Roman"/>
        </w:rPr>
        <w:t>The documentary makes four factual errors: i) that cocoa only grows on land 10 degrees north or south of the equator</w:t>
      </w:r>
      <w:r>
        <w:rPr>
          <w:rFonts w:ascii="Garamond" w:hAnsi="Garamond" w:cs="Times New Roman"/>
        </w:rPr>
        <w:t>;</w:t>
      </w:r>
      <w:r w:rsidRPr="00884B10">
        <w:rPr>
          <w:rFonts w:ascii="Garamond" w:hAnsi="Garamond" w:cs="Times New Roman"/>
        </w:rPr>
        <w:t xml:space="preserve"> this figure should be 20 degrees</w:t>
      </w:r>
      <w:r>
        <w:rPr>
          <w:rFonts w:ascii="Garamond" w:hAnsi="Garamond" w:cs="Times New Roman"/>
        </w:rPr>
        <w:t>;</w:t>
      </w:r>
      <w:r w:rsidRPr="00884B10">
        <w:rPr>
          <w:rFonts w:ascii="Garamond" w:hAnsi="Garamond" w:cs="Times New Roman"/>
        </w:rPr>
        <w:t xml:space="preserve"> ii) </w:t>
      </w:r>
      <w:r>
        <w:rPr>
          <w:rFonts w:ascii="Garamond" w:hAnsi="Garamond" w:cs="Times New Roman"/>
        </w:rPr>
        <w:t>t</w:t>
      </w:r>
      <w:r w:rsidRPr="00884B10">
        <w:rPr>
          <w:rFonts w:ascii="Garamond" w:hAnsi="Garamond" w:cs="Times New Roman"/>
        </w:rPr>
        <w:t>urnover of £1000 billion for the cocoa industry in the last ten years are declared as profits</w:t>
      </w:r>
      <w:r>
        <w:rPr>
          <w:rFonts w:ascii="Garamond" w:hAnsi="Garamond" w:cs="Times New Roman"/>
        </w:rPr>
        <w:t>;</w:t>
      </w:r>
      <w:r w:rsidRPr="00884B10">
        <w:rPr>
          <w:rFonts w:ascii="Garamond" w:hAnsi="Garamond" w:cs="Times New Roman"/>
        </w:rPr>
        <w:t xml:space="preserve"> iii) The first fair trade chocolate bar in the UK was Maya Gold (1994) and not Divine (1997)</w:t>
      </w:r>
      <w:r>
        <w:rPr>
          <w:rFonts w:ascii="Garamond" w:hAnsi="Garamond" w:cs="Times New Roman"/>
        </w:rPr>
        <w:t>;</w:t>
      </w:r>
      <w:r w:rsidRPr="00884B10">
        <w:rPr>
          <w:rFonts w:ascii="Garamond" w:hAnsi="Garamond" w:cs="Times New Roman"/>
        </w:rPr>
        <w:t xml:space="preserve"> iv) </w:t>
      </w:r>
      <w:r>
        <w:rPr>
          <w:rFonts w:ascii="Garamond" w:hAnsi="Garamond" w:cs="Times New Roman"/>
        </w:rPr>
        <w:t>o</w:t>
      </w:r>
      <w:r w:rsidRPr="00884B10">
        <w:rPr>
          <w:rFonts w:ascii="Garamond" w:hAnsi="Garamond" w:cs="Times New Roman"/>
        </w:rPr>
        <w:t xml:space="preserve">ccasionally ‘slavery’ and ‘child labour’ are used interchangeably.  </w:t>
      </w:r>
    </w:p>
  </w:footnote>
  <w:footnote w:id="120">
    <w:p w:rsidR="002B3E92" w:rsidRPr="00525637" w:rsidRDefault="002B3E92" w:rsidP="00472B3A">
      <w:pPr>
        <w:pStyle w:val="FootnoteText"/>
        <w:rPr>
          <w:rFonts w:ascii="Garamond" w:hAnsi="Garamond"/>
        </w:rPr>
      </w:pPr>
      <w:r w:rsidRPr="00525637">
        <w:rPr>
          <w:rStyle w:val="FootnoteReference"/>
          <w:rFonts w:ascii="Garamond" w:hAnsi="Garamond"/>
        </w:rPr>
        <w:footnoteRef/>
      </w:r>
      <w:r w:rsidRPr="00525637">
        <w:rPr>
          <w:rFonts w:ascii="Garamond" w:hAnsi="Garamond"/>
        </w:rPr>
        <w:t xml:space="preserve"> </w:t>
      </w:r>
      <w:r w:rsidRPr="00525637">
        <w:rPr>
          <w:rFonts w:ascii="Garamond" w:hAnsi="Garamond" w:cs="Times New Roman"/>
        </w:rPr>
        <w:t>Comparisons between modern day slavery and</w:t>
      </w:r>
      <w:r>
        <w:rPr>
          <w:rFonts w:ascii="Garamond" w:hAnsi="Garamond" w:cs="Times New Roman"/>
        </w:rPr>
        <w:t xml:space="preserve"> Dickens'</w:t>
      </w:r>
      <w:r w:rsidRPr="00525637">
        <w:rPr>
          <w:rFonts w:ascii="Garamond" w:hAnsi="Garamond" w:cs="Times New Roman"/>
        </w:rPr>
        <w:t xml:space="preserve"> </w:t>
      </w:r>
      <w:r w:rsidRPr="00525637">
        <w:rPr>
          <w:rFonts w:ascii="Garamond" w:hAnsi="Garamond" w:cs="Times New Roman"/>
          <w:i/>
        </w:rPr>
        <w:t>Oliver Twist</w:t>
      </w:r>
      <w:r w:rsidRPr="00525637">
        <w:rPr>
          <w:rFonts w:ascii="Garamond" w:hAnsi="Garamond" w:cs="Times New Roman"/>
        </w:rPr>
        <w:t xml:space="preserve"> are commonplace in NGO anti-trafficking campaign materials. See</w:t>
      </w:r>
      <w:r>
        <w:rPr>
          <w:rFonts w:ascii="Garamond" w:hAnsi="Garamond" w:cs="Times New Roman"/>
        </w:rPr>
        <w:t>,</w:t>
      </w:r>
      <w:r w:rsidRPr="00525637">
        <w:rPr>
          <w:rFonts w:ascii="Garamond" w:hAnsi="Garamond" w:cs="Times New Roman"/>
        </w:rPr>
        <w:t xml:space="preserve"> </w:t>
      </w:r>
      <w:r w:rsidRPr="00D921C8">
        <w:rPr>
          <w:rFonts w:ascii="Garamond" w:hAnsi="Garamond"/>
        </w:rPr>
        <w:t>http://fightslaverynow.org/why-fight-there-are-27-million-reasons/otherformsoftrafficking/begging-and-peddling-operations/</w:t>
      </w:r>
      <w:r w:rsidRPr="00525637">
        <w:rPr>
          <w:rFonts w:ascii="Garamond" w:hAnsi="Garamond"/>
        </w:rPr>
        <w:t>. Last accessed, 30/9/13</w:t>
      </w:r>
      <w:r>
        <w:rPr>
          <w:rFonts w:ascii="Garamond" w:hAnsi="Garamond"/>
        </w:rPr>
        <w:t>.</w:t>
      </w:r>
    </w:p>
  </w:footnote>
  <w:footnote w:id="121">
    <w:p w:rsidR="002B3E92" w:rsidRPr="0017731F" w:rsidRDefault="002B3E92" w:rsidP="00472B3A">
      <w:pPr>
        <w:autoSpaceDE w:val="0"/>
        <w:autoSpaceDN w:val="0"/>
        <w:adjustRightInd w:val="0"/>
        <w:spacing w:after="0" w:line="240" w:lineRule="auto"/>
        <w:jc w:val="both"/>
        <w:rPr>
          <w:rFonts w:ascii="Garamond" w:hAnsi="Garamond" w:cs="CantoriaMT"/>
          <w:sz w:val="20"/>
          <w:szCs w:val="20"/>
        </w:rPr>
      </w:pPr>
      <w:r w:rsidRPr="0017731F">
        <w:rPr>
          <w:rStyle w:val="FootnoteReference"/>
          <w:rFonts w:ascii="Garamond" w:hAnsi="Garamond"/>
          <w:sz w:val="20"/>
          <w:szCs w:val="20"/>
        </w:rPr>
        <w:footnoteRef/>
      </w:r>
      <w:r w:rsidRPr="0017731F">
        <w:rPr>
          <w:rFonts w:ascii="Garamond" w:hAnsi="Garamond"/>
          <w:sz w:val="20"/>
          <w:szCs w:val="20"/>
        </w:rPr>
        <w:t xml:space="preserve"> </w:t>
      </w:r>
      <w:r>
        <w:rPr>
          <w:rFonts w:ascii="Garamond" w:hAnsi="Garamond"/>
          <w:sz w:val="20"/>
          <w:szCs w:val="20"/>
        </w:rPr>
        <w:t xml:space="preserve">At its most basic form, branding is the means through which exchange values and 'common-sense knowledges' and practices around commodities are generated. </w:t>
      </w:r>
      <w:r w:rsidRPr="0017731F">
        <w:rPr>
          <w:rFonts w:ascii="Garamond" w:hAnsi="Garamond"/>
          <w:sz w:val="20"/>
          <w:szCs w:val="20"/>
        </w:rPr>
        <w:t xml:space="preserve">Geographer Andy Pike describes branding as the </w:t>
      </w:r>
      <w:r>
        <w:rPr>
          <w:rFonts w:ascii="Garamond" w:hAnsi="Garamond"/>
          <w:sz w:val="20"/>
          <w:szCs w:val="20"/>
        </w:rPr>
        <w:t>“</w:t>
      </w:r>
      <w:r w:rsidRPr="0017731F">
        <w:rPr>
          <w:rFonts w:ascii="Garamond" w:hAnsi="Garamond" w:cs="CantoriaMT"/>
          <w:sz w:val="20"/>
          <w:szCs w:val="20"/>
        </w:rPr>
        <w:t>process of adding value to goods and services by providing meaning and seeking to engender consumer trust and goodwill through positive associations in the brand</w:t>
      </w:r>
      <w:r>
        <w:rPr>
          <w:rFonts w:ascii="Garamond" w:hAnsi="Garamond" w:cs="CantoriaMT"/>
          <w:sz w:val="20"/>
          <w:szCs w:val="20"/>
        </w:rPr>
        <w:t>”</w:t>
      </w:r>
      <w:r w:rsidRPr="0017731F">
        <w:rPr>
          <w:rFonts w:ascii="Garamond" w:hAnsi="Garamond" w:cs="CantoriaMT"/>
          <w:sz w:val="20"/>
          <w:szCs w:val="20"/>
        </w:rPr>
        <w:t xml:space="preserve"> (2009: 261).</w:t>
      </w:r>
      <w:r>
        <w:rPr>
          <w:rFonts w:ascii="Garamond" w:hAnsi="Garamond" w:cs="CantoriaMT"/>
          <w:sz w:val="20"/>
          <w:szCs w:val="20"/>
        </w:rPr>
        <w:t xml:space="preserve"> Flexible accumulation and increased investment in image building has meant that branding has become a core activity of capitalism (Harvey, 1990; Jackson, 2002; Arvidson, 2005; Lury, 2004; Holt, 2006; Goldman and Papson, 2006). Self-branding and the management of the self has become an essential component of everyday (Western) life in relation to workplaces (Hochschild, 1983; du Gay, 1996), celebrity culture (Hearn, 2008) and social networking where Facebook, Twitter, About Me, MySpace, Linked-In and Tumblr enable ‘egocasting’ as the projection of the flexible-self (ibid.:2008) and the production of vast virtual inventories of branded selves. NGOs and charities project brand identities across virtual and material networks (Sargeant &amp; Jay, 2002).</w:t>
      </w:r>
    </w:p>
  </w:footnote>
  <w:footnote w:id="122">
    <w:p w:rsidR="002B3E92" w:rsidRPr="007825A7" w:rsidRDefault="002B3E92" w:rsidP="00472B3A">
      <w:pPr>
        <w:pStyle w:val="FootnoteText"/>
        <w:rPr>
          <w:rFonts w:ascii="Garamond" w:hAnsi="Garamond"/>
        </w:rPr>
      </w:pPr>
      <w:r w:rsidRPr="007825A7">
        <w:rPr>
          <w:rStyle w:val="FootnoteReference"/>
          <w:rFonts w:ascii="Garamond" w:hAnsi="Garamond"/>
        </w:rPr>
        <w:footnoteRef/>
      </w:r>
      <w:r w:rsidRPr="007825A7">
        <w:rPr>
          <w:rFonts w:ascii="Garamond" w:hAnsi="Garamond"/>
        </w:rPr>
        <w:t xml:space="preserve"> ‘Distant intimacies’ is my reworking of Schickel’s (1985) term ‘intimate strangers’. Schickel’s critique of popular North American cultures in the 1980s proposes that national notions of community and sociality are distorted through mediatized public relations with celebrities as ‘intimate strangers’.</w:t>
      </w:r>
    </w:p>
  </w:footnote>
  <w:footnote w:id="123">
    <w:p w:rsidR="002B3E92" w:rsidRPr="007825A7" w:rsidRDefault="002B3E92" w:rsidP="00472B3A">
      <w:pPr>
        <w:pStyle w:val="FootnoteText"/>
        <w:rPr>
          <w:rFonts w:ascii="Garamond" w:hAnsi="Garamond"/>
        </w:rPr>
      </w:pPr>
      <w:r w:rsidRPr="007825A7">
        <w:rPr>
          <w:rStyle w:val="FootnoteReference"/>
          <w:rFonts w:ascii="Garamond" w:hAnsi="Garamond"/>
        </w:rPr>
        <w:footnoteRef/>
      </w:r>
      <w:r w:rsidRPr="007825A7">
        <w:rPr>
          <w:rFonts w:ascii="Garamond" w:hAnsi="Garamond"/>
        </w:rPr>
        <w:t xml:space="preserve"> </w:t>
      </w:r>
      <w:r>
        <w:rPr>
          <w:rFonts w:ascii="Garamond" w:hAnsi="Garamond"/>
        </w:rPr>
        <w:t>Here I interpret c</w:t>
      </w:r>
      <w:r w:rsidRPr="007825A7">
        <w:rPr>
          <w:rFonts w:ascii="Garamond" w:hAnsi="Garamond"/>
        </w:rPr>
        <w:t xml:space="preserve">elebrities as </w:t>
      </w:r>
      <w:r>
        <w:rPr>
          <w:rFonts w:ascii="Garamond" w:hAnsi="Garamond"/>
        </w:rPr>
        <w:t>embodied</w:t>
      </w:r>
      <w:r w:rsidRPr="007825A7">
        <w:rPr>
          <w:rFonts w:ascii="Garamond" w:hAnsi="Garamond"/>
        </w:rPr>
        <w:t xml:space="preserve"> </w:t>
      </w:r>
      <w:r>
        <w:rPr>
          <w:rFonts w:ascii="Garamond" w:hAnsi="Garamond"/>
        </w:rPr>
        <w:t>"</w:t>
      </w:r>
      <w:r w:rsidRPr="007825A7">
        <w:rPr>
          <w:rFonts w:ascii="Garamond" w:hAnsi="Garamond"/>
        </w:rPr>
        <w:t xml:space="preserve">institutions of public intimacy" </w:t>
      </w:r>
      <w:r>
        <w:rPr>
          <w:rFonts w:ascii="Garamond" w:hAnsi="Garamond"/>
        </w:rPr>
        <w:t>(Thrift, 2010: 290) through which allure works to produce extimacy (a type of fetishized and illusory emotional proximity to particular celebrities).</w:t>
      </w:r>
    </w:p>
  </w:footnote>
  <w:footnote w:id="124">
    <w:p w:rsidR="002B3E92" w:rsidRDefault="002B3E92" w:rsidP="00472B3A">
      <w:pPr>
        <w:pStyle w:val="FootnoteText"/>
      </w:pPr>
      <w:r w:rsidRPr="007825A7">
        <w:rPr>
          <w:rStyle w:val="FootnoteReference"/>
          <w:rFonts w:ascii="Garamond" w:hAnsi="Garamond"/>
        </w:rPr>
        <w:footnoteRef/>
      </w:r>
      <w:r w:rsidRPr="007825A7">
        <w:rPr>
          <w:rFonts w:ascii="Garamond" w:hAnsi="Garamond"/>
        </w:rPr>
        <w:t xml:space="preserve"> </w:t>
      </w:r>
      <w:r w:rsidRPr="007825A7">
        <w:rPr>
          <w:rFonts w:ascii="Garamond" w:hAnsi="Garamond" w:cs="Times New Roman"/>
        </w:rPr>
        <w:t>See Mike Goodman's (2010) fascinating work on the use of "various combinations of the celebrity aesthetic" (2010: 109) in fair trade campaigns.</w:t>
      </w:r>
      <w:r>
        <w:rPr>
          <w:rFonts w:ascii="Garamond" w:hAnsi="Garamond" w:cs="Times New Roman"/>
          <w:sz w:val="24"/>
          <w:szCs w:val="24"/>
        </w:rPr>
        <w:t xml:space="preserve"> </w:t>
      </w:r>
    </w:p>
  </w:footnote>
  <w:footnote w:id="125">
    <w:p w:rsidR="002B3E92" w:rsidRPr="00733932" w:rsidRDefault="002B3E92" w:rsidP="00472B3A">
      <w:pPr>
        <w:pStyle w:val="FootnoteText"/>
        <w:rPr>
          <w:rFonts w:ascii="Garamond" w:hAnsi="Garamond"/>
        </w:rPr>
      </w:pPr>
      <w:r w:rsidRPr="00733932">
        <w:rPr>
          <w:rStyle w:val="FootnoteReference"/>
          <w:rFonts w:ascii="Garamond" w:hAnsi="Garamond"/>
        </w:rPr>
        <w:footnoteRef/>
      </w:r>
      <w:r w:rsidRPr="00733932">
        <w:rPr>
          <w:rFonts w:ascii="Garamond" w:hAnsi="Garamond"/>
        </w:rPr>
        <w:t xml:space="preserve"> </w:t>
      </w:r>
      <w:r>
        <w:rPr>
          <w:rFonts w:ascii="Garamond" w:hAnsi="Garamond"/>
        </w:rPr>
        <w:t xml:space="preserve">As of September 2013 an average of 950 million Facebook messages and 400 million Twitter messages a day are produced globally. See </w:t>
      </w:r>
      <w:r w:rsidRPr="00943FE2">
        <w:rPr>
          <w:rFonts w:ascii="Garamond" w:hAnsi="Garamond"/>
        </w:rPr>
        <w:t>https://www.thunderclap.it/</w:t>
      </w:r>
      <w:r>
        <w:rPr>
          <w:rFonts w:ascii="Garamond" w:hAnsi="Garamond"/>
        </w:rPr>
        <w:t>. (Accessed: 20 July 2013)</w:t>
      </w:r>
    </w:p>
    <w:p w:rsidR="002B3E92" w:rsidRPr="00733932" w:rsidRDefault="002B3E92" w:rsidP="00472B3A">
      <w:pPr>
        <w:pStyle w:val="FootnoteText"/>
        <w:rPr>
          <w:rFonts w:ascii="Garamond" w:hAnsi="Garamond"/>
        </w:rPr>
      </w:pPr>
      <w:r>
        <w:rPr>
          <w:rFonts w:ascii="Garamond" w:hAnsi="Garamond"/>
        </w:rPr>
        <w:t>Thunderclap is used by the White House to amplify its messages across virtual networks and is an epitome of Rose's (1999) 'instrument of governmentality'; enabling dispersed and decentred governance from a distance.</w:t>
      </w:r>
    </w:p>
  </w:footnote>
  <w:footnote w:id="126">
    <w:p w:rsidR="002B3E92" w:rsidRPr="00733932" w:rsidRDefault="002B3E92" w:rsidP="00472B3A">
      <w:pPr>
        <w:pStyle w:val="FootnoteText"/>
        <w:rPr>
          <w:rFonts w:ascii="Garamond" w:hAnsi="Garamond"/>
        </w:rPr>
      </w:pPr>
      <w:r w:rsidRPr="00733932">
        <w:rPr>
          <w:rStyle w:val="FootnoteReference"/>
          <w:rFonts w:ascii="Garamond" w:hAnsi="Garamond"/>
        </w:rPr>
        <w:footnoteRef/>
      </w:r>
      <w:r w:rsidRPr="00733932">
        <w:rPr>
          <w:rFonts w:ascii="Garamond" w:hAnsi="Garamond"/>
        </w:rPr>
        <w:t xml:space="preserve"> </w:t>
      </w:r>
      <w:r>
        <w:rPr>
          <w:rFonts w:ascii="Garamond" w:hAnsi="Garamond"/>
        </w:rPr>
        <w:t xml:space="preserve">See the website: </w:t>
      </w:r>
      <w:r w:rsidRPr="00733932">
        <w:rPr>
          <w:rFonts w:ascii="Garamond" w:hAnsi="Garamond"/>
        </w:rPr>
        <w:t>http</w:t>
      </w:r>
      <w:r>
        <w:rPr>
          <w:rFonts w:ascii="Garamond" w:hAnsi="Garamond"/>
        </w:rPr>
        <w:t>s://shoutforgood.com/our-story (Accessed 2/8/2013)</w:t>
      </w:r>
    </w:p>
  </w:footnote>
  <w:footnote w:id="127">
    <w:p w:rsidR="002B3E92" w:rsidRPr="00190BCA" w:rsidRDefault="002B3E92" w:rsidP="00472B3A">
      <w:pPr>
        <w:pStyle w:val="FootnoteText"/>
        <w:rPr>
          <w:rFonts w:ascii="Garamond" w:hAnsi="Garamond"/>
        </w:rPr>
      </w:pPr>
      <w:r w:rsidRPr="00733932">
        <w:rPr>
          <w:rStyle w:val="FootnoteReference"/>
          <w:rFonts w:ascii="Garamond" w:hAnsi="Garamond"/>
        </w:rPr>
        <w:footnoteRef/>
      </w:r>
      <w:r w:rsidRPr="00733932">
        <w:rPr>
          <w:rFonts w:ascii="Garamond" w:hAnsi="Garamond"/>
        </w:rPr>
        <w:t xml:space="preserve"> </w:t>
      </w:r>
      <w:r>
        <w:rPr>
          <w:rFonts w:ascii="Garamond" w:hAnsi="Garamond"/>
        </w:rPr>
        <w:t xml:space="preserve">See the </w:t>
      </w:r>
      <w:r>
        <w:rPr>
          <w:rFonts w:ascii="Garamond" w:hAnsi="Garamond"/>
          <w:i/>
        </w:rPr>
        <w:t>Shout for Good Food</w:t>
      </w:r>
      <w:r>
        <w:rPr>
          <w:rFonts w:ascii="Garamond" w:hAnsi="Garamond"/>
        </w:rPr>
        <w:t xml:space="preserve"> website, available at:</w:t>
      </w:r>
      <w:r>
        <w:rPr>
          <w:rFonts w:ascii="Garamond" w:hAnsi="Garamond"/>
          <w:i/>
        </w:rPr>
        <w:t xml:space="preserve"> </w:t>
      </w:r>
      <w:r w:rsidRPr="00682343">
        <w:rPr>
          <w:rFonts w:ascii="Garamond" w:hAnsi="Garamond"/>
        </w:rPr>
        <w:t>https://shoutforgood.com/stop-the-traffik</w:t>
      </w:r>
      <w:r w:rsidRPr="00733932">
        <w:rPr>
          <w:rFonts w:ascii="Garamond" w:hAnsi="Garamond"/>
        </w:rPr>
        <w:t xml:space="preserve"> [Accessed 2/8/2013]</w:t>
      </w:r>
    </w:p>
  </w:footnote>
  <w:footnote w:id="128">
    <w:p w:rsidR="002B3E92" w:rsidRPr="009147BF" w:rsidRDefault="002B3E92" w:rsidP="00472B3A">
      <w:pPr>
        <w:pStyle w:val="FootnoteText"/>
        <w:rPr>
          <w:rFonts w:ascii="Garamond" w:hAnsi="Garamond"/>
        </w:rPr>
      </w:pPr>
      <w:r w:rsidRPr="009147BF">
        <w:rPr>
          <w:rStyle w:val="FootnoteReference"/>
          <w:rFonts w:ascii="Garamond" w:hAnsi="Garamond"/>
        </w:rPr>
        <w:footnoteRef/>
      </w:r>
      <w:r w:rsidRPr="009147BF">
        <w:rPr>
          <w:rFonts w:ascii="Garamond" w:hAnsi="Garamond"/>
        </w:rPr>
        <w:t xml:space="preserve"> </w:t>
      </w:r>
      <w:r>
        <w:rPr>
          <w:rFonts w:ascii="Garamond" w:hAnsi="Garamond"/>
        </w:rPr>
        <w:t xml:space="preserve">While I do not suggest that STT use this data for anything other than branding and commercial enterprises, </w:t>
      </w:r>
      <w:r w:rsidRPr="009147BF">
        <w:rPr>
          <w:rStyle w:val="Emphasis"/>
          <w:rFonts w:ascii="Garamond" w:hAnsi="Garamond"/>
          <w:i w:val="0"/>
        </w:rPr>
        <w:t>STT work closely with international security agencies</w:t>
      </w:r>
      <w:r>
        <w:rPr>
          <w:rStyle w:val="Emphasis"/>
          <w:rFonts w:ascii="Garamond" w:hAnsi="Garamond"/>
          <w:i w:val="0"/>
        </w:rPr>
        <w:t xml:space="preserve"> over immigration and trafficking law enforcement</w:t>
      </w:r>
      <w:r w:rsidRPr="009147BF">
        <w:rPr>
          <w:rStyle w:val="Emphasis"/>
          <w:rFonts w:ascii="Garamond" w:hAnsi="Garamond"/>
          <w:i w:val="0"/>
        </w:rPr>
        <w:t xml:space="preserve">; in the wake of </w:t>
      </w:r>
      <w:r>
        <w:rPr>
          <w:rStyle w:val="Emphasis"/>
          <w:rFonts w:ascii="Garamond" w:hAnsi="Garamond"/>
          <w:i w:val="0"/>
        </w:rPr>
        <w:t xml:space="preserve">the </w:t>
      </w:r>
      <w:r w:rsidRPr="009147BF">
        <w:rPr>
          <w:rStyle w:val="Emphasis"/>
          <w:rFonts w:ascii="Garamond" w:hAnsi="Garamond"/>
          <w:i w:val="0"/>
        </w:rPr>
        <w:t>NSA scan</w:t>
      </w:r>
      <w:r>
        <w:rPr>
          <w:rStyle w:val="Emphasis"/>
          <w:rFonts w:ascii="Garamond" w:hAnsi="Garamond"/>
          <w:i w:val="0"/>
        </w:rPr>
        <w:t>dal, the role of civil society NGOs like STT in performing surveillance may become subject to public scrutiny.</w:t>
      </w:r>
    </w:p>
  </w:footnote>
  <w:footnote w:id="129">
    <w:p w:rsidR="002B3E92" w:rsidRPr="004F0D99" w:rsidRDefault="002B3E92" w:rsidP="00472B3A">
      <w:pPr>
        <w:pStyle w:val="FootnoteText"/>
        <w:rPr>
          <w:rFonts w:ascii="Garamond" w:hAnsi="Garamond"/>
        </w:rPr>
      </w:pPr>
      <w:r w:rsidRPr="004F0D99">
        <w:rPr>
          <w:rStyle w:val="FootnoteReference"/>
          <w:rFonts w:ascii="Garamond" w:hAnsi="Garamond"/>
        </w:rPr>
        <w:footnoteRef/>
      </w:r>
      <w:r w:rsidRPr="004F0D99">
        <w:rPr>
          <w:rFonts w:ascii="Garamond" w:hAnsi="Garamond"/>
        </w:rPr>
        <w:t>In the context of Fairtrade Towns the use of ‘Fairtrade’ as opposed to ‘fair trade’ constitutes a key stipulation laid down by the Fairtrade Foundation. "In order to become a Fairtrade Town all promotion and lobbying must be centred on products that carry the Fairtrade certification trademark" (Samuel 2012: 108)</w:t>
      </w:r>
      <w:r>
        <w:rPr>
          <w:rFonts w:ascii="Garamond" w:hAnsi="Garamond"/>
        </w:rPr>
        <w:t>.</w:t>
      </w:r>
      <w:r w:rsidRPr="004F0D99">
        <w:rPr>
          <w:rFonts w:ascii="Garamond" w:hAnsi="Garamond"/>
        </w:rPr>
        <w:t xml:space="preserve"> To avoid confusion between the practices of fair trade and the Fairtrade brand, when I refer to fair trade in the context of Fairtrade Towns</w:t>
      </w:r>
      <w:r>
        <w:rPr>
          <w:rFonts w:ascii="Garamond" w:hAnsi="Garamond"/>
        </w:rPr>
        <w:t>,</w:t>
      </w:r>
      <w:r w:rsidRPr="004F0D99">
        <w:rPr>
          <w:rFonts w:ascii="Garamond" w:hAnsi="Garamond"/>
        </w:rPr>
        <w:t xml:space="preserve"> I use the trademark ‘Fairtrade’.</w:t>
      </w:r>
    </w:p>
  </w:footnote>
  <w:footnote w:id="130">
    <w:p w:rsidR="002B3E92" w:rsidRPr="00A96AE1" w:rsidRDefault="002B3E92" w:rsidP="00472B3A">
      <w:pPr>
        <w:pStyle w:val="FootnoteText"/>
        <w:rPr>
          <w:rFonts w:ascii="Garamond" w:hAnsi="Garamond"/>
        </w:rPr>
      </w:pPr>
      <w:r w:rsidRPr="00A96AE1">
        <w:rPr>
          <w:rStyle w:val="FootnoteReference"/>
          <w:rFonts w:ascii="Garamond" w:hAnsi="Garamond"/>
        </w:rPr>
        <w:footnoteRef/>
      </w:r>
      <w:r>
        <w:rPr>
          <w:rFonts w:ascii="Garamond" w:hAnsi="Garamond"/>
        </w:rPr>
        <w:t xml:space="preserve"> Available at:</w:t>
      </w:r>
      <w:r w:rsidRPr="00A96AE1">
        <w:rPr>
          <w:rFonts w:ascii="Garamond" w:hAnsi="Garamond"/>
        </w:rPr>
        <w:t xml:space="preserve"> </w:t>
      </w:r>
      <w:r w:rsidRPr="0018733B">
        <w:rPr>
          <w:rFonts w:ascii="Garamond" w:hAnsi="Garamond"/>
        </w:rPr>
        <w:t>http://www.fairtrade.org.uk/get_involved/campaigns/fairtrade_towns/towns_list.aspx</w:t>
      </w:r>
      <w:r>
        <w:rPr>
          <w:rFonts w:ascii="Garamond" w:hAnsi="Garamond"/>
        </w:rPr>
        <w:t>. (Accessed: accessed 25 September 20</w:t>
      </w:r>
      <w:r w:rsidRPr="00A96AE1">
        <w:rPr>
          <w:rFonts w:ascii="Garamond" w:hAnsi="Garamond"/>
        </w:rPr>
        <w:t>13</w:t>
      </w:r>
      <w:r>
        <w:rPr>
          <w:rFonts w:ascii="Garamond" w:hAnsi="Garamond"/>
        </w:rPr>
        <w:t>).</w:t>
      </w:r>
    </w:p>
  </w:footnote>
  <w:footnote w:id="131">
    <w:p w:rsidR="002B3E92" w:rsidRPr="00A33FCB" w:rsidRDefault="002B3E92" w:rsidP="00472B3A">
      <w:pPr>
        <w:pStyle w:val="FootnoteText"/>
        <w:rPr>
          <w:rFonts w:ascii="Garamond" w:hAnsi="Garamond"/>
        </w:rPr>
      </w:pPr>
      <w:r>
        <w:rPr>
          <w:rStyle w:val="FootnoteReference"/>
        </w:rPr>
        <w:footnoteRef/>
      </w:r>
      <w:r>
        <w:rPr>
          <w:rFonts w:ascii="Garamond" w:hAnsi="Garamond"/>
        </w:rPr>
        <w:t>Available at:</w:t>
      </w:r>
      <w:r w:rsidRPr="00A96AE1">
        <w:rPr>
          <w:rFonts w:ascii="Garamond" w:hAnsi="Garamond"/>
        </w:rPr>
        <w:t xml:space="preserve"> </w:t>
      </w:r>
      <w:r>
        <w:t xml:space="preserve"> </w:t>
      </w:r>
      <w:r w:rsidRPr="0018733B">
        <w:rPr>
          <w:rFonts w:ascii="Garamond" w:hAnsi="Garamond"/>
        </w:rPr>
        <w:t>http://news.bbc.co.uk/1/hi/england/kent/4794540.stm</w:t>
      </w:r>
      <w:r w:rsidRPr="00A33FCB">
        <w:rPr>
          <w:rFonts w:ascii="Garamond" w:hAnsi="Garamond"/>
        </w:rPr>
        <w:t xml:space="preserve">. </w:t>
      </w:r>
      <w:r>
        <w:rPr>
          <w:rFonts w:ascii="Garamond" w:hAnsi="Garamond"/>
        </w:rPr>
        <w:t>(Accessed: accessed 25 September 20</w:t>
      </w:r>
      <w:r w:rsidRPr="00A96AE1">
        <w:rPr>
          <w:rFonts w:ascii="Garamond" w:hAnsi="Garamond"/>
        </w:rPr>
        <w:t>13</w:t>
      </w:r>
      <w:r>
        <w:rPr>
          <w:rFonts w:ascii="Garamond" w:hAnsi="Garamond"/>
        </w:rPr>
        <w:t>).</w:t>
      </w:r>
    </w:p>
  </w:footnote>
  <w:footnote w:id="132">
    <w:p w:rsidR="002B3E92" w:rsidRDefault="002B3E92" w:rsidP="00472B3A">
      <w:pPr>
        <w:pStyle w:val="FootnoteText"/>
      </w:pPr>
      <w:r w:rsidRPr="00A33FCB">
        <w:rPr>
          <w:rStyle w:val="FootnoteReference"/>
          <w:rFonts w:ascii="Garamond" w:hAnsi="Garamond"/>
        </w:rPr>
        <w:footnoteRef/>
      </w:r>
      <w:r w:rsidRPr="00A33FCB">
        <w:rPr>
          <w:rFonts w:ascii="Garamond" w:hAnsi="Garamond"/>
        </w:rPr>
        <w:t xml:space="preserve"> </w:t>
      </w:r>
      <w:r w:rsidRPr="00682343">
        <w:rPr>
          <w:rFonts w:ascii="Garamond" w:hAnsi="Garamond"/>
        </w:rPr>
        <w:t>http://news.bbc.co.uk/1/hi/england/kent/4819822.stm</w:t>
      </w:r>
      <w:r w:rsidRPr="00A33FCB">
        <w:rPr>
          <w:rFonts w:ascii="Garamond" w:hAnsi="Garamond"/>
        </w:rPr>
        <w:t>. Accessed 26/9/13</w:t>
      </w:r>
    </w:p>
  </w:footnote>
  <w:footnote w:id="133">
    <w:p w:rsidR="002B3E92" w:rsidRDefault="002B3E92" w:rsidP="00472B3A">
      <w:pPr>
        <w:pStyle w:val="FootnoteText"/>
      </w:pPr>
      <w:r w:rsidRPr="00A96AE1">
        <w:rPr>
          <w:rStyle w:val="FootnoteReference"/>
          <w:rFonts w:ascii="Garamond" w:hAnsi="Garamond"/>
        </w:rPr>
        <w:footnoteRef/>
      </w:r>
      <w:r w:rsidRPr="00A96AE1">
        <w:rPr>
          <w:rFonts w:ascii="Garamond" w:hAnsi="Garamond"/>
        </w:rPr>
        <w:t xml:space="preserve"> Malpass et al. position </w:t>
      </w:r>
      <w:r>
        <w:rPr>
          <w:rFonts w:ascii="Garamond" w:hAnsi="Garamond"/>
        </w:rPr>
        <w:t>‘</w:t>
      </w:r>
      <w:r w:rsidRPr="00A96AE1">
        <w:rPr>
          <w:rFonts w:ascii="Garamond" w:hAnsi="Garamond"/>
        </w:rPr>
        <w:t>fairtrade urbanism</w:t>
      </w:r>
      <w:r>
        <w:rPr>
          <w:rFonts w:ascii="Garamond" w:hAnsi="Garamond"/>
        </w:rPr>
        <w:t>’</w:t>
      </w:r>
      <w:r w:rsidRPr="00A96AE1">
        <w:rPr>
          <w:rFonts w:ascii="Garamond" w:hAnsi="Garamond"/>
        </w:rPr>
        <w:t xml:space="preserve"> as an example of collective consumer activism that rebuffs critiques of fair trade consumption as being about </w:t>
      </w:r>
      <w:r>
        <w:rPr>
          <w:rFonts w:ascii="Garamond" w:hAnsi="Garamond"/>
        </w:rPr>
        <w:t>“</w:t>
      </w:r>
      <w:r w:rsidRPr="00A96AE1">
        <w:rPr>
          <w:rFonts w:ascii="Garamond" w:hAnsi="Garamond"/>
        </w:rPr>
        <w:t>individual consumers who are drawn into the commodification of moral betterment (Mike Goodman, 2004)</w:t>
      </w:r>
      <w:r>
        <w:rPr>
          <w:rFonts w:ascii="Garamond" w:hAnsi="Garamond"/>
        </w:rPr>
        <w:t>”</w:t>
      </w:r>
      <w:r w:rsidRPr="00A96AE1">
        <w:rPr>
          <w:rFonts w:ascii="Garamond" w:hAnsi="Garamond"/>
        </w:rPr>
        <w:t xml:space="preserve"> (2007: 636).</w:t>
      </w:r>
      <w:r>
        <w:t xml:space="preserve"> </w:t>
      </w:r>
    </w:p>
  </w:footnote>
  <w:footnote w:id="134">
    <w:p w:rsidR="002B3E92" w:rsidRDefault="002B3E92" w:rsidP="00472B3A">
      <w:pPr>
        <w:pStyle w:val="FootnoteText"/>
      </w:pPr>
      <w:r w:rsidRPr="00923729">
        <w:rPr>
          <w:rStyle w:val="FootnoteReference"/>
          <w:rFonts w:ascii="Garamond" w:hAnsi="Garamond"/>
        </w:rPr>
        <w:footnoteRef/>
      </w:r>
      <w:r w:rsidRPr="00923729">
        <w:rPr>
          <w:rFonts w:ascii="Garamond" w:hAnsi="Garamond"/>
        </w:rPr>
        <w:t xml:space="preserve"> As the Fairtrade Foundation do not provide specific schema and marketing strategies to individual town campaig</w:t>
      </w:r>
      <w:r>
        <w:rPr>
          <w:rFonts w:ascii="Garamond" w:hAnsi="Garamond"/>
        </w:rPr>
        <w:t>ns, Nicholls &amp; Opal (2005), Aro</w:t>
      </w:r>
      <w:r w:rsidRPr="00923729">
        <w:rPr>
          <w:rFonts w:ascii="Garamond" w:hAnsi="Garamond"/>
        </w:rPr>
        <w:t>nd (2006), Malpas</w:t>
      </w:r>
      <w:r>
        <w:rPr>
          <w:rFonts w:ascii="Garamond" w:hAnsi="Garamond"/>
        </w:rPr>
        <w:t>s et al., (2007), Taplin</w:t>
      </w:r>
      <w:r w:rsidRPr="00923729">
        <w:rPr>
          <w:rFonts w:ascii="Garamond" w:hAnsi="Garamond"/>
        </w:rPr>
        <w:t xml:space="preserve"> </w:t>
      </w:r>
      <w:r>
        <w:rPr>
          <w:rFonts w:ascii="Garamond" w:hAnsi="Garamond"/>
        </w:rPr>
        <w:t>(</w:t>
      </w:r>
      <w:r w:rsidRPr="00923729">
        <w:rPr>
          <w:rFonts w:ascii="Garamond" w:hAnsi="Garamond"/>
        </w:rPr>
        <w:t>2009</w:t>
      </w:r>
      <w:r>
        <w:rPr>
          <w:rFonts w:ascii="Garamond" w:hAnsi="Garamond"/>
        </w:rPr>
        <w:t>)</w:t>
      </w:r>
      <w:r w:rsidRPr="00923729">
        <w:rPr>
          <w:rFonts w:ascii="Garamond" w:hAnsi="Garamond"/>
        </w:rPr>
        <w:t>, Human and Crowther (2011) and Samuel (2012) argue that Fairtrade Towns Campaigns encourage</w:t>
      </w:r>
      <w:r>
        <w:rPr>
          <w:rFonts w:ascii="Garamond" w:hAnsi="Garamond"/>
        </w:rPr>
        <w:t xml:space="preserve"> the development of local activist groups and the implementation of</w:t>
      </w:r>
      <w:r w:rsidRPr="00923729">
        <w:rPr>
          <w:rFonts w:ascii="Garamond" w:hAnsi="Garamond"/>
        </w:rPr>
        <w:t xml:space="preserve"> </w:t>
      </w:r>
      <w:r>
        <w:rPr>
          <w:rFonts w:ascii="Garamond" w:hAnsi="Garamond"/>
        </w:rPr>
        <w:t>‘</w:t>
      </w:r>
      <w:r w:rsidRPr="00923729">
        <w:rPr>
          <w:rFonts w:ascii="Garamond" w:hAnsi="Garamond"/>
        </w:rPr>
        <w:t>grassroots activism</w:t>
      </w:r>
      <w:r>
        <w:rPr>
          <w:rFonts w:ascii="Garamond" w:hAnsi="Garamond"/>
        </w:rPr>
        <w:t>’</w:t>
      </w:r>
      <w:r>
        <w:t>.</w:t>
      </w:r>
    </w:p>
  </w:footnote>
  <w:footnote w:id="135">
    <w:p w:rsidR="002B3E92" w:rsidRDefault="002B3E92" w:rsidP="00A05ED2">
      <w:pPr>
        <w:pStyle w:val="FootnoteText"/>
      </w:pPr>
      <w:r>
        <w:rPr>
          <w:rStyle w:val="FootnoteReference"/>
        </w:rPr>
        <w:footnoteRef/>
      </w:r>
      <w:r>
        <w:t xml:space="preserve"> </w:t>
      </w:r>
      <w:r w:rsidRPr="005F2DDE">
        <w:rPr>
          <w:rFonts w:ascii="Times New Roman" w:hAnsi="Times New Roman" w:cs="Times New Roman"/>
        </w:rPr>
        <w:t>http://www.stopthetraffik.org/how-to-start-one</w:t>
      </w:r>
      <w:r>
        <w:rPr>
          <w:rFonts w:ascii="Times New Roman" w:hAnsi="Times New Roman" w:cs="Times New Roman"/>
        </w:rPr>
        <w:t>. Last accessed 20/01/2013</w:t>
      </w:r>
    </w:p>
  </w:footnote>
  <w:footnote w:id="136">
    <w:p w:rsidR="002B3E92" w:rsidRPr="00B25A03" w:rsidRDefault="002B3E92" w:rsidP="00A05ED2">
      <w:pPr>
        <w:pStyle w:val="FootnoteText"/>
        <w:rPr>
          <w:rFonts w:ascii="Garamond" w:hAnsi="Garamond"/>
        </w:rPr>
      </w:pPr>
      <w:r w:rsidRPr="00B25A03">
        <w:rPr>
          <w:rStyle w:val="FootnoteReference"/>
        </w:rPr>
        <w:footnoteRef/>
      </w:r>
      <w:r w:rsidRPr="00B25A03">
        <w:rPr>
          <w:rFonts w:ascii="Garamond" w:hAnsi="Garamond"/>
        </w:rPr>
        <w:t xml:space="preserve"> http://ivoriancocoafarmer.blogspot.co.uk/2010/09/3-ten-factors-that-have-contributed-to.html Page last accessed 21/3/2012</w:t>
      </w:r>
    </w:p>
  </w:footnote>
  <w:footnote w:id="137">
    <w:p w:rsidR="002B3E92" w:rsidRDefault="002B3E92" w:rsidP="00A05ED2">
      <w:pPr>
        <w:pStyle w:val="FootnoteText"/>
      </w:pPr>
      <w:r w:rsidRPr="00B25A03">
        <w:rPr>
          <w:rStyle w:val="FootnoteReference"/>
        </w:rPr>
        <w:footnoteRef/>
      </w:r>
      <w:r w:rsidRPr="00B25A03">
        <w:rPr>
          <w:rFonts w:ascii="Garamond" w:hAnsi="Garamond"/>
        </w:rPr>
        <w:t xml:space="preserve"> http://www.irinnews.org/Report/94268/CÔTE-D-IVOIRE-Cocoa-farmers-hope-reforms-will-pay-off Past last accessed 21/3/2012</w:t>
      </w:r>
    </w:p>
  </w:footnote>
  <w:footnote w:id="138">
    <w:p w:rsidR="002B3E92" w:rsidRPr="004018EC" w:rsidRDefault="002B3E92" w:rsidP="00A05ED2">
      <w:pPr>
        <w:pStyle w:val="FootnoteText"/>
        <w:rPr>
          <w:rFonts w:ascii="Garamond" w:hAnsi="Garamond"/>
        </w:rPr>
      </w:pPr>
      <w:r w:rsidRPr="004018EC">
        <w:rPr>
          <w:rStyle w:val="FootnoteReference"/>
        </w:rPr>
        <w:footnoteRef/>
      </w:r>
      <w:r w:rsidRPr="004018EC">
        <w:rPr>
          <w:rFonts w:ascii="Garamond" w:hAnsi="Garamond"/>
        </w:rPr>
        <w:t xml:space="preserve"> http://www.tradingvisions.org/topics/chocolate. Accessed 22/3/2012</w:t>
      </w:r>
    </w:p>
  </w:footnote>
  <w:footnote w:id="139">
    <w:p w:rsidR="002B3E92" w:rsidRPr="00564ED7" w:rsidRDefault="002B3E92" w:rsidP="00A05ED2">
      <w:pPr>
        <w:pStyle w:val="FootnoteText"/>
        <w:rPr>
          <w:rFonts w:ascii="Garamond" w:hAnsi="Garamond"/>
        </w:rPr>
      </w:pPr>
      <w:r w:rsidRPr="00564ED7">
        <w:rPr>
          <w:rStyle w:val="FootnoteReference"/>
        </w:rPr>
        <w:footnoteRef/>
      </w:r>
      <w:r w:rsidRPr="00564ED7">
        <w:rPr>
          <w:rFonts w:ascii="Garamond" w:hAnsi="Garamond"/>
        </w:rPr>
        <w:t xml:space="preserve"> http://www.irinnews.org/Report/94268/CÔTE-D-IVOIRE-Cocoa-farmers-hope-reforms-will-pay-off.  Accessed 21/12/11</w:t>
      </w:r>
    </w:p>
  </w:footnote>
  <w:footnote w:id="140">
    <w:p w:rsidR="002B3E92" w:rsidRDefault="002B3E92" w:rsidP="00A05ED2">
      <w:pPr>
        <w:pStyle w:val="FootnoteText"/>
      </w:pPr>
      <w:r>
        <w:rPr>
          <w:rStyle w:val="FootnoteReference"/>
        </w:rPr>
        <w:footnoteRef/>
      </w:r>
      <w:r>
        <w:t xml:space="preserve"> </w:t>
      </w:r>
      <w:r w:rsidRPr="00564ED7">
        <w:rPr>
          <w:rFonts w:ascii="Garamond" w:hAnsi="Garamond"/>
        </w:rPr>
        <w:t>http://www.irinnews.org/Report/94268/CÔTE-D-IVOIRE-Cocoa-farmers-hope-reforms-will-pay-off.  Accessed 21/12/11</w:t>
      </w:r>
      <w:r>
        <w:rPr>
          <w:rFonts w:ascii="Garamond" w:hAnsi="Garamond"/>
        </w:rPr>
        <w:t xml:space="preserve">. </w:t>
      </w:r>
    </w:p>
  </w:footnote>
  <w:footnote w:id="141">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Letter to Gilbert Rist of CETIM. CETIM archives, White Migration Collection</w:t>
      </w:r>
    </w:p>
  </w:footnote>
  <w:footnote w:id="14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Following Dunn, I take transnationalism to mean "the movements, communications, and other exchanges between people from emigration sources and their family, friends, and other acquaintances in destination locations" (2010: 2). But in similarity to Crang et al. (2003), I take the scope of transnationalism to carry a broader concern with 'things in motion' as well as people, to be inclusive of the transnational spaces of commodity culture and exchange. The approach of Crang et al. (2003) allows for investigations into the ways people and commodities are agents and vectors for a range of subject positions, and their critique influenced subsequent geographies on the racial assemblages of everyday life and consumer culture by Swanton, Saldhana and Nayak.</w:t>
      </w:r>
    </w:p>
  </w:footnote>
  <w:footnote w:id="14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position of complicity was so engrained in Western dealings with South Africa that, even at the height of international opposition to apartheid in the mid-1980s, Thatcher and Reagan criticised peaceful grassroots resistance in the form of strikes and boycotts by the liberation movements and pursued a  doctrine of 'constructive engagement'. </w:t>
      </w:r>
    </w:p>
  </w:footnote>
  <w:footnote w:id="144">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And North America. Material transactions and solidarities between North America, Europe and South Africa also informed ideas and practices and whiteness and resistance through trans-Atlantic solidarities between liberation movements and the civil rights movements. I locate some of these relationships in this chapter, but pro and anti white trans-Atlantic solidarities are largely for another study.</w:t>
      </w:r>
    </w:p>
  </w:footnote>
  <w:footnote w:id="14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Centre Europe Tiers Monde is an NGO founded in 1970 that currently has a consultative status within the economic and social council of the UN. In 1975 the organization's remit was to "expose the economic, social, cultural and political links between Third World and Europe" and to "analyse the ways in which these regions (the 'Third World') are dependent on Europe and to uncover the national and international mechanisms which promote or hinder their development. It is ready to collaborate with any similar group or institution sharing this approach" (CETIM, 1975: 257).</w:t>
      </w:r>
    </w:p>
  </w:footnote>
  <w:footnote w:id="146">
    <w:p w:rsidR="002B3E92" w:rsidRPr="004246B0" w:rsidRDefault="002B3E92" w:rsidP="003F4A98">
      <w:pPr>
        <w:autoSpaceDE w:val="0"/>
        <w:autoSpaceDN w:val="0"/>
        <w:adjustRightInd w:val="0"/>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Although scholars of contemporary transnational migration argue that 'global' apartheid continues: "The concept of global apartheid usefully conveys not only the scale of global inequalities, but also laws and policies aimed at their legitimization, and processes of coercive state enforcement. Dominant and protective self-determination underlies global apartheid, as it did South African apartheid, with mainly white heartland populations claiming to be in danger" (Hintjens, Kumar &amp; Pouri, 2011: 210).</w:t>
      </w:r>
    </w:p>
  </w:footnote>
  <w:footnote w:id="14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During 1960s a handful of empirical studies on the motivations of white migrants to South Africa were published in social science journals. Alan Lester's fascinating historical geography of South Africa, </w:t>
      </w:r>
      <w:r w:rsidRPr="004246B0">
        <w:rPr>
          <w:rFonts w:ascii="Garamond" w:hAnsi="Garamond"/>
          <w:i/>
        </w:rPr>
        <w:t xml:space="preserve">From Colonization to Democracy </w:t>
      </w:r>
      <w:r w:rsidRPr="004246B0">
        <w:rPr>
          <w:rFonts w:ascii="Garamond" w:hAnsi="Garamond"/>
        </w:rPr>
        <w:t xml:space="preserve">(1996), does not contain any references to white migration policy from 1960 onwards. Merle Lipton's classic and controversial text complicates simplistic Liberal and Marxist interpretations of apartheid while simultaneously (and confusingly) appearing to exonerate foreign capital from responsibility for apartheid. </w:t>
      </w:r>
      <w:r w:rsidRPr="004246B0">
        <w:rPr>
          <w:rFonts w:ascii="Garamond" w:hAnsi="Garamond"/>
          <w:i/>
        </w:rPr>
        <w:t>Capitalism and Apartheid</w:t>
      </w:r>
      <w:r w:rsidRPr="004246B0">
        <w:rPr>
          <w:rFonts w:ascii="Garamond" w:hAnsi="Garamond"/>
        </w:rPr>
        <w:t xml:space="preserve"> (1985) devotes a chapter to the interests of white labour. But while she acknowledges white migration as a strategy to overcome the skilled labour shortage following the notoriously oppressive Bantu Laws Amendment Act (1970), Lipton does not analyse the ways in which white migration intersected with apartheid capitalism and was enabled and regulated by the state apparatus. Canadian geographer, Jonathan Crush, has over two decades written extensively on trans-regional migrations of black populations in the agricultural (1993) and mining industries (1983) and post apartheid regional migration (2000</w:t>
      </w:r>
      <w:r>
        <w:rPr>
          <w:rFonts w:ascii="Garamond" w:hAnsi="Garamond"/>
        </w:rPr>
        <w:t>a</w:t>
      </w:r>
      <w:r w:rsidRPr="004246B0">
        <w:rPr>
          <w:rFonts w:ascii="Garamond" w:hAnsi="Garamond"/>
        </w:rPr>
        <w:t>; 2005), but his research on European migration to South Africa is limited to the post-apartheid era. During the 1970s Howard Wolpe published extensively on forced black migrations as a core function of converting African pre-capitalist modes of production into apartheid capital. The most famous of his publications 'Capitalism and Cheap Labour Power in South Af</w:t>
      </w:r>
      <w:r>
        <w:rPr>
          <w:rFonts w:ascii="Garamond" w:hAnsi="Garamond"/>
        </w:rPr>
        <w:t xml:space="preserve">rica' is reprinted in </w:t>
      </w:r>
      <w:r w:rsidRPr="004246B0">
        <w:rPr>
          <w:rFonts w:ascii="Garamond" w:hAnsi="Garamond"/>
        </w:rPr>
        <w:t>Dubow</w:t>
      </w:r>
      <w:r>
        <w:rPr>
          <w:rFonts w:ascii="Garamond" w:hAnsi="Garamond"/>
        </w:rPr>
        <w:t xml:space="preserve"> &amp; Beinart</w:t>
      </w:r>
      <w:r w:rsidRPr="004246B0">
        <w:rPr>
          <w:rFonts w:ascii="Garamond" w:hAnsi="Garamond"/>
        </w:rPr>
        <w:t xml:space="preserve"> (1995).</w:t>
      </w:r>
      <w:r w:rsidRPr="004246B0">
        <w:rPr>
          <w:rFonts w:ascii="Garamond" w:hAnsi="Garamond"/>
          <w:sz w:val="24"/>
          <w:szCs w:val="24"/>
        </w:rPr>
        <w:t xml:space="preserve">   </w:t>
      </w:r>
    </w:p>
  </w:footnote>
  <w:footnote w:id="148">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i/>
        </w:rPr>
        <w:t xml:space="preserve">Migration in Post-Apartheid South Africa: Challenges and questions to policy makers. </w:t>
      </w:r>
      <w:r w:rsidRPr="004246B0">
        <w:rPr>
          <w:rFonts w:ascii="Garamond" w:hAnsi="Garamond"/>
        </w:rPr>
        <w:t xml:space="preserve">Study by The Forced Migration Studies Programme at the University of Witwatersrand. </w:t>
      </w:r>
    </w:p>
  </w:footnote>
  <w:footnote w:id="149">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Between 1966 and 1970 there were 174,388 white immigrants compared to 262,866 natural births (Minty, 1975).</w:t>
      </w:r>
    </w:p>
  </w:footnote>
  <w:footnote w:id="150">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neglect of white studies in antiracism was reported by Alasdair Bonnett (2000), and has hence inspired a number of geographers - notably Nayak (2010), Saldhana (2006; 2007; 2010), Slocum (2006; 2008; 2011), Swanton (2010</w:t>
      </w:r>
      <w:r>
        <w:rPr>
          <w:rFonts w:ascii="Garamond" w:hAnsi="Garamond"/>
        </w:rPr>
        <w:t>a</w:t>
      </w:r>
      <w:r w:rsidRPr="004246B0">
        <w:rPr>
          <w:rFonts w:ascii="Garamond" w:hAnsi="Garamond"/>
        </w:rPr>
        <w:t>), Guthman (2007; 2010) - to address the imbalance.</w:t>
      </w:r>
    </w:p>
  </w:footnote>
  <w:footnote w:id="151">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sz w:val="24"/>
          <w:szCs w:val="24"/>
        </w:rPr>
        <w:t xml:space="preserve"> </w:t>
      </w:r>
      <w:r w:rsidRPr="004246B0">
        <w:rPr>
          <w:rFonts w:ascii="Garamond" w:hAnsi="Garamond"/>
          <w:sz w:val="22"/>
          <w:szCs w:val="22"/>
        </w:rPr>
        <w:t xml:space="preserve">For example, Eric Hobsbawm (1994) and </w:t>
      </w:r>
      <w:r w:rsidRPr="004246B0">
        <w:rPr>
          <w:rFonts w:ascii="Garamond" w:hAnsi="Garamond"/>
          <w:i/>
          <w:sz w:val="22"/>
          <w:szCs w:val="22"/>
        </w:rPr>
        <w:t>The 'Age of Extremes'; the short twentieth century 1914-1991</w:t>
      </w:r>
      <w:r w:rsidRPr="004246B0">
        <w:rPr>
          <w:rFonts w:ascii="Garamond" w:hAnsi="Garamond"/>
          <w:sz w:val="22"/>
          <w:szCs w:val="22"/>
        </w:rPr>
        <w:t>.</w:t>
      </w:r>
    </w:p>
  </w:footnote>
  <w:footnote w:id="15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On March 1st 1960, Albert Luthuli, the president-general of the ANC, wrote an article praising the British PM Harold Macmillan's stance on a 'non-racia</w:t>
      </w:r>
      <w:r>
        <w:rPr>
          <w:rFonts w:ascii="Garamond" w:hAnsi="Garamond"/>
        </w:rPr>
        <w:t>l' foreign policy while criticiz</w:t>
      </w:r>
      <w:r w:rsidRPr="004246B0">
        <w:rPr>
          <w:rFonts w:ascii="Garamond" w:hAnsi="Garamond"/>
        </w:rPr>
        <w:t xml:space="preserve">ing his refusal to advocate boycotts and sanctions. Luthuli emphasized the need to "employ economic sanctions on such nations. We therefore find ourselves in disagreement with our honoured guest when he denounced the campaign on the boycott of Union goods by people and groups in his own country and other countries". (ANC website, </w:t>
      </w:r>
      <w:r w:rsidRPr="001A6B91">
        <w:rPr>
          <w:rFonts w:ascii="Garamond" w:hAnsi="Garamond"/>
        </w:rPr>
        <w:t>http://www.anc.org.za/show.php?id=4687</w:t>
      </w:r>
      <w:r w:rsidRPr="004246B0">
        <w:rPr>
          <w:rFonts w:ascii="Garamond" w:hAnsi="Garamond"/>
        </w:rPr>
        <w:t xml:space="preserve">).  Luthuli's article was published by the British Boycott Movement and in several national newspapers. </w:t>
      </w:r>
    </w:p>
  </w:footnote>
  <w:footnote w:id="153">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Comment by a United Party MP made in the South Africa House of Assembly (Zöller, 1975: 7).</w:t>
      </w:r>
    </w:p>
  </w:footnote>
  <w:footnote w:id="154">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organization had "the utmost trust in the policy of moderate immigration which will not endanger the future of our Afrikaner nation" (Zöller, 1975: 25). A study in 1967 found that only 3% of immigrants were Afrikaner sympathisers and 97% of new immigrants were 'integrating' in the English speaking communities.</w:t>
      </w:r>
    </w:p>
  </w:footnote>
  <w:footnote w:id="15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The apartheid state had temporarily controlled the influence of non-violent boycotts and black resistance. Dalcanton writes "by the end of 1966, both the Poqo and the Umkonto we Sizwe ('Spear of the Nation') movements were smashed, and the brief but violent wave of terrorist attacks were contained" (1976: 164).</w:t>
      </w:r>
    </w:p>
  </w:footnote>
  <w:footnote w:id="156">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South Africa Foundation was an apartheid-funded think-tank based in London and Washington that identified itself as a scholarly organization. It worked to influence public opinion on apartheid through producing advertisements that contradicted anti-apartheid framings of events like Sharpeville, and later, Soweto. </w:t>
      </w:r>
    </w:p>
  </w:footnote>
  <w:footnote w:id="15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In </w:t>
      </w:r>
      <w:r w:rsidRPr="004246B0">
        <w:rPr>
          <w:rFonts w:ascii="Garamond" w:hAnsi="Garamond"/>
          <w:i/>
        </w:rPr>
        <w:t xml:space="preserve">The Racial Contract </w:t>
      </w:r>
      <w:r w:rsidRPr="004246B0">
        <w:rPr>
          <w:rFonts w:ascii="Garamond" w:hAnsi="Garamond"/>
        </w:rPr>
        <w:t>(1997)</w:t>
      </w:r>
      <w:r w:rsidRPr="004246B0">
        <w:rPr>
          <w:rFonts w:ascii="Garamond" w:hAnsi="Garamond"/>
          <w:i/>
        </w:rPr>
        <w:t xml:space="preserve"> </w:t>
      </w:r>
      <w:r w:rsidRPr="004246B0">
        <w:rPr>
          <w:rFonts w:ascii="Garamond" w:hAnsi="Garamond"/>
        </w:rPr>
        <w:t>political philosopher Charles Mills argues that the racial contact continues to be between European people and their descendents (at times tacitly agreed upon, at other times explicitly enforced) to maintain white supremacy against all other peoples. In similarity to Goldberg (2009) he argues that anti-apartheid was an antiracist project aimed at subverting this contract: "the different battles  around the world</w:t>
      </w:r>
      <w:r>
        <w:rPr>
          <w:rFonts w:ascii="Garamond" w:hAnsi="Garamond"/>
        </w:rPr>
        <w:t xml:space="preserve"> against slavery, colonialism, Jim C</w:t>
      </w:r>
      <w:r w:rsidRPr="004246B0">
        <w:rPr>
          <w:rFonts w:ascii="Garamond" w:hAnsi="Garamond"/>
        </w:rPr>
        <w:t xml:space="preserve">row, the "color bar," European imperialism, apartheid were in a sense all part of a common struggle against the Racial Contract. As Gary Okihiro points out, </w:t>
      </w:r>
      <w:r>
        <w:rPr>
          <w:rFonts w:ascii="Garamond" w:hAnsi="Garamond"/>
        </w:rPr>
        <w:t>what came into existence was "a</w:t>
      </w:r>
      <w:r w:rsidRPr="004246B0">
        <w:rPr>
          <w:rFonts w:ascii="Garamond" w:hAnsi="Garamond"/>
        </w:rPr>
        <w:t xml:space="preserve"> global racial formation that complemented and buttressed the economic and political world-system," thus generating "trans­national identities of white and nonwhite."" (1997: 116-11</w:t>
      </w:r>
      <w:r>
        <w:rPr>
          <w:rFonts w:ascii="Garamond" w:hAnsi="Garamond"/>
        </w:rPr>
        <w:t xml:space="preserve">7). In the following chapter I </w:t>
      </w:r>
      <w:r w:rsidRPr="004246B0">
        <w:rPr>
          <w:rFonts w:ascii="Garamond" w:hAnsi="Garamond"/>
        </w:rPr>
        <w:t xml:space="preserve">critique Goldberg's similar position that conflates antiracism and anti-apartheid. However, I am in agreement that the racial contract itself took many different forms and contexts (including European collusion with apartheid). </w:t>
      </w:r>
    </w:p>
  </w:footnote>
  <w:footnote w:id="158">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In 1968 John Laurence dedicated a chapter to apartheid propaganda in </w:t>
      </w:r>
      <w:r w:rsidRPr="004246B0">
        <w:rPr>
          <w:rFonts w:ascii="Garamond" w:hAnsi="Garamond"/>
          <w:i/>
        </w:rPr>
        <w:t>The Seeds of Disaster: A guide to the realities, race policies and world-wide propaganda campaigns of the republic of South Africa.</w:t>
      </w:r>
      <w:r w:rsidRPr="004246B0">
        <w:rPr>
          <w:rFonts w:ascii="Garamond" w:hAnsi="Garamond"/>
        </w:rPr>
        <w:t xml:space="preserve"> While some of the organizations that facilitated white migration are critiqued for their wider role in the apartheid publicity machine (The South Africa Foundation, Rotary International, Round Table), white migration is surprising absent from Laurence's dialogue. </w:t>
      </w:r>
    </w:p>
  </w:footnote>
  <w:footnote w:id="159">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South African Department of Immigration established offices in Athens, Berne, Brussels, The Hague, Glasgow, Hamburg, Cologne, Lisbon, London, Milan, Munich, Paris, Rome, Vienna.</w:t>
      </w:r>
    </w:p>
  </w:footnote>
  <w:footnote w:id="160">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These specific stereotypes appeared in a Transa advert for South African immigration in 1974.</w:t>
      </w:r>
    </w:p>
  </w:footnote>
  <w:footnote w:id="161">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construction of white identities in emigration propaganda directed at Europeans during the 1970s would make a fascinating doctoral/post-doctoral research project independent from this chapter.</w:t>
      </w:r>
    </w:p>
  </w:footnote>
  <w:footnote w:id="16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How Zöller managed to obtain these confidential reports for his general introduction to White Migration is not disclosed. However in 1973-75 he worked undercover as a potential migrant to South Africa. This gave Zöller opportunities to meet people from the pro-apartheid organizations and to better understand how they functioned. Approaching the South African recruitment agencies as a potential migrant was favoured approach by AAM activists as a means of obtaining specific feedback on the embodied selection process in selected European countries. </w:t>
      </w:r>
    </w:p>
  </w:footnote>
  <w:footnote w:id="16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sidRPr="004246B0">
        <w:rPr>
          <w:rFonts w:ascii="Garamond" w:hAnsi="Garamond"/>
          <w:i/>
        </w:rPr>
        <w:t>The French Journal of the European Elite</w:t>
      </w:r>
      <w:r w:rsidRPr="004246B0">
        <w:rPr>
          <w:rFonts w:ascii="Garamond" w:hAnsi="Garamond"/>
        </w:rPr>
        <w:t xml:space="preserve"> was published in Paris but aside from its title was written entirely in English. Other special issues on South African culture were published throughout the 1950s and 60s.</w:t>
      </w:r>
    </w:p>
  </w:footnote>
  <w:footnote w:id="164">
    <w:p w:rsidR="002B3E92" w:rsidRPr="004246B0" w:rsidRDefault="002B3E92" w:rsidP="00A7088C">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These numbers represent a sharp increase of white immigrants when compared to previous periods. </w:t>
      </w:r>
    </w:p>
    <w:p w:rsidR="002B3E92" w:rsidRPr="004246B0" w:rsidRDefault="002B3E92" w:rsidP="00A7088C">
      <w:pPr>
        <w:pStyle w:val="FootnoteText"/>
        <w:rPr>
          <w:rFonts w:ascii="Garamond" w:hAnsi="Garamond"/>
        </w:rPr>
      </w:pPr>
      <w:r w:rsidRPr="004246B0">
        <w:rPr>
          <w:rFonts w:ascii="Garamond" w:hAnsi="Garamond"/>
        </w:rPr>
        <w:t>Total net white migration for the period 1935-1958 was 100,000. Following Sharpeville</w:t>
      </w:r>
      <w:r>
        <w:rPr>
          <w:rFonts w:ascii="Garamond" w:hAnsi="Garamond"/>
        </w:rPr>
        <w:t xml:space="preserve">, 1960 recorded a net </w:t>
      </w:r>
      <w:r w:rsidRPr="004246B0">
        <w:rPr>
          <w:rFonts w:ascii="Garamond" w:hAnsi="Garamond"/>
        </w:rPr>
        <w:t>loss of 3000 migrants (Lipton, 1985).</w:t>
      </w:r>
    </w:p>
  </w:footnote>
  <w:footnote w:id="16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www.nationsonline.org/oneworld/History/South-Africa-history2.htm</w:t>
      </w:r>
    </w:p>
  </w:footnote>
  <w:footnote w:id="166">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Under Separate Development policy the formation of the 'Bantustans' enabled South Africa to procure cheap labour without offering full civilian rights to millions of black labourers. Black suburbs like Sophiatown were evacuated of their black populations.</w:t>
      </w:r>
    </w:p>
  </w:footnote>
  <w:footnote w:id="16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"In 1968, The Deputy Minister of Immigration, Dr Koonhof, stated that South Africa was the only country in the world which took only skilled immigrants: 'we do this because we feel it unfair to an unskilled immigrant to come to South Africa and have to compete with a salary scale that is applicable to the Bantu'" (</w:t>
      </w:r>
      <w:r w:rsidRPr="004246B0">
        <w:rPr>
          <w:rFonts w:ascii="Garamond" w:hAnsi="Garamond"/>
          <w:i/>
        </w:rPr>
        <w:t>Port Elizabeth Evening Post</w:t>
      </w:r>
      <w:r w:rsidRPr="004246B0">
        <w:rPr>
          <w:rFonts w:ascii="Garamond" w:hAnsi="Garamond"/>
        </w:rPr>
        <w:t xml:space="preserve"> in Zöller, 1975: 24).</w:t>
      </w:r>
    </w:p>
  </w:footnote>
  <w:footnote w:id="168">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1970 'Bantu Laws Amendement Act' gave employers the right to refuse employment to any African on the basis of their skin colour.</w:t>
      </w:r>
    </w:p>
  </w:footnote>
  <w:footnote w:id="169">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w:t>
      </w:r>
      <w:r w:rsidRPr="004246B0">
        <w:rPr>
          <w:rFonts w:ascii="Garamond" w:eastAsia="Times New Roman" w:hAnsi="Garamond"/>
          <w:lang w:eastAsia="en-GB"/>
        </w:rPr>
        <w:t>According to Martin Legassick &amp; Duncan Innes, the doctrine emerged from thinking "</w:t>
      </w:r>
      <w:r w:rsidRPr="004246B0">
        <w:rPr>
          <w:rFonts w:ascii="Garamond" w:eastAsia="Times New Roman" w:hAnsi="Garamond"/>
          <w:iCs/>
          <w:lang w:eastAsia="en-GB"/>
        </w:rPr>
        <w:t>among certain South African liberals that economic growth would in the long run undermine the racial structure of apartheid"</w:t>
      </w:r>
      <w:r w:rsidRPr="004246B0">
        <w:rPr>
          <w:rFonts w:ascii="Garamond" w:eastAsia="Times New Roman" w:hAnsi="Garamond"/>
          <w:i/>
          <w:iCs/>
          <w:lang w:eastAsia="en-GB"/>
        </w:rPr>
        <w:t>. </w:t>
      </w:r>
      <w:r w:rsidRPr="004246B0">
        <w:rPr>
          <w:rFonts w:ascii="Garamond" w:eastAsia="Times New Roman" w:hAnsi="Garamond"/>
          <w:lang w:eastAsia="en-GB"/>
        </w:rPr>
        <w:t>This argument, the authors continue, became popular again in the late 1960s</w:t>
      </w:r>
      <w:r w:rsidRPr="004246B0">
        <w:rPr>
          <w:rFonts w:ascii="Garamond" w:eastAsia="Times New Roman" w:hAnsi="Garamond"/>
          <w:i/>
          <w:iCs/>
          <w:lang w:eastAsia="en-GB"/>
        </w:rPr>
        <w:t> </w:t>
      </w:r>
      <w:r w:rsidRPr="004246B0">
        <w:rPr>
          <w:rFonts w:ascii="Garamond" w:eastAsia="Times New Roman" w:hAnsi="Garamond"/>
          <w:iCs/>
          <w:lang w:eastAsia="en-GB"/>
        </w:rPr>
        <w:t>"and was closely interwoven with the 'Nixon-Kissinger' strategy on southern Africa, and countered the growing international support for the isolation of the South African regime" (1977: 437).</w:t>
      </w:r>
    </w:p>
  </w:footnote>
  <w:footnote w:id="170">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And again in the 1980s with the Reagan-Thatcher policy on investment.</w:t>
      </w:r>
    </w:p>
  </w:footnote>
  <w:footnote w:id="171">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These are age-old critiques of boycott movements made in liberal capitalist democracies. The right wing press in Holland denounced the BOA's citrus boycott as a form of unfreedom, and as supporting Communism in Holland, despite the BOA's adherence to the Freedom Charter. </w:t>
      </w:r>
    </w:p>
  </w:footnote>
  <w:footnote w:id="172">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chairman of the SA Liberal Party, Alan Paton, was forced into exile in the early 1960s. His 1948 book </w:t>
      </w:r>
      <w:r w:rsidRPr="004246B0">
        <w:rPr>
          <w:rFonts w:ascii="Garamond" w:hAnsi="Garamond"/>
          <w:i/>
        </w:rPr>
        <w:t>Cry, the Beloved Country</w:t>
      </w:r>
      <w:r w:rsidRPr="004246B0">
        <w:rPr>
          <w:rFonts w:ascii="Garamond" w:hAnsi="Garamond"/>
        </w:rPr>
        <w:t xml:space="preserve"> was already a global anti-apartheid classic.</w:t>
      </w:r>
    </w:p>
  </w:footnote>
  <w:footnote w:id="17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Pro-apartheid publications for tourism and migration are missing from his analysis.</w:t>
      </w:r>
    </w:p>
  </w:footnote>
  <w:footnote w:id="174">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Racial assemblages, Swanton writes, "examine how fuzzy racial summaries distributed across a whole host of bodies, objects, and spaces become the basis for rapid practices of perception, judgment, and action (2010: 460).</w:t>
      </w:r>
    </w:p>
  </w:footnote>
  <w:footnote w:id="175">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We could extend a historiography of (activist) actions against racism-as-a-form-of-technology back to the anti-saccharites who campaigned against the consumption of slave produced sugar in the late eighteenth century. The framework for a broad structural definition of antiracism that incorporates resistance to white on black slavery is well developed in Critical Race Theory (see </w:t>
      </w:r>
      <w:r>
        <w:rPr>
          <w:rFonts w:ascii="Garamond" w:hAnsi="Garamond"/>
        </w:rPr>
        <w:t>Goldberg, 2006; McKittrick, 2006</w:t>
      </w:r>
      <w:r w:rsidRPr="004246B0">
        <w:rPr>
          <w:rFonts w:ascii="Garamond" w:hAnsi="Garamond"/>
        </w:rPr>
        <w:t xml:space="preserve">), but such a project would need to show how the antiracism of the anti-saccharites was limited to action on free labour and slavery. And although anti-saccharites worked in antiracist ways, most of the individuals in the movement held commonplace racist worldviews.   </w:t>
      </w:r>
    </w:p>
  </w:footnote>
  <w:footnote w:id="176">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Swanton refers to these loose and relentless forms of racism as "mobile racial summaries" that "stick to and arrange bodies, things and spaces, grounding processes of differentiation which bleed into rapid judgements that mediate encounters" (2010: 461).</w:t>
      </w:r>
    </w:p>
  </w:footnote>
  <w:footnote w:id="17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nineteenth century sciences of physiognomy and phrenology were used to produce hierarchies of races "differently endowed such that some were inherently superior to others" (Miles, 1982: 13). These popular sciences dovetailed with racist discourse. I use the qualifier 'citizen' here as an indicator of their public appeal and popular accessibility, but more pertinently as a reference to the endeavour of the 'sciences' to discern who could become citizen, and who would be quite literally denied citizenship. In today's political climate where citizen-science is upheld for its democratic and environmental potential this citizen-science of race, might be understood as 'bad' citizen-science.     </w:t>
      </w:r>
    </w:p>
  </w:footnote>
  <w:footnote w:id="178">
    <w:p w:rsidR="002B3E92" w:rsidRPr="004246B0" w:rsidRDefault="002B3E92" w:rsidP="003F4A98">
      <w:pPr>
        <w:spacing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lang w:val="de-CH"/>
        </w:rPr>
        <w:t xml:space="preserve"> </w:t>
      </w:r>
      <w:r w:rsidRPr="004246B0">
        <w:rPr>
          <w:rFonts w:ascii="Garamond" w:hAnsi="Garamond"/>
          <w:i/>
          <w:sz w:val="20"/>
          <w:szCs w:val="20"/>
          <w:lang w:val="de-CH"/>
        </w:rPr>
        <w:t xml:space="preserve">Emigratie naar Zuid-Afrika - is het wel in uw belang? </w:t>
      </w:r>
      <w:r w:rsidRPr="004246B0">
        <w:rPr>
          <w:rFonts w:ascii="Garamond" w:hAnsi="Garamond"/>
          <w:i/>
          <w:sz w:val="20"/>
          <w:szCs w:val="20"/>
        </w:rPr>
        <w:t>'Emigration to South Africa - Is it in your best interest?'</w:t>
      </w:r>
      <w:r w:rsidRPr="004246B0">
        <w:rPr>
          <w:rFonts w:ascii="Garamond" w:hAnsi="Garamond"/>
          <w:sz w:val="20"/>
          <w:szCs w:val="20"/>
        </w:rPr>
        <w:t xml:space="preserve"> BOA Brochure, March 1975. Written by Ben van Kaam and Esau du Plessis to support the BOA campaign.</w:t>
      </w:r>
    </w:p>
  </w:footnote>
  <w:footnote w:id="179">
    <w:p w:rsidR="002B3E92" w:rsidRPr="000D23CF" w:rsidRDefault="002B3E92" w:rsidP="003F4A98">
      <w:pPr>
        <w:pStyle w:val="FootnoteText"/>
        <w:rPr>
          <w:rFonts w:ascii="Garamond" w:hAnsi="Garamond"/>
        </w:rPr>
      </w:pPr>
      <w:r w:rsidRPr="000D23CF">
        <w:rPr>
          <w:rStyle w:val="FootnoteReference"/>
          <w:rFonts w:ascii="Garamond" w:hAnsi="Garamond"/>
        </w:rPr>
        <w:footnoteRef/>
      </w:r>
      <w:r w:rsidRPr="000D23CF">
        <w:rPr>
          <w:rFonts w:ascii="Garamond" w:hAnsi="Garamond"/>
        </w:rPr>
        <w:t xml:space="preserve"> Population Registrati</w:t>
      </w:r>
      <w:r>
        <w:rPr>
          <w:rFonts w:ascii="Garamond" w:hAnsi="Garamond"/>
        </w:rPr>
        <w:t>on Act 30, 1950. Section 1 (xv) (</w:t>
      </w:r>
      <w:r w:rsidRPr="000D23CF">
        <w:rPr>
          <w:rFonts w:ascii="Garamond" w:hAnsi="Garamond"/>
        </w:rPr>
        <w:t>http://africanhistory.about.com/od/apartheidlaws</w:t>
      </w:r>
      <w:r>
        <w:rPr>
          <w:rFonts w:ascii="Garamond" w:hAnsi="Garamond"/>
        </w:rPr>
        <w:t xml:space="preserve"> </w:t>
      </w:r>
      <w:r w:rsidRPr="000D23CF">
        <w:rPr>
          <w:rFonts w:ascii="Garamond" w:hAnsi="Garamond"/>
        </w:rPr>
        <w:t>/g/No30of50.htm) Accessed 11/3/2013</w:t>
      </w:r>
    </w:p>
  </w:footnote>
  <w:footnote w:id="180">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ANC's Freedom Charter was ratified at </w:t>
      </w:r>
      <w:r w:rsidRPr="004246B0">
        <w:rPr>
          <w:rFonts w:ascii="Garamond" w:hAnsi="Garamond"/>
          <w:i/>
        </w:rPr>
        <w:t xml:space="preserve">The Congress of The People in Kliptown, 26th June 1955. </w:t>
      </w:r>
      <w:r w:rsidRPr="004246B0">
        <w:rPr>
          <w:rFonts w:ascii="Garamond" w:hAnsi="Garamond"/>
        </w:rPr>
        <w:t xml:space="preserve">The BOA adopted the Freedom Charter as the basis for their actions. Key points included the demand for equality in land ownership, education, law and human rights, and a commitment to non-violence. See ANC website: </w:t>
      </w:r>
      <w:r w:rsidRPr="003C311C">
        <w:rPr>
          <w:rFonts w:ascii="Garamond" w:hAnsi="Garamond"/>
        </w:rPr>
        <w:t>http://www.anc.org.za/show.php?id=72</w:t>
      </w:r>
      <w:r w:rsidRPr="004246B0">
        <w:rPr>
          <w:rFonts w:ascii="Garamond" w:hAnsi="Garamond"/>
        </w:rPr>
        <w:t>.</w:t>
      </w:r>
    </w:p>
  </w:footnote>
  <w:footnote w:id="181">
    <w:p w:rsidR="002B3E92" w:rsidRPr="004246B0" w:rsidRDefault="002B3E92" w:rsidP="003F4A98">
      <w:pPr>
        <w:spacing w:line="240" w:lineRule="auto"/>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The UN continues to commemorate the 21st March as a global day of antiracism. On their website they state: "In 1966, the UN General Assembly proclaimed 21 March as the International Day for the Elimination of Racial Discrimination to commemorate the Sharpeville tragedy. 21 March has since served not only to remind the international community of the dire consequences of racism, but also to recall our obligation and determination to combat racial discrimination." http://www.un.org/es/events/racialdiscriminationday/pdf/Infonote%20FINAL.pdf. Last accessed 21/12/12.</w:t>
      </w:r>
    </w:p>
    <w:p w:rsidR="002B3E92" w:rsidRPr="004246B0" w:rsidRDefault="002B3E92" w:rsidP="003F4A98">
      <w:pPr>
        <w:pStyle w:val="FootnoteText"/>
        <w:rPr>
          <w:rFonts w:ascii="Garamond" w:hAnsi="Garamond"/>
        </w:rPr>
      </w:pPr>
    </w:p>
  </w:footnote>
  <w:footnote w:id="182">
    <w:p w:rsidR="002B3E92" w:rsidRPr="00036AFD"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sidRPr="00036AFD">
        <w:rPr>
          <w:rFonts w:ascii="Garamond" w:hAnsi="Garamond"/>
        </w:rPr>
        <w:t>Translated from "Emigreren naar Zuid Afrika betekent apartheid steunen"</w:t>
      </w:r>
    </w:p>
  </w:footnote>
  <w:footnote w:id="183">
    <w:p w:rsidR="002B3E92" w:rsidRPr="004246B0" w:rsidRDefault="002B3E92" w:rsidP="003F4A98">
      <w:pPr>
        <w:pStyle w:val="FootnoteText"/>
        <w:rPr>
          <w:rFonts w:ascii="Garamond" w:hAnsi="Garamond"/>
        </w:rPr>
      </w:pPr>
      <w:r w:rsidRPr="00036AFD">
        <w:rPr>
          <w:rStyle w:val="FootnoteReference"/>
          <w:rFonts w:ascii="Garamond" w:hAnsi="Garamond"/>
        </w:rPr>
        <w:footnoteRef/>
      </w:r>
      <w:r w:rsidRPr="00036AFD">
        <w:rPr>
          <w:rFonts w:ascii="Garamond" w:hAnsi="Garamond"/>
        </w:rPr>
        <w:t xml:space="preserve"> "Meer Europese blanken naar Zuid-Afrika"</w:t>
      </w:r>
      <w:r>
        <w:rPr>
          <w:rFonts w:ascii="Garamond" w:hAnsi="Garamond"/>
        </w:rPr>
        <w:t xml:space="preserve"> </w:t>
      </w:r>
    </w:p>
  </w:footnote>
  <w:footnote w:id="184">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Throughout the 1970s and 80s, </w:t>
      </w:r>
      <w:r w:rsidRPr="004246B0">
        <w:rPr>
          <w:rFonts w:ascii="Garamond" w:hAnsi="Garamond"/>
          <w:i/>
        </w:rPr>
        <w:t>Achter Het Nieuws</w:t>
      </w:r>
      <w:r w:rsidRPr="004246B0">
        <w:rPr>
          <w:rFonts w:ascii="Garamond" w:hAnsi="Garamond"/>
        </w:rPr>
        <w:t xml:space="preserve"> publicized several anti-apartheid campaigns in Holland.</w:t>
      </w:r>
    </w:p>
  </w:footnote>
  <w:footnote w:id="185">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Bayers </w:t>
      </w:r>
      <w:r w:rsidRPr="004246B0">
        <w:rPr>
          <w:rFonts w:ascii="Garamond" w:hAnsi="Garamond"/>
          <w:shd w:val="clear" w:color="auto" w:fill="FFFFFF"/>
        </w:rPr>
        <w:t>Naudé</w:t>
      </w:r>
      <w:r w:rsidRPr="004246B0">
        <w:rPr>
          <w:rFonts w:ascii="Garamond" w:hAnsi="Garamond"/>
        </w:rPr>
        <w:t xml:space="preserve"> was an Afrikaner anti-apartheid activist who founded the Christian Institute. In 1970 the Working Group Kairos was founded (the AAM counted du Plessis and Ben van Kaam among their founders) as an organization dedicated to supporting </w:t>
      </w:r>
      <w:r w:rsidRPr="004246B0">
        <w:rPr>
          <w:rFonts w:ascii="Garamond" w:hAnsi="Garamond"/>
          <w:shd w:val="clear" w:color="auto" w:fill="FFFFFF"/>
        </w:rPr>
        <w:t xml:space="preserve">Naudé and the Christian Institute from Utrecht. The organization played an important part in Dutch actions against Shell in the 1970s.  </w:t>
      </w:r>
    </w:p>
  </w:footnote>
  <w:footnote w:id="186">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Dutch immigrants were the migrant nationality of choice for the pro-apartheid network as they were more likely to be active Afrikaner sympathisers. For this reason the apartheid migration apparatus made concessions to appeal to migrants from Holland with less financial and social capital than those from the UK, Germany or France.</w:t>
      </w:r>
    </w:p>
  </w:footnote>
  <w:footnote w:id="18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Proto-national in the sense of 'becoming-national' - the advert appealed to pre-emptive national pride; potential Dutch migrants were not yet South Africans, but they were shown the pride at stake in beco</w:t>
      </w:r>
      <w:r>
        <w:rPr>
          <w:rFonts w:ascii="Garamond" w:hAnsi="Garamond"/>
        </w:rPr>
        <w:t>ming an Afrikaans</w:t>
      </w:r>
      <w:r w:rsidRPr="004246B0">
        <w:rPr>
          <w:rFonts w:ascii="Garamond" w:hAnsi="Garamond"/>
        </w:rPr>
        <w:t xml:space="preserve">-speaking South African. </w:t>
      </w:r>
    </w:p>
  </w:footnote>
  <w:footnote w:id="188">
    <w:p w:rsidR="002B3E92" w:rsidRPr="004246B0" w:rsidRDefault="002B3E92" w:rsidP="003F4A98">
      <w:pPr>
        <w:autoSpaceDE w:val="0"/>
        <w:autoSpaceDN w:val="0"/>
        <w:adjustRightInd w:val="0"/>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Findlay et al.’s (2013) important paper for </w:t>
      </w:r>
      <w:r>
        <w:rPr>
          <w:rFonts w:ascii="Garamond" w:hAnsi="Garamond"/>
          <w:i/>
          <w:sz w:val="20"/>
          <w:szCs w:val="20"/>
        </w:rPr>
        <w:t>Social &amp; Cultural</w:t>
      </w:r>
      <w:r w:rsidRPr="004246B0">
        <w:rPr>
          <w:rFonts w:ascii="Garamond" w:hAnsi="Garamond"/>
          <w:i/>
          <w:sz w:val="20"/>
          <w:szCs w:val="20"/>
        </w:rPr>
        <w:t xml:space="preserve"> Geography</w:t>
      </w:r>
      <w:r w:rsidRPr="004246B0">
        <w:rPr>
          <w:rFonts w:ascii="Garamond" w:hAnsi="Garamond"/>
          <w:sz w:val="20"/>
          <w:szCs w:val="20"/>
        </w:rPr>
        <w:t>, "The role of recruitment agencies in imagining and producing the ‘good’ migrant", details the embodied filtering work done by recruitment agencies in Latvia to produce the 'ideal migrant'. They study the implications of the recruitment focus on 'bodily goodness' for the selection of migrant workers for the UK.</w:t>
      </w:r>
    </w:p>
  </w:footnote>
  <w:footnote w:id="189">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In his 1975 chapter on action models in </w:t>
      </w:r>
      <w:r w:rsidRPr="004246B0">
        <w:rPr>
          <w:rFonts w:ascii="Garamond" w:hAnsi="Garamond"/>
          <w:i/>
        </w:rPr>
        <w:t>White Migration</w:t>
      </w:r>
      <w:r w:rsidRPr="004246B0">
        <w:rPr>
          <w:rFonts w:ascii="Garamond" w:hAnsi="Garamond"/>
        </w:rPr>
        <w:t xml:space="preserve">, du Plessis documents the Kairos campaign of 1972, and attributes the organization with "contributing towards a climate of opinion in the Netherlands, which is presently conducive to a large scale, national action" (1975: 245). More information on the Kairos campaign can be found in the </w:t>
      </w:r>
      <w:r w:rsidRPr="004246B0">
        <w:rPr>
          <w:rFonts w:ascii="Garamond" w:hAnsi="Garamond"/>
          <w:i/>
        </w:rPr>
        <w:t>Kairos-Berichten</w:t>
      </w:r>
      <w:r w:rsidRPr="004246B0">
        <w:rPr>
          <w:rFonts w:ascii="Garamond" w:hAnsi="Garamond"/>
        </w:rPr>
        <w:t xml:space="preserve">, 1972: 3 (edited by du Plessis and van Kaam). In 1971, the AABN ran a small campaign against the South African embassy in the Hague. The campaign involved filling out bogus migration forms so that the emigration department of the embassy would be overwhelmed. Kenneth Grundy (1974) declares that the six month campaign succeeded in trebling the number of immigration forms received by the embassy (peaking at 1200 applicants in January 1972). </w:t>
      </w:r>
    </w:p>
  </w:footnote>
  <w:footnote w:id="190">
    <w:p w:rsidR="002B3E92" w:rsidRPr="0099596F" w:rsidRDefault="002B3E92" w:rsidP="0099596F">
      <w:pPr>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Perhaps Roskam was thinking like a cultural geographer of migration.</w:t>
      </w:r>
      <w:r w:rsidRPr="004246B0">
        <w:rPr>
          <w:rFonts w:ascii="Garamond" w:hAnsi="Garamond"/>
        </w:rPr>
        <w:t xml:space="preserve"> </w:t>
      </w:r>
      <w:r w:rsidRPr="004246B0">
        <w:rPr>
          <w:rFonts w:ascii="Garamond" w:hAnsi="Garamond"/>
          <w:sz w:val="20"/>
          <w:szCs w:val="20"/>
        </w:rPr>
        <w:t>On this subject, Alison Blunt writes: "As much of this research reveals, the legal frameworks that facilitate some mobilities while restricting others are themselves inseparably bound up with the embodied politic</w:t>
      </w:r>
      <w:r>
        <w:rPr>
          <w:rFonts w:ascii="Garamond" w:hAnsi="Garamond"/>
          <w:sz w:val="20"/>
          <w:szCs w:val="20"/>
        </w:rPr>
        <w:t xml:space="preserve">s of difference" (2007: 686).  </w:t>
      </w:r>
    </w:p>
  </w:footnote>
  <w:footnote w:id="191">
    <w:p w:rsidR="002B3E92" w:rsidRPr="004246B0" w:rsidRDefault="002B3E92" w:rsidP="0099596F">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Other classic examples from the era include the BOA Outspan boycott posters and the Komite Zuid-Afrika's (1972) booklet on the A</w:t>
      </w:r>
      <w:r>
        <w:rPr>
          <w:rFonts w:ascii="Garamond" w:hAnsi="Garamond"/>
        </w:rPr>
        <w:t>ngolan Coffee Boycott</w:t>
      </w:r>
      <w:r w:rsidRPr="004246B0">
        <w:rPr>
          <w:rFonts w:ascii="Garamond" w:hAnsi="Garamond"/>
        </w:rPr>
        <w:t xml:space="preserve">. </w:t>
      </w:r>
    </w:p>
  </w:footnote>
  <w:footnote w:id="192">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Due to their commitment to the South African Christian Institute and the safety of Bayers </w:t>
      </w:r>
      <w:r w:rsidRPr="004246B0">
        <w:rPr>
          <w:rFonts w:ascii="Garamond" w:hAnsi="Garamond"/>
          <w:color w:val="000000"/>
          <w:shd w:val="clear" w:color="auto" w:fill="FFFFFF"/>
        </w:rPr>
        <w:t>Naudé</w:t>
      </w:r>
      <w:r w:rsidRPr="004246B0">
        <w:rPr>
          <w:rFonts w:ascii="Garamond" w:hAnsi="Garamond"/>
        </w:rPr>
        <w:t xml:space="preserve">, Kairos could not risk developing fear as an effective anti-apartheid weapon. In 1975 the Christian Institute was not a banned organization in South Africa (unlike the ANC and SACTU). In order to keep the organization legitimate in the eyes of the apartheid state, actions by solidarity AAMs could not appear too militant.  </w:t>
      </w:r>
    </w:p>
  </w:footnote>
  <w:footnote w:id="19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Concerns over the BOA's perceived radicalism were held by CETIM's organizer of the campaign, Gilbert Rist, which I evidence later in the chapter.</w:t>
      </w:r>
    </w:p>
  </w:footnote>
  <w:footnote w:id="194">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BOA produced 10,000 of these booklets in Dutch.</w:t>
      </w:r>
    </w:p>
  </w:footnote>
  <w:footnote w:id="19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What was remarkable about this pro-apartheid lobby was the variety of political positions represented. The NZAV had a liberal mentality, while the NZAW was more conservative in its outlook. A range of racist worldviews were represented, from the barely noticeable to the explicit. See the chapter on Holland by the Ecumenical Dutch Exchange in </w:t>
      </w:r>
      <w:r w:rsidRPr="004246B0">
        <w:rPr>
          <w:rFonts w:ascii="Garamond" w:hAnsi="Garamond"/>
          <w:i/>
        </w:rPr>
        <w:t xml:space="preserve">White Migration, </w:t>
      </w:r>
      <w:r w:rsidRPr="004246B0">
        <w:rPr>
          <w:rFonts w:ascii="Garamond" w:hAnsi="Garamond"/>
        </w:rPr>
        <w:t>pp161-185.</w:t>
      </w:r>
    </w:p>
  </w:footnote>
  <w:footnote w:id="196">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During an interview with du Plessis (January, 2012), the former BOA leader posited that the noun 'Aryan' was deliberately chosen to describe the racial selection process of apartheid (rather than 'racist' or 'white supremacist')  in order to leave a heightened impression on Dutch readers. </w:t>
      </w:r>
    </w:p>
  </w:footnote>
  <w:footnote w:id="19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After delivering a talk at a postgraduate symposium at Royal Holloway in 2011, a couple of students from the audience approached me afterwards to express their shock over the BOA's anthropophagic anti-Outspan poster. A development studies student suggested that the image should be understood as 'development pornography'. I replied that while I could understand his shocked reaction to the posters, various South African liberation movements had endorsed the posters, and the head of SACTU had responded to similar humanistic criticisms in 1973, saying that the hand of apartheid wasn't squeezing hard enough.  </w:t>
      </w:r>
    </w:p>
  </w:footnote>
  <w:footnote w:id="198">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In "Conflict Diamonds and the (Anti) Terrorist Consumer"</w:t>
      </w:r>
      <w:r w:rsidRPr="004246B0">
        <w:rPr>
          <w:rFonts w:ascii="Garamond" w:hAnsi="Garamond"/>
          <w:i/>
        </w:rPr>
        <w:t xml:space="preserve"> </w:t>
      </w:r>
      <w:r w:rsidRPr="004246B0">
        <w:rPr>
          <w:rFonts w:ascii="Garamond" w:hAnsi="Garamond"/>
        </w:rPr>
        <w:t xml:space="preserve">Le Billon (2007) suggests that the Canadian Fatal Transactions campaign used terror and racialized images of violence to redraw the contours of ethical consumption.  In this neoliberal context, the 'terrorization' of diamonds worked to support corporate interests and further marginalize and delegitimize artisanal diamond miners in Sierra Leone.  </w:t>
      </w:r>
    </w:p>
  </w:footnote>
  <w:footnote w:id="199">
    <w:p w:rsidR="002B3E92" w:rsidRPr="004246B0" w:rsidRDefault="002B3E92" w:rsidP="003F4A98">
      <w:pPr>
        <w:autoSpaceDE w:val="0"/>
        <w:autoSpaceDN w:val="0"/>
        <w:adjustRightInd w:val="0"/>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In </w:t>
      </w:r>
      <w:r w:rsidRPr="004246B0">
        <w:rPr>
          <w:rFonts w:ascii="Garamond" w:hAnsi="Garamond"/>
          <w:i/>
          <w:sz w:val="20"/>
          <w:szCs w:val="20"/>
        </w:rPr>
        <w:t>The Location of Culture</w:t>
      </w:r>
      <w:r w:rsidRPr="004246B0">
        <w:rPr>
          <w:rFonts w:ascii="Garamond" w:hAnsi="Garamond"/>
          <w:sz w:val="20"/>
          <w:szCs w:val="20"/>
        </w:rPr>
        <w:t>, Homi Bhab</w:t>
      </w:r>
      <w:r>
        <w:rPr>
          <w:rFonts w:ascii="Garamond" w:hAnsi="Garamond"/>
          <w:sz w:val="20"/>
          <w:szCs w:val="20"/>
        </w:rPr>
        <w:t>h</w:t>
      </w:r>
      <w:r w:rsidRPr="004246B0">
        <w:rPr>
          <w:rFonts w:ascii="Garamond" w:hAnsi="Garamond"/>
          <w:sz w:val="20"/>
          <w:szCs w:val="20"/>
        </w:rPr>
        <w:t>a</w:t>
      </w:r>
      <w:r w:rsidRPr="004246B0">
        <w:rPr>
          <w:rFonts w:ascii="Garamond" w:hAnsi="Garamond"/>
          <w:i/>
          <w:sz w:val="20"/>
          <w:szCs w:val="20"/>
        </w:rPr>
        <w:t xml:space="preserve"> </w:t>
      </w:r>
      <w:r w:rsidRPr="004246B0">
        <w:rPr>
          <w:rFonts w:ascii="Garamond" w:hAnsi="Garamond"/>
          <w:sz w:val="20"/>
          <w:szCs w:val="20"/>
        </w:rPr>
        <w:t xml:space="preserve">introduces contra-modernity as 'otherwise than modernity'. He uses hybridity and translation as social and embodied interventions that separate anti-modernities from contra-modernities: "such cultures of a postcolonial </w:t>
      </w:r>
      <w:r w:rsidRPr="004246B0">
        <w:rPr>
          <w:rFonts w:ascii="Garamond" w:hAnsi="Garamond"/>
          <w:i/>
          <w:iCs/>
          <w:sz w:val="20"/>
          <w:szCs w:val="20"/>
        </w:rPr>
        <w:t xml:space="preserve">contra-modernity </w:t>
      </w:r>
      <w:r w:rsidRPr="004246B0">
        <w:rPr>
          <w:rFonts w:ascii="Garamond" w:hAnsi="Garamond"/>
          <w:sz w:val="20"/>
          <w:szCs w:val="20"/>
        </w:rPr>
        <w:t>may be contingent to modernity, discontinuous or in contention with it, resistant to its oppressive, assimilationist technologies; but they also deploy the cultural hybridity of their borderline conditions to 'translate', and therefore reinscribe, the social imaginary of both metropolis and modernity" (1994: 6).</w:t>
      </w:r>
    </w:p>
  </w:footnote>
  <w:footnote w:id="200">
    <w:p w:rsidR="002B3E92" w:rsidRPr="004246B0" w:rsidRDefault="002B3E92" w:rsidP="003F4A98">
      <w:pPr>
        <w:autoSpaceDE w:val="0"/>
        <w:autoSpaceDN w:val="0"/>
        <w:adjustRightInd w:val="0"/>
        <w:spacing w:after="0" w:line="240" w:lineRule="auto"/>
        <w:jc w:val="both"/>
        <w:rPr>
          <w:rFonts w:ascii="Garamond" w:hAnsi="Garamond"/>
          <w:sz w:val="24"/>
          <w:szCs w:val="24"/>
        </w:rPr>
      </w:pPr>
      <w:r w:rsidRPr="004246B0">
        <w:rPr>
          <w:rStyle w:val="FootnoteReference"/>
          <w:rFonts w:ascii="Garamond" w:hAnsi="Garamond"/>
          <w:sz w:val="20"/>
          <w:szCs w:val="20"/>
        </w:rPr>
        <w:footnoteRef/>
      </w:r>
      <w:r w:rsidRPr="004246B0">
        <w:rPr>
          <w:rFonts w:ascii="Garamond" w:hAnsi="Garamond"/>
          <w:sz w:val="20"/>
          <w:szCs w:val="20"/>
        </w:rPr>
        <w:t xml:space="preserve"> Hardt &amp; Negri's alter-modernity is similar to Bhab</w:t>
      </w:r>
      <w:r>
        <w:rPr>
          <w:rFonts w:ascii="Garamond" w:hAnsi="Garamond"/>
          <w:sz w:val="20"/>
          <w:szCs w:val="20"/>
        </w:rPr>
        <w:t>h</w:t>
      </w:r>
      <w:r w:rsidRPr="004246B0">
        <w:rPr>
          <w:rFonts w:ascii="Garamond" w:hAnsi="Garamond"/>
          <w:sz w:val="20"/>
          <w:szCs w:val="20"/>
        </w:rPr>
        <w:t>a's contra-modernity. The authors use Fanon's development of the colonized intellectual as a means of describing the path from modernity to antimodernity to altermodernity (see Hage, 2010 for a critique of this process): "the intellectual has to avoid getting stuck in antimodernity and pass through it to a third stage" (2009: 103). This third stage, altermodernity "extends beyond opposition and resistance" and promises the "creation of a new humanity, which moves beyond the static opposition between modernity and antimodernity and emerges as a dy</w:t>
      </w:r>
      <w:r>
        <w:rPr>
          <w:rFonts w:ascii="Garamond" w:hAnsi="Garamond"/>
          <w:sz w:val="20"/>
          <w:szCs w:val="20"/>
        </w:rPr>
        <w:t>namic, creative process" (ibid.:</w:t>
      </w:r>
      <w:r w:rsidRPr="004246B0">
        <w:rPr>
          <w:rFonts w:ascii="Garamond" w:hAnsi="Garamond"/>
          <w:sz w:val="20"/>
          <w:szCs w:val="20"/>
        </w:rPr>
        <w:t xml:space="preserve"> 104).</w:t>
      </w:r>
    </w:p>
  </w:footnote>
  <w:footnote w:id="201">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BOA were committed to non-violence but du Plessis could only see a violent end to the continued oppression of black populations in South Africa. </w:t>
      </w:r>
    </w:p>
  </w:footnote>
  <w:footnote w:id="20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CETIM co-ordinated the publication of </w:t>
      </w:r>
      <w:r w:rsidRPr="004246B0">
        <w:rPr>
          <w:rFonts w:ascii="Garamond" w:hAnsi="Garamond"/>
          <w:i/>
        </w:rPr>
        <w:t xml:space="preserve">White Migration </w:t>
      </w:r>
      <w:r w:rsidRPr="004246B0">
        <w:rPr>
          <w:rFonts w:ascii="Garamond" w:hAnsi="Garamond"/>
        </w:rPr>
        <w:t>through the persistence of its editor Gilbert Rist (who later became an academic famed for his influence on development theory). The correspondence surrounding the publication of the book is held in CETIM's Geneva archives and it reads as a roll-call of prominent anti-apartheid activists. As a whole the communications between Rist, E.S Reddy from UN Special Committee Against Apartheid, du Plessis from the BOA, A. S Minty from the British AAM and Kader and Louise Asmal from the Irish AAM offer a unique insight into the formative years of transnational anti-apartheid, a period of activism pre-Soweto that Sanders (2000) argues was lacking in events and media publicity. The archive at CETIM provides a portal into the personalities and relationships that characterized the collaboration between the different organizations.</w:t>
      </w:r>
    </w:p>
  </w:footnote>
  <w:footnote w:id="20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South African Students' Organization was founded in 1969, and became the focal point of Stevo Biko's Black Consciousness Movement.</w:t>
      </w:r>
    </w:p>
  </w:footnote>
  <w:footnote w:id="204">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Black People</w:t>
      </w:r>
      <w:r>
        <w:rPr>
          <w:rFonts w:ascii="Garamond" w:hAnsi="Garamond"/>
        </w:rPr>
        <w:t>’</w:t>
      </w:r>
      <w:r w:rsidRPr="004246B0">
        <w:rPr>
          <w:rFonts w:ascii="Garamond" w:hAnsi="Garamond"/>
        </w:rPr>
        <w:t>s Convention was formed in 1972. As a Marxist organization with close relations to the PAC, the BPC was the radical vanguard of the Black Consciousness Movement.</w:t>
      </w:r>
    </w:p>
  </w:footnote>
  <w:footnote w:id="20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 EEC (European Economic Community) was the predecessor to the European Union.</w:t>
      </w:r>
    </w:p>
  </w:footnote>
  <w:footnote w:id="206">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ANC website: </w:t>
      </w:r>
      <w:r w:rsidRPr="00E90398">
        <w:rPr>
          <w:rFonts w:ascii="Garamond" w:hAnsi="Garamond"/>
        </w:rPr>
        <w:t>http://www.anc.org.za/show.php?id=4230</w:t>
      </w:r>
    </w:p>
  </w:footnote>
  <w:footnote w:id="207">
    <w:p w:rsidR="002B3E92" w:rsidRPr="004246B0" w:rsidRDefault="002B3E92" w:rsidP="003F4A98">
      <w:pPr>
        <w:autoSpaceDE w:val="0"/>
        <w:autoSpaceDN w:val="0"/>
        <w:adjustRightInd w:val="0"/>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Two years previously in 1970, SACTU issued an appeal to international trade unions to halt white migration. In the document they argued that the transnational pro-emigration network targeted unemployed workers in Europe: "Apartheid needs these pure-white workers. And it constantly seeks them out. In all the major West European countries the Vorster regime maintains permanent recruiting offices; there are eight in Britain alone. Agents move around, accompanying trade and propaganda missions, searching for areas and plants affected by redundancies - aircraft workers from Hawker Siddeley, boiler-makers from Cammell Laird, engineers and draughtsmen, fitters, electricians, pilots - anybody who is white, skilled, and willing to live with a fascist dictatorship" (Braganca &amp; Wallerstein, 1982: 163-64).</w:t>
      </w:r>
    </w:p>
  </w:footnote>
  <w:footnote w:id="208">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Pages 239-240 </w:t>
      </w:r>
      <w:r w:rsidRPr="004246B0">
        <w:rPr>
          <w:rFonts w:ascii="Garamond" w:hAnsi="Garamond"/>
          <w:i/>
        </w:rPr>
        <w:t>White Migration</w:t>
      </w:r>
      <w:r w:rsidRPr="004246B0">
        <w:rPr>
          <w:rFonts w:ascii="Garamond" w:hAnsi="Garamond"/>
        </w:rPr>
        <w:t>.</w:t>
      </w:r>
    </w:p>
  </w:footnote>
  <w:footnote w:id="209">
    <w:p w:rsidR="002B3E92" w:rsidRPr="004246B0" w:rsidRDefault="002B3E92" w:rsidP="003F4A98">
      <w:pPr>
        <w:pStyle w:val="FootnoteText"/>
        <w:rPr>
          <w:rFonts w:ascii="Garamond" w:hAnsi="Garamond"/>
        </w:rPr>
      </w:pPr>
      <w:r w:rsidRPr="004246B0">
        <w:rPr>
          <w:rStyle w:val="FootnoteReference"/>
          <w:rFonts w:ascii="Garamond" w:hAnsi="Garamond"/>
        </w:rPr>
        <w:footnoteRef/>
      </w:r>
      <w:r>
        <w:rPr>
          <w:rFonts w:ascii="Garamond" w:hAnsi="Garamond"/>
        </w:rPr>
        <w:t xml:space="preserve"> </w:t>
      </w:r>
      <w:r w:rsidRPr="004246B0">
        <w:rPr>
          <w:rFonts w:ascii="Garamond" w:hAnsi="Garamond"/>
        </w:rPr>
        <w:t xml:space="preserve">At the first </w:t>
      </w:r>
      <w:r w:rsidRPr="004246B0">
        <w:rPr>
          <w:rFonts w:ascii="Garamond" w:hAnsi="Garamond"/>
          <w:i/>
        </w:rPr>
        <w:t xml:space="preserve">White Migration </w:t>
      </w:r>
      <w:r w:rsidRPr="004246B0">
        <w:rPr>
          <w:rFonts w:ascii="Garamond" w:hAnsi="Garamond"/>
        </w:rPr>
        <w:t>research meeting in Geneva the general consensus was that the British AAM would not have time to contribute to the anti-emigration campaign as their 'hands were tied elsewhere'.</w:t>
      </w:r>
    </w:p>
  </w:footnote>
  <w:footnote w:id="210">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Intergovernmental Committee for European Migration was created in 1952 in order to alleviate the perceived problem of overcrowding in Western Europe by assisting the migration of Europeans overseas. In the years 1952-1957, ICEM aided the migration of over half a million Europeans to new homelands (largely located in the USA, Canada, South Africa, Australia, New Zealand). </w:t>
      </w:r>
    </w:p>
  </w:footnote>
  <w:footnote w:id="211">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U.N General Assembly resolution 2396 (XXIII). The policies of apartheid of the government of South Africa. In May 1968 the UN Security Council called upon member states to "take all possible measures to prevent activities by their nationals and persons in their territories, promoting, assisting or encouraging migration to Southern Rhodesia" (U.N Security Council resolution 253, paragraph 8, 29 May 1968</w:t>
      </w:r>
      <w:r>
        <w:rPr>
          <w:rFonts w:ascii="Garamond" w:hAnsi="Garamond"/>
        </w:rPr>
        <w:t>)</w:t>
      </w:r>
      <w:r w:rsidRPr="004246B0">
        <w:rPr>
          <w:rFonts w:ascii="Garamond" w:hAnsi="Garamond"/>
        </w:rPr>
        <w:t>.</w:t>
      </w:r>
    </w:p>
  </w:footnote>
  <w:footnote w:id="21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E</w:t>
      </w:r>
      <w:r>
        <w:rPr>
          <w:rFonts w:ascii="Garamond" w:hAnsi="Garamond"/>
        </w:rPr>
        <w:t>.S. Reddy wrote to Rist apologizi</w:t>
      </w:r>
      <w:r w:rsidRPr="004246B0">
        <w:rPr>
          <w:rFonts w:ascii="Garamond" w:hAnsi="Garamond"/>
        </w:rPr>
        <w:t>ng that, "there is no provision in which we can make a financial contribution for the use o</w:t>
      </w:r>
      <w:r>
        <w:rPr>
          <w:rFonts w:ascii="Garamond" w:hAnsi="Garamond"/>
        </w:rPr>
        <w:t>f the material" (</w:t>
      </w:r>
      <w:r w:rsidRPr="004246B0">
        <w:rPr>
          <w:rFonts w:ascii="Garamond" w:hAnsi="Garamond"/>
        </w:rPr>
        <w:t>Letter, 7 March, 1975).</w:t>
      </w:r>
    </w:p>
  </w:footnote>
  <w:footnote w:id="213">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Pr>
          <w:rFonts w:ascii="Garamond" w:hAnsi="Garamond"/>
        </w:rPr>
        <w:t xml:space="preserve"> CETIM archives. Box: White Migration. </w:t>
      </w:r>
      <w:r w:rsidRPr="004246B0">
        <w:rPr>
          <w:rFonts w:ascii="Garamond" w:hAnsi="Garamond"/>
        </w:rPr>
        <w:t xml:space="preserve">The archival material on White Migration at CETIM has presumably been unseen by scholars of anti-apartheid. The critical change in the UN Special Committee's name from being “on” to being “against” apartheid is not mentioned in Hakan Thörn's </w:t>
      </w:r>
      <w:r w:rsidRPr="004246B0">
        <w:rPr>
          <w:rFonts w:ascii="Garamond" w:hAnsi="Garamond"/>
          <w:i/>
        </w:rPr>
        <w:t xml:space="preserve">Anti-apartheid and the emergence of civil society. </w:t>
      </w:r>
      <w:r w:rsidRPr="004246B0">
        <w:rPr>
          <w:rFonts w:ascii="Garamond" w:hAnsi="Garamond"/>
        </w:rPr>
        <w:t>Instead, Thörn incorrectly states that "the UN Special Committee Against Apartheid was formed in 1963" (2006: 31). The UN Special Committee</w:t>
      </w:r>
      <w:r w:rsidRPr="004246B0">
        <w:rPr>
          <w:rFonts w:ascii="Garamond" w:hAnsi="Garamond"/>
          <w:i/>
        </w:rPr>
        <w:t xml:space="preserve"> On</w:t>
      </w:r>
      <w:r w:rsidRPr="004246B0">
        <w:rPr>
          <w:rFonts w:ascii="Garamond" w:hAnsi="Garamond"/>
        </w:rPr>
        <w:t xml:space="preserve"> Apartheid was formed in 1963, and it did not become the UN Special Committee </w:t>
      </w:r>
      <w:r w:rsidRPr="004246B0">
        <w:rPr>
          <w:rFonts w:ascii="Garamond" w:hAnsi="Garamond"/>
          <w:i/>
        </w:rPr>
        <w:t>Against</w:t>
      </w:r>
      <w:r w:rsidRPr="004246B0">
        <w:rPr>
          <w:rFonts w:ascii="Garamond" w:hAnsi="Garamond"/>
        </w:rPr>
        <w:t xml:space="preserve"> Apartheid until December 1974, as confirmed in correspondence between UN secretary on apartheid E.S Reddy and CETIM's Gilbert Rist.</w:t>
      </w:r>
      <w:r w:rsidRPr="004246B0">
        <w:rPr>
          <w:rFonts w:ascii="Garamond" w:hAnsi="Garamond"/>
          <w:i/>
        </w:rPr>
        <w:t xml:space="preserve"> </w:t>
      </w:r>
      <w:r w:rsidRPr="004246B0">
        <w:rPr>
          <w:rFonts w:ascii="Garamond" w:hAnsi="Garamond"/>
        </w:rPr>
        <w:t xml:space="preserve"> </w:t>
      </w:r>
    </w:p>
  </w:footnote>
  <w:footnote w:id="214">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At this stage the BOA had not been approached, but in lieu of the Outspan boycott, their ability to influence media had been noted.</w:t>
      </w:r>
    </w:p>
  </w:footnote>
  <w:footnote w:id="215">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Bayers </w:t>
      </w:r>
      <w:r w:rsidRPr="004246B0">
        <w:rPr>
          <w:rFonts w:ascii="Garamond" w:hAnsi="Garamond"/>
          <w:color w:val="000000"/>
          <w:shd w:val="clear" w:color="auto" w:fill="FFFFFF"/>
        </w:rPr>
        <w:t>Naudé was an Afrikaner anti-apartheid activist, theologian and cleric who was placed under house arrest for several years in the 1970s. In 1963 he resigned from the Broederbond and lost his position as minister in the Dutch Reformed Church. In the same year he founded the Christian Institute.</w:t>
      </w:r>
      <w:r w:rsidRPr="004246B0">
        <w:rPr>
          <w:rFonts w:ascii="Garamond" w:hAnsi="Garamond"/>
        </w:rPr>
        <w:t xml:space="preserve"> Throughout the 1970s the Christian Institute supported the WCC to provide direct funding to the liberation movements in South Africa.</w:t>
      </w:r>
    </w:p>
  </w:footnote>
  <w:footnote w:id="216">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Pr>
          <w:rFonts w:ascii="Garamond" w:hAnsi="Garamond"/>
        </w:rPr>
        <w:t xml:space="preserve"> CETIM Archive. Box: White Migration</w:t>
      </w:r>
      <w:r w:rsidRPr="004246B0">
        <w:rPr>
          <w:rFonts w:ascii="Garamond" w:hAnsi="Garamond"/>
        </w:rPr>
        <w:t xml:space="preserve"> (ANC representative John Gallo letter to CETIM, March, 1975).</w:t>
      </w:r>
    </w:p>
  </w:footnote>
  <w:footnote w:id="217">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Pr>
          <w:rFonts w:ascii="Garamond" w:hAnsi="Garamond"/>
        </w:rPr>
        <w:t xml:space="preserve"> CETIM Archive. Box: White Migration (</w:t>
      </w:r>
      <w:r w:rsidRPr="004246B0">
        <w:rPr>
          <w:rFonts w:ascii="Garamond" w:hAnsi="Garamond"/>
        </w:rPr>
        <w:t>letters M</w:t>
      </w:r>
      <w:r>
        <w:rPr>
          <w:rFonts w:ascii="Garamond" w:hAnsi="Garamond"/>
        </w:rPr>
        <w:t>inty to Rist, 1974-</w:t>
      </w:r>
      <w:r w:rsidRPr="004246B0">
        <w:rPr>
          <w:rFonts w:ascii="Garamond" w:hAnsi="Garamond"/>
        </w:rPr>
        <w:t>75</w:t>
      </w:r>
      <w:r>
        <w:rPr>
          <w:rFonts w:ascii="Garamond" w:hAnsi="Garamond"/>
        </w:rPr>
        <w:t>)</w:t>
      </w:r>
      <w:r w:rsidRPr="004246B0">
        <w:rPr>
          <w:rFonts w:ascii="Garamond" w:hAnsi="Garamond"/>
        </w:rPr>
        <w:t>.</w:t>
      </w:r>
    </w:p>
  </w:footnote>
  <w:footnote w:id="218">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Pr>
          <w:rFonts w:ascii="Garamond" w:hAnsi="Garamond"/>
        </w:rPr>
        <w:t xml:space="preserve"> CETIM Archive. Box: White Migration</w:t>
      </w:r>
      <w:r w:rsidRPr="004246B0">
        <w:rPr>
          <w:rFonts w:ascii="Garamond" w:hAnsi="Garamond"/>
        </w:rPr>
        <w:t xml:space="preserve"> (minutes fro</w:t>
      </w:r>
      <w:r>
        <w:rPr>
          <w:rFonts w:ascii="Garamond" w:hAnsi="Garamond"/>
        </w:rPr>
        <w:t>m Geneva meeting, February, 1975</w:t>
      </w:r>
      <w:r w:rsidRPr="004246B0">
        <w:rPr>
          <w:rFonts w:ascii="Garamond" w:hAnsi="Garamond"/>
        </w:rPr>
        <w:t>)</w:t>
      </w:r>
      <w:r>
        <w:rPr>
          <w:rFonts w:ascii="Garamond" w:hAnsi="Garamond"/>
        </w:rPr>
        <w:t>.</w:t>
      </w:r>
    </w:p>
  </w:footnote>
  <w:footnote w:id="219">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Zöller's general introduction to </w:t>
      </w:r>
      <w:r w:rsidRPr="004246B0">
        <w:rPr>
          <w:rFonts w:ascii="Garamond" w:hAnsi="Garamond"/>
          <w:i/>
        </w:rPr>
        <w:t xml:space="preserve">White Migration </w:t>
      </w:r>
      <w:r w:rsidRPr="004246B0">
        <w:rPr>
          <w:rFonts w:ascii="Garamond" w:hAnsi="Garamond"/>
        </w:rPr>
        <w:t xml:space="preserve">outlines an anti-colonial critique of the crucial role of white immigration in the reproduction and expansion of political, economic and cultural power of the racial states of South Africa and Rhodesia. He evidences that Afrikaner industrialization from the late 60s until 1975 had become increasingly dependent on transnational capital that required a skilled workforce. The imposition of the colour bar on forms of employment by the national party meant that a deficit in skilled labour had to be met by an annual influx of 40,000 white immigrants, while cheap labour was secured by a vast pool of black workers sourced from Mozambique, Lesotho, Botswana and Mali. Under the Aliens Act of 1937, these labourers were denied immigrant status. Between 1965-70, over 250,000 white Europeans emigrated to South Africa.     </w:t>
      </w:r>
    </w:p>
  </w:footnote>
  <w:footnote w:id="220">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South African Democracy Education Trust.</w:t>
      </w:r>
    </w:p>
  </w:footnote>
  <w:footnote w:id="221">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The authors incorrectly attribute </w:t>
      </w:r>
      <w:r w:rsidRPr="004246B0">
        <w:rPr>
          <w:rFonts w:ascii="Garamond" w:hAnsi="Garamond"/>
          <w:i/>
        </w:rPr>
        <w:t xml:space="preserve">White Migration </w:t>
      </w:r>
      <w:r w:rsidRPr="004246B0">
        <w:rPr>
          <w:rFonts w:ascii="Garamond" w:hAnsi="Garamond"/>
        </w:rPr>
        <w:t>to Sietse Bosgra’s organization, the Dutch Angola Comité (as mentioned above, this AAM were only one of nine contributors to the volume. Their sole contribution was a small chapter on Portuguese immigration to SA).</w:t>
      </w:r>
    </w:p>
  </w:footnote>
  <w:footnote w:id="222">
    <w:p w:rsidR="002B3E92" w:rsidRPr="004246B0" w:rsidRDefault="002B3E92" w:rsidP="003F4A98">
      <w:pPr>
        <w:pStyle w:val="FootnoteText"/>
        <w:jc w:val="both"/>
        <w:rPr>
          <w:rFonts w:ascii="Garamond" w:hAnsi="Garamond"/>
        </w:rPr>
      </w:pPr>
      <w:r w:rsidRPr="004246B0">
        <w:rPr>
          <w:rStyle w:val="FootnoteReference"/>
          <w:rFonts w:ascii="Garamond" w:hAnsi="Garamond"/>
        </w:rPr>
        <w:footnoteRef/>
      </w:r>
      <w:r w:rsidRPr="004246B0">
        <w:rPr>
          <w:rFonts w:ascii="Garamond" w:hAnsi="Garamond"/>
        </w:rPr>
        <w:t xml:space="preserve"> Cold War narratives evidenced how apartheid was a necessary buffer against Communism in both South Africa and internationally. Under this rhetoric it was easy for apartheid sympathizers to dismiss the PAC and the black consciousness movement as forms of communist insurgency. These arguments also fed into the idea of constructive capitalism ('change through investment'), and during the 1980s they underpinned Reagan's/Thatcher's international doctrine of 'constructive engagement'.</w:t>
      </w:r>
    </w:p>
  </w:footnote>
  <w:footnote w:id="223">
    <w:p w:rsidR="002B3E92" w:rsidRPr="004246B0" w:rsidRDefault="002B3E92" w:rsidP="003F4A98">
      <w:pPr>
        <w:pStyle w:val="FootnoteText"/>
        <w:tabs>
          <w:tab w:val="left" w:pos="5854"/>
        </w:tabs>
        <w:rPr>
          <w:rFonts w:ascii="Garamond" w:hAnsi="Garamond"/>
        </w:rPr>
      </w:pPr>
      <w:r w:rsidRPr="004246B0">
        <w:rPr>
          <w:rStyle w:val="FootnoteReference"/>
          <w:rFonts w:ascii="Garamond" w:hAnsi="Garamond"/>
        </w:rPr>
        <w:footnoteRef/>
      </w:r>
      <w:r w:rsidRPr="004246B0">
        <w:rPr>
          <w:rFonts w:ascii="Garamond" w:hAnsi="Garamond"/>
        </w:rPr>
        <w:t xml:space="preserve"> </w:t>
      </w:r>
      <w:r w:rsidRPr="004246B0">
        <w:rPr>
          <w:rFonts w:ascii="Garamond" w:hAnsi="Garamond"/>
          <w:i/>
        </w:rPr>
        <w:t>White Migration to Southern Africa</w:t>
      </w:r>
      <w:r w:rsidRPr="004246B0">
        <w:rPr>
          <w:rFonts w:ascii="Garamond" w:hAnsi="Garamond"/>
        </w:rPr>
        <w:t xml:space="preserve"> (CETIM, 1975). Foreword., ii</w:t>
      </w:r>
      <w:r w:rsidRPr="004246B0">
        <w:rPr>
          <w:rFonts w:ascii="Garamond" w:hAnsi="Garamond"/>
        </w:rPr>
        <w:tab/>
      </w:r>
    </w:p>
  </w:footnote>
  <w:footnote w:id="224">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Pr>
          <w:rFonts w:ascii="Garamond" w:hAnsi="Garamond"/>
        </w:rPr>
        <w:t xml:space="preserve">CETIM Archives. Box: White Migration. </w:t>
      </w:r>
      <w:r w:rsidRPr="004246B0">
        <w:rPr>
          <w:rFonts w:ascii="Garamond" w:hAnsi="Garamond"/>
        </w:rPr>
        <w:t xml:space="preserve">Letter 10th January 1975. Gilbert Rist (CETIM) </w:t>
      </w:r>
      <w:r>
        <w:rPr>
          <w:rFonts w:ascii="Garamond" w:hAnsi="Garamond"/>
        </w:rPr>
        <w:t xml:space="preserve">to Abdul Minty (AAM). </w:t>
      </w:r>
    </w:p>
  </w:footnote>
  <w:footnote w:id="225">
    <w:p w:rsidR="002B3E92" w:rsidRDefault="002B3E92" w:rsidP="003F4A98">
      <w:pPr>
        <w:pStyle w:val="FootnoteText"/>
      </w:pPr>
      <w:r>
        <w:rPr>
          <w:rStyle w:val="FootnoteReference"/>
        </w:rPr>
        <w:footnoteRef/>
      </w:r>
      <w:r>
        <w:t xml:space="preserve"> </w:t>
      </w:r>
      <w:r w:rsidRPr="004246B0">
        <w:rPr>
          <w:rFonts w:ascii="Garamond" w:hAnsi="Garamond"/>
        </w:rPr>
        <w:t xml:space="preserve">Adrien Zöller is a Swiss economist who worked for the Dutch Ecumenical Exchange during the early 1970s. He was responsible for writing a large chunk of </w:t>
      </w:r>
      <w:r w:rsidRPr="004246B0">
        <w:rPr>
          <w:rFonts w:ascii="Garamond" w:hAnsi="Garamond"/>
          <w:i/>
        </w:rPr>
        <w:t>White Migration</w:t>
      </w:r>
      <w:r w:rsidRPr="004246B0">
        <w:rPr>
          <w:rFonts w:ascii="Garamond" w:hAnsi="Garamond"/>
        </w:rPr>
        <w:t>, including the entire first section (general introduction and ICEM).</w:t>
      </w:r>
    </w:p>
  </w:footnote>
  <w:footnote w:id="226">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When the AAM secretary made this statement he was referring to either the British or the global media; he could not have been implying the situation in Holland where the Outspan boycott had procured widespread sympathetic media coverage. The previous BOA chapter evidences a period of intense regional and national media coverage of anti-apartheid activities from 1972-'74. Many of the BOA contingent were employed by Dutch media outlets (including Karel Roskam and Ben van Kaam). The same could not be said for the transnational anti-emigration movement.</w:t>
      </w:r>
    </w:p>
  </w:footnote>
  <w:footnote w:id="227">
    <w:p w:rsidR="002B3E92" w:rsidRPr="004246B0" w:rsidRDefault="002B3E92" w:rsidP="003F4A98">
      <w:pPr>
        <w:pStyle w:val="FootnoteText"/>
        <w:rPr>
          <w:rFonts w:ascii="Garamond" w:hAnsi="Garamond"/>
        </w:rPr>
      </w:pPr>
      <w:r w:rsidRPr="004246B0">
        <w:rPr>
          <w:rStyle w:val="FootnoteReference"/>
          <w:rFonts w:ascii="Garamond" w:hAnsi="Garamond"/>
        </w:rPr>
        <w:footnoteRef/>
      </w:r>
      <w:r>
        <w:rPr>
          <w:rFonts w:ascii="Garamond" w:hAnsi="Garamond"/>
        </w:rPr>
        <w:t xml:space="preserve"> CETIM Archives. Box: White Migration (9th December, 1974</w:t>
      </w:r>
      <w:r w:rsidRPr="004246B0">
        <w:rPr>
          <w:rFonts w:ascii="Garamond" w:hAnsi="Garamond"/>
        </w:rPr>
        <w:t xml:space="preserve">). </w:t>
      </w:r>
    </w:p>
  </w:footnote>
  <w:footnote w:id="228">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Pr>
          <w:rFonts w:ascii="Garamond" w:hAnsi="Garamond"/>
        </w:rPr>
        <w:t>CETIM Archives. Box: White Migration</w:t>
      </w:r>
      <w:r w:rsidRPr="004246B0">
        <w:rPr>
          <w:rFonts w:ascii="Garamond" w:hAnsi="Garamond"/>
        </w:rPr>
        <w:t xml:space="preserve"> 18th December, 1974)</w:t>
      </w:r>
    </w:p>
  </w:footnote>
  <w:footnote w:id="229">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Pr>
          <w:rFonts w:ascii="Garamond" w:hAnsi="Garamond"/>
        </w:rPr>
        <w:t>CETIM Archives. Box: White Migration</w:t>
      </w:r>
      <w:r w:rsidRPr="004246B0">
        <w:rPr>
          <w:rFonts w:ascii="Garamond" w:hAnsi="Garamond"/>
        </w:rPr>
        <w:t xml:space="preserve"> (10th January, 1975)</w:t>
      </w:r>
    </w:p>
  </w:footnote>
  <w:footnote w:id="230">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w:t>
      </w:r>
      <w:r>
        <w:rPr>
          <w:rFonts w:ascii="Garamond" w:hAnsi="Garamond"/>
        </w:rPr>
        <w:t>CETIM Archives. Box: White Migration</w:t>
      </w:r>
      <w:r w:rsidRPr="004246B0">
        <w:rPr>
          <w:rFonts w:ascii="Garamond" w:hAnsi="Garamond"/>
        </w:rPr>
        <w:t xml:space="preserve"> (Letter Geneva 10th January 1975) </w:t>
      </w:r>
    </w:p>
  </w:footnote>
  <w:footnote w:id="231">
    <w:p w:rsidR="002B3E92" w:rsidRPr="001E0944" w:rsidRDefault="002B3E92" w:rsidP="003F4A98">
      <w:pPr>
        <w:pStyle w:val="FootnoteText"/>
        <w:rPr>
          <w:rFonts w:ascii="Garamond" w:hAnsi="Garamond"/>
        </w:rPr>
      </w:pPr>
      <w:r w:rsidRPr="001E0944">
        <w:rPr>
          <w:rStyle w:val="FootnoteReference"/>
          <w:rFonts w:ascii="Garamond" w:hAnsi="Garamond"/>
        </w:rPr>
        <w:footnoteRef/>
      </w:r>
      <w:r w:rsidRPr="001E0944">
        <w:rPr>
          <w:rFonts w:ascii="Garamond" w:hAnsi="Garamond"/>
        </w:rPr>
        <w:t xml:space="preserve"> CETIM Archives. Box: White Migration (Letter, 10th January, 1975)</w:t>
      </w:r>
    </w:p>
  </w:footnote>
  <w:footnote w:id="232">
    <w:p w:rsidR="002B3E92" w:rsidRPr="004246B0" w:rsidRDefault="002B3E92" w:rsidP="003F4A98">
      <w:pPr>
        <w:pStyle w:val="FootnoteText"/>
        <w:jc w:val="both"/>
        <w:rPr>
          <w:rFonts w:ascii="Garamond" w:hAnsi="Garamond"/>
          <w:i/>
        </w:rPr>
      </w:pPr>
      <w:r w:rsidRPr="001E0944">
        <w:rPr>
          <w:rStyle w:val="FootnoteReference"/>
          <w:rFonts w:ascii="Garamond" w:hAnsi="Garamond"/>
        </w:rPr>
        <w:footnoteRef/>
      </w:r>
      <w:r w:rsidRPr="001E0944">
        <w:rPr>
          <w:rFonts w:ascii="Garamond" w:hAnsi="Garamond"/>
        </w:rPr>
        <w:t xml:space="preserve"> The first meeting for the transnational research project on white migration took place at CETIM's offices in Geneva on 13th February 1974. At this stage the participants were Adrien Zöller (Ecumenical Research Exchange), Jan Raynears (Église et societé en Europe), Peter Ripkin (ISSA - Informationsstelle Sudliches Afrika), Thomas Gartner (World Council of Churches) and Gilbert Rist (CETIM). The group decided that Britain was key to the research and that Hugh Lewin from IDAF would be approached (Abdul Minty and the British AAM were considered to be "too busy with part</w:t>
      </w:r>
      <w:r>
        <w:rPr>
          <w:rFonts w:ascii="Garamond" w:hAnsi="Garamond"/>
        </w:rPr>
        <w:t xml:space="preserve">icular events"). See </w:t>
      </w:r>
      <w:r w:rsidRPr="001E0944">
        <w:rPr>
          <w:rFonts w:ascii="Garamond" w:hAnsi="Garamond"/>
        </w:rPr>
        <w:t xml:space="preserve">Minutes (13 Feb, 1974). The second meeting was held on May 13th in Amsterdam and was hosted by the Dutch Ecumenical Research Exchange. In addition to the participants from the first meeting, Esau du Plessis (BOA), M. Henk van Andel (X-Y movement Nederland), Mme Annette Robert (ERE) were present, and Hugh Lewin (IDAF) had agreed to participate in the study. With E.S Reddy suggesting funding from the UN would be impossible, the research required patronage. The Dutch X-Y movement - formerly part of NOVIB - agreed to fund the study with 15,000 Swiss Francs (out of a total cost of roughly 18,000 SF) on the provision that the research contained concrete proposals for action to help the liberation movements in South Africa. Arguably the securing of this new patron increased the importance of the BOA's contribution on action models for anti-emigration. The original decision to omit the British AAM and Abdul Minty from the study was considered an oversight. Apologies were made to the AAM and Minty was asked to co-operate with Lewin over the British section of the study. The third meeting was hosted by ISSA in Bonn on October 14th 1974. Additional participants included representatives from the Liberazione e Sviluppo Angola. During the meetings the Irish AAM and Kader and Louise Asmal were not mentioned; their input came in the last two months before </w:t>
      </w:r>
      <w:r>
        <w:rPr>
          <w:rFonts w:ascii="Garamond" w:hAnsi="Garamond"/>
        </w:rPr>
        <w:t>publication. Louise Asmal proof</w:t>
      </w:r>
      <w:r w:rsidRPr="001E0944">
        <w:rPr>
          <w:rFonts w:ascii="Garamond" w:hAnsi="Garamond"/>
        </w:rPr>
        <w:t xml:space="preserve">read large sections of the publication, and the Irish AAM published a chapter in </w:t>
      </w:r>
      <w:r w:rsidRPr="001E0944">
        <w:rPr>
          <w:rFonts w:ascii="Garamond" w:hAnsi="Garamond"/>
          <w:i/>
        </w:rPr>
        <w:t>White Migration</w:t>
      </w:r>
      <w:r w:rsidRPr="004246B0">
        <w:rPr>
          <w:rFonts w:ascii="Garamond" w:hAnsi="Garamond"/>
          <w:i/>
        </w:rPr>
        <w:t>.</w:t>
      </w:r>
    </w:p>
  </w:footnote>
  <w:footnote w:id="233">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These included ethnoscapes, mediascapes, technoscapes, finacescapes and ideoscapes.</w:t>
      </w:r>
    </w:p>
  </w:footnote>
  <w:footnote w:id="234">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During the 1980s, </w:t>
      </w:r>
      <w:r w:rsidRPr="004246B0">
        <w:rPr>
          <w:rFonts w:ascii="Garamond" w:hAnsi="Garamond"/>
          <w:i/>
        </w:rPr>
        <w:t xml:space="preserve">Die swart gevaar </w:t>
      </w:r>
      <w:r w:rsidRPr="004246B0">
        <w:rPr>
          <w:rFonts w:ascii="Garamond" w:hAnsi="Garamond"/>
        </w:rPr>
        <w:t>played into US and UK foreign policy doctrine of constructive engagement and rejection of black grassroots activism as a 'security threat'.</w:t>
      </w:r>
    </w:p>
  </w:footnote>
  <w:footnote w:id="235">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See Bialasiewicz et al. (2007) for a rigorous assessment of performativity in the geopolitical imagination.</w:t>
      </w:r>
    </w:p>
  </w:footnote>
  <w:footnote w:id="236">
    <w:p w:rsidR="002B3E92" w:rsidRPr="004246B0" w:rsidRDefault="002B3E92" w:rsidP="003F4A98">
      <w:pPr>
        <w:spacing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Dutch anti-apartheid activists struggled to understand the continued performance and intensity of race and racism outside of South Africa. Most had not lived in the apartheid project where performing, 'reading' and judging race and racism was an essential component of everyday existence.</w:t>
      </w:r>
    </w:p>
  </w:footnote>
  <w:footnote w:id="237">
    <w:p w:rsidR="002B3E92" w:rsidRPr="004246B0" w:rsidRDefault="002B3E92" w:rsidP="003F4A98">
      <w:pPr>
        <w:pStyle w:val="FootnoteText"/>
        <w:rPr>
          <w:rFonts w:ascii="Garamond" w:hAnsi="Garamond"/>
        </w:rPr>
      </w:pPr>
      <w:r w:rsidRPr="004246B0">
        <w:rPr>
          <w:rStyle w:val="FootnoteReference"/>
          <w:rFonts w:ascii="Garamond" w:hAnsi="Garamond"/>
        </w:rPr>
        <w:footnoteRef/>
      </w:r>
      <w:r w:rsidRPr="004246B0">
        <w:rPr>
          <w:rFonts w:ascii="Garamond" w:hAnsi="Garamond"/>
        </w:rPr>
        <w:t xml:space="preserve"> Fostering an anti-apartheid and antiracist identity politics was a core aim of the BOA. They did this through sharing congresses, bus tours and urban campaigns with exiled musicians, artists and writers - and by persuading them to forms autonomous coalitions against apartheid. The urban campaigns of 1979-91 were blueprints for the creation of place-specific cultures of antiracism and anti-apartheid activism.</w:t>
      </w:r>
    </w:p>
  </w:footnote>
  <w:footnote w:id="238">
    <w:p w:rsidR="002B3E92" w:rsidRPr="004246B0" w:rsidRDefault="002B3E92" w:rsidP="00B66F92">
      <w:pPr>
        <w:autoSpaceDE w:val="0"/>
        <w:autoSpaceDN w:val="0"/>
        <w:adjustRightInd w:val="0"/>
        <w:spacing w:after="0" w:line="240" w:lineRule="auto"/>
        <w:jc w:val="both"/>
        <w:rPr>
          <w:rFonts w:ascii="Garamond" w:hAnsi="Garamond"/>
          <w:sz w:val="20"/>
          <w:szCs w:val="20"/>
        </w:rPr>
      </w:pPr>
      <w:r w:rsidRPr="004246B0">
        <w:rPr>
          <w:rStyle w:val="FootnoteReference"/>
          <w:rFonts w:ascii="Garamond" w:hAnsi="Garamond"/>
          <w:sz w:val="20"/>
          <w:szCs w:val="20"/>
        </w:rPr>
        <w:footnoteRef/>
      </w:r>
      <w:r w:rsidRPr="004246B0">
        <w:rPr>
          <w:rFonts w:ascii="Garamond" w:hAnsi="Garamond"/>
          <w:sz w:val="20"/>
          <w:szCs w:val="20"/>
        </w:rPr>
        <w:t xml:space="preserve"> Racial interpellation is one of the core themes of Fanon's </w:t>
      </w:r>
      <w:r w:rsidRPr="004246B0">
        <w:rPr>
          <w:rFonts w:ascii="Garamond" w:hAnsi="Garamond"/>
          <w:i/>
          <w:iCs/>
          <w:sz w:val="20"/>
          <w:szCs w:val="20"/>
        </w:rPr>
        <w:t xml:space="preserve">Black Skin, White Masks </w:t>
      </w:r>
      <w:r w:rsidRPr="004246B0">
        <w:rPr>
          <w:rFonts w:ascii="Garamond" w:hAnsi="Garamond"/>
          <w:iCs/>
          <w:sz w:val="20"/>
          <w:szCs w:val="20"/>
        </w:rPr>
        <w:t>(1953). Interpellation is always relational. Sylvia Shin Huey Hong argues that Fanon's famous description of an encounter with a white child on a train where he is recognised as an object of fear constituted a drama with three protagonists: "</w:t>
      </w:r>
      <w:r w:rsidRPr="004246B0">
        <w:rPr>
          <w:rFonts w:ascii="Garamond" w:hAnsi="Garamond"/>
          <w:sz w:val="20"/>
          <w:szCs w:val="20"/>
        </w:rPr>
        <w:t xml:space="preserve">In this case, the drama of racial interpellation is not restricted to the racial subject who is called out, for there are also the necessary roles played by the white child whose race goes unmarked in contrast to Fanon’s, and by the mother off-stage, the figure of authority to whom this interpellation is ultimately addressed. These three players constitute a microcosm of the social, and reveal the necessary relational nature of racial interpellation: 'not only must the black man be black; he must be black in relation to the white man'” </w:t>
      </w:r>
      <w:r w:rsidRPr="004246B0">
        <w:rPr>
          <w:rFonts w:ascii="Garamond" w:hAnsi="Garamond"/>
          <w:iCs/>
          <w:sz w:val="20"/>
          <w:szCs w:val="20"/>
        </w:rPr>
        <w:t>(2008: 31-32).</w:t>
      </w:r>
    </w:p>
  </w:footnote>
  <w:footnote w:id="239">
    <w:p w:rsidR="002B3E92" w:rsidRPr="008E3305" w:rsidRDefault="002B3E92" w:rsidP="003F4A98">
      <w:pPr>
        <w:pStyle w:val="FootnoteText"/>
        <w:rPr>
          <w:rFonts w:ascii="Times New Roman" w:hAnsi="Times New Roman"/>
        </w:rPr>
      </w:pPr>
      <w:r w:rsidRPr="004246B0">
        <w:rPr>
          <w:rStyle w:val="FootnoteReference"/>
          <w:rFonts w:ascii="Garamond" w:hAnsi="Garamond"/>
        </w:rPr>
        <w:footnoteRef/>
      </w:r>
      <w:r w:rsidRPr="004246B0">
        <w:rPr>
          <w:rFonts w:ascii="Garamond" w:hAnsi="Garamond"/>
        </w:rPr>
        <w:t xml:space="preserve"> In contrast to anti-semitism which, Fanon asserts, is located around fear of the economic usurper.</w:t>
      </w:r>
    </w:p>
  </w:footnote>
  <w:footnote w:id="240">
    <w:p w:rsidR="002B3E92" w:rsidRPr="00F5768A" w:rsidRDefault="002B3E92" w:rsidP="00A371B8">
      <w:pPr>
        <w:pStyle w:val="FootnoteText"/>
        <w:rPr>
          <w:rFonts w:ascii="Garamond" w:hAnsi="Garamond"/>
        </w:rPr>
      </w:pPr>
      <w:r w:rsidRPr="00F5768A">
        <w:rPr>
          <w:rStyle w:val="FootnoteReference"/>
          <w:rFonts w:ascii="Garamond" w:hAnsi="Garamond"/>
        </w:rPr>
        <w:footnoteRef/>
      </w:r>
      <w:r>
        <w:rPr>
          <w:rFonts w:ascii="Garamond" w:hAnsi="Garamond"/>
        </w:rPr>
        <w:t xml:space="preserve"> The Open L</w:t>
      </w:r>
      <w:r w:rsidRPr="00F5768A">
        <w:rPr>
          <w:rFonts w:ascii="Garamond" w:hAnsi="Garamond"/>
        </w:rPr>
        <w:t>etter by du Plessis to SADET and Sietse Bosgra contains a passage by the Dutch labour MP John Lilipaly who was a prominent reformer for the social democrat Partij van de Arbeid (PvdA). Du Plessis uses the quote to show how antiracism in Holland had become geographically bounded.</w:t>
      </w:r>
    </w:p>
  </w:footnote>
  <w:footnote w:id="241">
    <w:p w:rsidR="002B3E92" w:rsidRPr="00B74E82" w:rsidRDefault="002B3E92" w:rsidP="00A371B8">
      <w:pPr>
        <w:pStyle w:val="FootnoteText"/>
        <w:rPr>
          <w:rFonts w:ascii="Garamond" w:hAnsi="Garamond"/>
        </w:rPr>
      </w:pPr>
      <w:r w:rsidRPr="00B74E82">
        <w:rPr>
          <w:rStyle w:val="FootnoteReference"/>
          <w:rFonts w:ascii="Garamond" w:hAnsi="Garamond"/>
        </w:rPr>
        <w:footnoteRef/>
      </w:r>
      <w:r w:rsidRPr="00B74E82">
        <w:rPr>
          <w:rFonts w:ascii="Garamond" w:hAnsi="Garamond"/>
        </w:rPr>
        <w:t xml:space="preserve"> </w:t>
      </w:r>
      <w:r w:rsidRPr="00B74E82">
        <w:rPr>
          <w:rFonts w:ascii="Garamond" w:hAnsi="Garamond" w:cs="Minion-Regular"/>
        </w:rPr>
        <w:t>And in the hands of various movements anti-apartheid was often part of a wider antiracist project - for example the City Group non-stop picket of the late 1980s had an antiracist agenda,  see Brown &amp; Yaffe (2013).</w:t>
      </w:r>
    </w:p>
  </w:footnote>
  <w:footnote w:id="242">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South African Democracy and Education Trust.</w:t>
      </w:r>
    </w:p>
  </w:footnote>
  <w:footnote w:id="243">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w:t>
      </w:r>
      <w:r w:rsidRPr="00F5768A">
        <w:rPr>
          <w:rStyle w:val="Emphasis"/>
          <w:rFonts w:ascii="Garamond" w:hAnsi="Garamond"/>
          <w:bCs/>
          <w:color w:val="000000"/>
          <w:shd w:val="clear" w:color="auto" w:fill="FFFFFF"/>
        </w:rPr>
        <w:t>International Institute of Social History.</w:t>
      </w:r>
    </w:p>
  </w:footnote>
  <w:footnote w:id="244">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online etymology dictionary confirms the Anglo-Dutch etymology of apartheid: "lit. "separateness," from Dutch </w:t>
      </w:r>
      <w:r w:rsidRPr="00F5768A">
        <w:rPr>
          <w:rFonts w:ascii="Garamond" w:hAnsi="Garamond"/>
          <w:i/>
        </w:rPr>
        <w:t>apart</w:t>
      </w:r>
      <w:r w:rsidRPr="00F5768A">
        <w:rPr>
          <w:rFonts w:ascii="Garamond" w:hAnsi="Garamond"/>
        </w:rPr>
        <w:t xml:space="preserve"> "separate" + suffix - </w:t>
      </w:r>
      <w:r w:rsidRPr="00F5768A">
        <w:rPr>
          <w:rFonts w:ascii="Garamond" w:hAnsi="Garamond"/>
          <w:i/>
        </w:rPr>
        <w:t xml:space="preserve">heid, </w:t>
      </w:r>
      <w:r w:rsidRPr="00F5768A">
        <w:rPr>
          <w:rFonts w:ascii="Garamond" w:hAnsi="Garamond"/>
        </w:rPr>
        <w:t xml:space="preserve">cognate of English - hood". (http://www.etymonline.com/index.php?term=apartheid) Accessed 21/12/12. </w:t>
      </w:r>
    </w:p>
  </w:footnote>
  <w:footnote w:id="245">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On Verwoerd's emigration from Holland, South African History Online write: "Verwoerd's</w:t>
      </w:r>
      <w:r w:rsidRPr="00F5768A">
        <w:rPr>
          <w:rFonts w:ascii="Garamond" w:hAnsi="Garamond"/>
          <w:shd w:val="clear" w:color="auto" w:fill="FAF9F7"/>
        </w:rPr>
        <w:t xml:space="preserve"> father was a shopkeeper and a deeply religious man who decided to move to South Africa in 1903 because of his sympathy towards the Afrikaner nation after the South African War". (http://www.sahistory.org.za/people/hendrik-frensch-verwoerd) Accessed 22/12/12</w:t>
      </w:r>
    </w:p>
  </w:footnote>
  <w:footnote w:id="246">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Over that previous decade several geographers have worked with the assumption of racialization as constitutive of everyday and normalized relations in the West. These include, Kobayshi &amp; Peake (2000), Schein (2006), Saldhana (2006), Gilmore (2007), Swanton (2010), Delaney (2010), Price (2010), Slocum (2011).</w:t>
      </w:r>
    </w:p>
  </w:footnote>
  <w:footnote w:id="247">
    <w:p w:rsidR="002B3E92" w:rsidRPr="00A6449D" w:rsidRDefault="002B3E92" w:rsidP="00A371B8">
      <w:pPr>
        <w:pStyle w:val="FootnoteText"/>
        <w:rPr>
          <w:rFonts w:ascii="Garamond" w:hAnsi="Garamond"/>
        </w:rPr>
      </w:pPr>
      <w:r w:rsidRPr="00A6449D">
        <w:rPr>
          <w:rStyle w:val="FootnoteReference"/>
          <w:rFonts w:ascii="Garamond" w:hAnsi="Garamond"/>
        </w:rPr>
        <w:footnoteRef/>
      </w:r>
      <w:r w:rsidRPr="00A6449D">
        <w:rPr>
          <w:rFonts w:ascii="Garamond" w:hAnsi="Garamond"/>
        </w:rPr>
        <w:t xml:space="preserve"> </w:t>
      </w:r>
      <w:r>
        <w:rPr>
          <w:rFonts w:ascii="Garamond" w:hAnsi="Garamond"/>
        </w:rPr>
        <w:t xml:space="preserve">See Gavin Brown and Helen Yaffe’s website, </w:t>
      </w:r>
      <w:r>
        <w:rPr>
          <w:rFonts w:ascii="Garamond" w:hAnsi="Garamond"/>
          <w:i/>
        </w:rPr>
        <w:t>Nonstop Against Apartheid</w:t>
      </w:r>
      <w:r>
        <w:rPr>
          <w:rFonts w:ascii="Garamond" w:hAnsi="Garamond"/>
        </w:rPr>
        <w:t xml:space="preserve">: </w:t>
      </w:r>
      <w:r w:rsidRPr="00A6449D">
        <w:rPr>
          <w:rFonts w:ascii="Garamond" w:hAnsi="Garamond"/>
        </w:rPr>
        <w:t>http://nonstopagainstapartheid.wordpress.com/ (Last Accessed 23/10/2013)</w:t>
      </w:r>
    </w:p>
  </w:footnote>
  <w:footnote w:id="248">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The Pan-Africanist Congress of Azania</w:t>
      </w:r>
    </w:p>
  </w:footnote>
  <w:footnote w:id="249">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w:t>
      </w:r>
      <w:r>
        <w:rPr>
          <w:rFonts w:ascii="Garamond" w:hAnsi="Garamond"/>
        </w:rPr>
        <w:t xml:space="preserve">As of October 2013 I have not had contact with members from the Breda Azania Committee. As such the account with the disagreement with the BOA is told only through du Plessis and Bosgra. I have included it because it illustrates how different anti-apartheid solidarities formed in Europe were influenced by events and conflicts between the liberation movements in South Africa. </w:t>
      </w:r>
    </w:p>
  </w:footnote>
  <w:footnote w:id="250">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But the BOA did not subscribe to non-racial internationalism exclusively. They were supportive of the black consciousness movement and the anti-Outspan motif and the anti-emigration campaigns varied in their racializations. At times the organization displayed pragmatism in mimicking racist place-based and embodied imaginaries so as educe racialized fear in already racist minds.  </w:t>
      </w:r>
    </w:p>
  </w:footnote>
  <w:footnote w:id="251">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Jeff Goodwin (2007) writes in "The Struggle Made Me a Nonracialist: Why There Was So Little Terrorism in The Antiapartheid Struggle" that the ANC's commitment to nonracialism was developed from a long historical relationship between the ANC and white liberal activists within South Africa. </w:t>
      </w:r>
    </w:p>
  </w:footnote>
  <w:footnote w:id="252">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Du Plessis dismisses the suggestion that the BOA subscribed to a wider politics of black internationalism on the grounds of non-racial internationalism. </w:t>
      </w:r>
    </w:p>
  </w:footnote>
  <w:footnote w:id="253">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http://www.sadet.</w:t>
      </w:r>
      <w:r>
        <w:rPr>
          <w:rFonts w:ascii="Garamond" w:hAnsi="Garamond"/>
        </w:rPr>
        <w:t>co.za/docs/blog_openletter1.pdf</w:t>
      </w:r>
      <w:r w:rsidRPr="00F5768A">
        <w:rPr>
          <w:rFonts w:ascii="Garamond" w:hAnsi="Garamond"/>
        </w:rPr>
        <w:t>. Last accessed 21/1/13</w:t>
      </w:r>
    </w:p>
  </w:footnote>
  <w:footnote w:id="254">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w:t>
      </w:r>
      <w:r>
        <w:rPr>
          <w:rFonts w:ascii="Garamond" w:hAnsi="Garamond"/>
        </w:rPr>
        <w:t>Du Plessis is convinced that the archive was purged of key materials,</w:t>
      </w:r>
      <w:r w:rsidRPr="00F5768A">
        <w:rPr>
          <w:rFonts w:ascii="Garamond" w:hAnsi="Garamond"/>
        </w:rPr>
        <w:t xml:space="preserve"> </w:t>
      </w:r>
      <w:r>
        <w:rPr>
          <w:rFonts w:ascii="Garamond" w:hAnsi="Garamond"/>
        </w:rPr>
        <w:t xml:space="preserve">this is explained </w:t>
      </w:r>
      <w:r w:rsidRPr="00F5768A">
        <w:rPr>
          <w:rFonts w:ascii="Garamond" w:hAnsi="Garamond"/>
        </w:rPr>
        <w:t>in the final section of the chapter.</w:t>
      </w:r>
    </w:p>
  </w:footnote>
  <w:footnote w:id="255">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Wertheim (1991</w:t>
      </w:r>
      <w:r w:rsidRPr="00F5768A">
        <w:rPr>
          <w:rFonts w:ascii="Garamond" w:hAnsi="Garamond"/>
          <w:b/>
        </w:rPr>
        <w:t>) "</w:t>
      </w:r>
      <w:r w:rsidRPr="00F5768A">
        <w:rPr>
          <w:rStyle w:val="Strong"/>
          <w:rFonts w:ascii="Garamond" w:hAnsi="Garamond"/>
          <w:b w:val="0"/>
          <w:color w:val="000000"/>
          <w:shd w:val="clear" w:color="auto" w:fill="FFFFFF"/>
        </w:rPr>
        <w:t>Koloniaal racisme in Indonesië : ons onverwerkt verleden</w:t>
      </w:r>
      <w:r w:rsidRPr="00F5768A">
        <w:rPr>
          <w:rStyle w:val="Strong"/>
          <w:rFonts w:ascii="Garamond" w:hAnsi="Garamond"/>
          <w:color w:val="000000"/>
          <w:shd w:val="clear" w:color="auto" w:fill="FFFFFF"/>
        </w:rPr>
        <w:t xml:space="preserve">?" </w:t>
      </w:r>
      <w:r w:rsidRPr="00F5768A">
        <w:rPr>
          <w:rFonts w:ascii="Garamond" w:hAnsi="Garamond"/>
          <w:i/>
          <w:color w:val="000000"/>
          <w:shd w:val="clear" w:color="auto" w:fill="FFFFFF"/>
        </w:rPr>
        <w:t>Kolonialisme: racisme &amp; cultuurpolitiek</w:t>
      </w:r>
      <w:r w:rsidRPr="00F5768A">
        <w:rPr>
          <w:rFonts w:ascii="Garamond" w:hAnsi="Garamond"/>
          <w:color w:val="000000"/>
          <w:shd w:val="clear" w:color="auto" w:fill="FFFFFF"/>
        </w:rPr>
        <w:t>, p. 367-385. Wim Wertheim was a professor of Non-Western Sociology at the University of Amsterdam during the 1970s. His paper on Dutch racism caused controversy and was not published until 1991. Wertheim's daughter Ann-Ruth Wertheim continues to write on Dutch racism; her recent work has investigated cultural manifestations of racism and Islamophobia. In similarity to Wim, she distinguishes between colonial and cultural racisms. Wim Wertheim and du Plessis first met in Amsterdam in 1968.</w:t>
      </w:r>
    </w:p>
  </w:footnote>
  <w:footnote w:id="256">
    <w:p w:rsidR="002B3E92" w:rsidRPr="00F5768A" w:rsidRDefault="002B3E92" w:rsidP="00A371B8">
      <w:pPr>
        <w:pStyle w:val="Default"/>
        <w:rPr>
          <w:rFonts w:ascii="Garamond" w:hAnsi="Garamond"/>
          <w:sz w:val="20"/>
          <w:szCs w:val="20"/>
        </w:rPr>
      </w:pPr>
      <w:r w:rsidRPr="00F5768A">
        <w:rPr>
          <w:rStyle w:val="FootnoteReference"/>
          <w:rFonts w:ascii="Garamond" w:hAnsi="Garamond"/>
          <w:sz w:val="20"/>
          <w:szCs w:val="20"/>
        </w:rPr>
        <w:footnoteRef/>
      </w:r>
      <w:r w:rsidRPr="00F5768A">
        <w:rPr>
          <w:rFonts w:ascii="Garamond" w:hAnsi="Garamond"/>
          <w:sz w:val="20"/>
          <w:szCs w:val="20"/>
        </w:rPr>
        <w:t xml:space="preserve"> Du Plessis quoted the second action plan from Mohammed Rabbae, the leader of the Nederland Centrum Buitenlanders (Dutch Centre for Foreigners).  </w:t>
      </w:r>
    </w:p>
  </w:footnote>
  <w:footnote w:id="257">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Mohammed Rabbae was a Moroccan exile and antiracist activist based in Utrecht. </w:t>
      </w:r>
    </w:p>
  </w:footnote>
  <w:footnote w:id="258">
    <w:p w:rsidR="002B3E92" w:rsidRPr="00F5768A" w:rsidRDefault="002B3E92" w:rsidP="00A371B8">
      <w:pPr>
        <w:autoSpaceDE w:val="0"/>
        <w:autoSpaceDN w:val="0"/>
        <w:adjustRightInd w:val="0"/>
        <w:spacing w:after="0" w:line="240" w:lineRule="auto"/>
        <w:rPr>
          <w:rFonts w:ascii="Garamond" w:hAnsi="Garamond" w:cs="CantoriaMT"/>
          <w:sz w:val="20"/>
          <w:szCs w:val="20"/>
        </w:rPr>
      </w:pPr>
      <w:r w:rsidRPr="00F5768A">
        <w:rPr>
          <w:rStyle w:val="FootnoteReference"/>
          <w:rFonts w:ascii="Garamond" w:hAnsi="Garamond"/>
          <w:sz w:val="20"/>
          <w:szCs w:val="20"/>
        </w:rPr>
        <w:footnoteRef/>
      </w:r>
      <w:r w:rsidRPr="00F5768A">
        <w:rPr>
          <w:rFonts w:ascii="Garamond" w:hAnsi="Garamond"/>
          <w:sz w:val="20"/>
          <w:szCs w:val="20"/>
        </w:rPr>
        <w:t xml:space="preserve"> For a discussion on geographic approaches to critical race theory (CRT) see chapter 5 (STT &amp; production of race). Central to CRT is the idea that race theory should directly contribute to the liberation of the racially oppressed through praxis. Peake and Kobayshi write: "critical race theory thus necessitates a social commitment to activism within the academy; nothing less will change our racialized past" (2002: 50). In a superb paper in </w:t>
      </w:r>
      <w:r w:rsidRPr="00F5768A">
        <w:rPr>
          <w:rFonts w:ascii="Garamond" w:hAnsi="Garamond"/>
          <w:i/>
          <w:sz w:val="20"/>
          <w:szCs w:val="20"/>
        </w:rPr>
        <w:t>Progress in Human Geography,</w:t>
      </w:r>
      <w:r w:rsidRPr="00F5768A">
        <w:rPr>
          <w:rFonts w:ascii="Garamond" w:hAnsi="Garamond"/>
          <w:sz w:val="20"/>
          <w:szCs w:val="20"/>
        </w:rPr>
        <w:t xml:space="preserve"> Patricia Price outlines the intersections of CRT and geographies of race; for her CRT shows that "</w:t>
      </w:r>
      <w:r w:rsidRPr="00F5768A">
        <w:rPr>
          <w:rFonts w:ascii="Garamond" w:hAnsi="Garamond" w:cs="CantoriaMT"/>
          <w:sz w:val="20"/>
          <w:szCs w:val="20"/>
        </w:rPr>
        <w:t>it is not enough to critique, and thereby intellectually rework, racism; rather, racism must be addressed and redressed through action" (2010: 151).</w:t>
      </w:r>
    </w:p>
    <w:p w:rsidR="002B3E92" w:rsidRPr="00F5768A" w:rsidRDefault="002B3E92" w:rsidP="00A371B8">
      <w:pPr>
        <w:pStyle w:val="FootnoteText"/>
        <w:rPr>
          <w:rFonts w:ascii="Garamond" w:hAnsi="Garamond"/>
        </w:rPr>
      </w:pPr>
    </w:p>
  </w:footnote>
  <w:footnote w:id="259">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Anti-apartheid is often understood through national politics. The SADET publication is split into 'national movements' and Mandela has singled out particular countries for special praise for their anti-apartheid work (Holland being one of them). I have heard historians refer to the national movements ('The Dutch Anti-Apartheid Movement', 'The British Anti-Apartheid Movement'), as if they comprised of a single organization with agreed aims. The nationalist politics of apartheid works to historicise anti-apartheid activism on a national scale in as positive a light as possible in a competitive global economy of signs and traditions. </w:t>
      </w:r>
    </w:p>
  </w:footnote>
  <w:footnote w:id="260">
    <w:p w:rsidR="002B3E92" w:rsidRPr="00F5768A" w:rsidRDefault="002B3E92" w:rsidP="00A371B8">
      <w:pPr>
        <w:pStyle w:val="FootnoteText"/>
        <w:rPr>
          <w:rFonts w:ascii="Garamond" w:hAnsi="Garamond"/>
        </w:rPr>
      </w:pPr>
      <w:r w:rsidRPr="00F5768A">
        <w:rPr>
          <w:rStyle w:val="FootnoteReference"/>
          <w:rFonts w:ascii="Garamond" w:hAnsi="Garamond"/>
          <w:sz w:val="22"/>
          <w:szCs w:val="22"/>
        </w:rPr>
        <w:footnoteRef/>
      </w:r>
      <w:r w:rsidRPr="00F5768A">
        <w:rPr>
          <w:rFonts w:ascii="Garamond" w:hAnsi="Garamond"/>
          <w:sz w:val="22"/>
          <w:szCs w:val="22"/>
        </w:rPr>
        <w:t xml:space="preserve"> </w:t>
      </w:r>
      <w:r w:rsidRPr="00F5768A">
        <w:rPr>
          <w:rFonts w:ascii="Garamond" w:hAnsi="Garamond"/>
        </w:rPr>
        <w:t>The National Commission for Information and Awareness in Development Aid. In the boycott chapter I discussed this public body in the context of Holland' heightened commitment to philanthropic projects.</w:t>
      </w:r>
    </w:p>
  </w:footnote>
  <w:footnote w:id="261">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BOA developed contact with the DRC through</w:t>
      </w:r>
      <w:r w:rsidRPr="00F5768A">
        <w:rPr>
          <w:rFonts w:ascii="Garamond" w:hAnsi="Garamond"/>
          <w:i/>
        </w:rPr>
        <w:t xml:space="preserve"> Kairos</w:t>
      </w:r>
      <w:r w:rsidRPr="00F5768A">
        <w:rPr>
          <w:rFonts w:ascii="Garamond" w:hAnsi="Garamond"/>
        </w:rPr>
        <w:t>, another AAM that du Plessis was also a member.</w:t>
      </w:r>
      <w:r>
        <w:rPr>
          <w:rFonts w:ascii="Garamond" w:hAnsi="Garamond"/>
        </w:rPr>
        <w:t xml:space="preserve"> Ben van Kaam and Reverend R J v</w:t>
      </w:r>
      <w:r w:rsidRPr="00F5768A">
        <w:rPr>
          <w:rFonts w:ascii="Garamond" w:hAnsi="Garamond"/>
        </w:rPr>
        <w:t>an der Veen were affiliated with both Kairos and the DRC.</w:t>
      </w:r>
    </w:p>
  </w:footnote>
  <w:footnote w:id="262">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Pieterse's famous publication on the uses of representations of black bodies to white culture, </w:t>
      </w:r>
      <w:r w:rsidRPr="00F5768A">
        <w:rPr>
          <w:rFonts w:ascii="Garamond" w:hAnsi="Garamond"/>
          <w:i/>
        </w:rPr>
        <w:t>White on Black</w:t>
      </w:r>
      <w:r w:rsidRPr="00F5768A">
        <w:rPr>
          <w:rFonts w:ascii="Garamond" w:hAnsi="Garamond"/>
        </w:rPr>
        <w:t xml:space="preserve"> was published in 1988 alongside a major international exhibition in Amsterdam. </w:t>
      </w:r>
    </w:p>
  </w:footnote>
  <w:footnote w:id="263">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Inter-Church Ecumenical Company</w:t>
      </w:r>
    </w:p>
  </w:footnote>
  <w:footnote w:id="264">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DRS is the first qualification available in the Dutch university system, the equivalent of a BA or BSC.</w:t>
      </w:r>
    </w:p>
  </w:footnote>
  <w:footnote w:id="265">
    <w:p w:rsidR="002B3E92" w:rsidRPr="00F5768A" w:rsidRDefault="002B3E92" w:rsidP="00A371B8">
      <w:pPr>
        <w:pStyle w:val="FootnoteText"/>
        <w:rPr>
          <w:rFonts w:ascii="Garamond" w:hAnsi="Garamond"/>
          <w:i/>
        </w:rPr>
      </w:pPr>
      <w:r w:rsidRPr="00F5768A">
        <w:rPr>
          <w:rStyle w:val="FootnoteReference"/>
          <w:rFonts w:ascii="Garamond" w:hAnsi="Garamond"/>
        </w:rPr>
        <w:footnoteRef/>
      </w:r>
      <w:r w:rsidRPr="00F5768A">
        <w:rPr>
          <w:rFonts w:ascii="Garamond" w:hAnsi="Garamond"/>
        </w:rPr>
        <w:t xml:space="preserve"> Du Plessis (1988) </w:t>
      </w:r>
      <w:r w:rsidRPr="00F5768A">
        <w:rPr>
          <w:rFonts w:ascii="Garamond" w:hAnsi="Garamond"/>
          <w:i/>
        </w:rPr>
        <w:t xml:space="preserve">A Brief Sketch of the BOA urban campaigns in Holland. Unpublished.  </w:t>
      </w:r>
    </w:p>
  </w:footnote>
  <w:footnote w:id="266">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Anti Apartheid Beweging Nederland and the Comite Zuid-Afrika</w:t>
      </w:r>
    </w:p>
  </w:footnote>
  <w:footnote w:id="267">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South African History Online</w:t>
      </w:r>
    </w:p>
  </w:footnote>
  <w:footnote w:id="268">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w:t>
      </w:r>
      <w:r>
        <w:rPr>
          <w:rFonts w:ascii="Garamond" w:hAnsi="Garamond"/>
        </w:rPr>
        <w:t xml:space="preserve">See </w:t>
      </w:r>
      <w:r w:rsidRPr="00A6449D">
        <w:rPr>
          <w:rFonts w:ascii="Garamond" w:hAnsi="Garamond"/>
          <w:i/>
        </w:rPr>
        <w:t>SADET</w:t>
      </w:r>
      <w:r>
        <w:rPr>
          <w:rFonts w:ascii="Garamond" w:hAnsi="Garamond"/>
        </w:rPr>
        <w:t xml:space="preserve"> website: </w:t>
      </w:r>
      <w:r w:rsidRPr="00A6449D">
        <w:rPr>
          <w:rFonts w:ascii="Garamond" w:hAnsi="Garamond"/>
        </w:rPr>
        <w:t>http://www.sadet.co.za/docs/Sietse%20Bosgra.pdf</w:t>
      </w:r>
      <w:r>
        <w:rPr>
          <w:rFonts w:ascii="Garamond" w:hAnsi="Garamond"/>
        </w:rPr>
        <w:t xml:space="preserve"> (last accessed 3/10/13).</w:t>
      </w:r>
    </w:p>
  </w:footnote>
  <w:footnote w:id="269">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The origins of apartheid is hotly contested, and has been understood as a descendent of the frontier politics of the independent Boer republics of the nineteenth century (De Kiewiet, 1966), as a derivation from British colonial separationist policies under Shepstone in Natal or Rhodes in South Africa (Roskam, 1960; Welsh, 1971; Swanson, 1977</w:t>
      </w:r>
      <w:r w:rsidRPr="00F5768A">
        <w:rPr>
          <w:rStyle w:val="FootnoteReference"/>
          <w:rFonts w:ascii="Garamond" w:hAnsi="Garamond"/>
        </w:rPr>
        <w:footnoteRef/>
      </w:r>
      <w:r w:rsidRPr="00F5768A">
        <w:rPr>
          <w:rFonts w:ascii="Garamond" w:hAnsi="Garamond"/>
        </w:rPr>
        <w:t>; Leggasick, 1995), as a rehashing of early Nazi eugenic policy (Asmal, Asmal &amp; Roberts, 1996), a form of hyper-capitalism or industrialization (Wolpe, 1995), or conversely as a means to maintain white supremacy against a tide of modernity wrought by industrialization (Dubow, 1995),</w:t>
      </w:r>
    </w:p>
  </w:footnote>
  <w:footnote w:id="270">
    <w:p w:rsidR="002B3E92" w:rsidRPr="00A6449D" w:rsidRDefault="002B3E92" w:rsidP="00A371B8">
      <w:pPr>
        <w:rPr>
          <w:rFonts w:ascii="Garamond" w:eastAsia="Times New Roman" w:hAnsi="Garamond"/>
          <w:sz w:val="20"/>
          <w:szCs w:val="24"/>
          <w:lang w:eastAsia="en-GB"/>
        </w:rPr>
      </w:pPr>
      <w:r w:rsidRPr="00A6449D">
        <w:rPr>
          <w:rStyle w:val="FootnoteReference"/>
          <w:rFonts w:ascii="Garamond" w:hAnsi="Garamond"/>
          <w:sz w:val="20"/>
        </w:rPr>
        <w:footnoteRef/>
      </w:r>
      <w:r w:rsidRPr="00A6449D">
        <w:rPr>
          <w:rFonts w:ascii="Garamond" w:hAnsi="Garamond"/>
          <w:sz w:val="20"/>
        </w:rPr>
        <w:t xml:space="preserve"> The Centre Europe Tiers Monde was founded in 1970 in Switzerland to counter the a-priori positivism of Western forms of development; their foundational philosophy 'there is not a developed world and the underdeveloped world but instead one mal-developed world", is based on the assertion that there are underdeveloped worlds across the globe. The organization fund research into the links between 'first' and 'third' worlds. Their support for the anti-emigration campaigns of 1975-'76 came from a desire to publicise European complicity with apartheid whit</w:t>
      </w:r>
      <w:r>
        <w:rPr>
          <w:rFonts w:ascii="Garamond" w:hAnsi="Garamond"/>
          <w:sz w:val="20"/>
        </w:rPr>
        <w:t xml:space="preserve">e supremacy. CETIM continue to </w:t>
      </w:r>
      <w:r w:rsidRPr="00A6449D">
        <w:rPr>
          <w:rFonts w:ascii="Garamond" w:hAnsi="Garamond"/>
          <w:sz w:val="20"/>
        </w:rPr>
        <w:t xml:space="preserve">influence UN policy.  </w:t>
      </w:r>
    </w:p>
    <w:tbl>
      <w:tblPr>
        <w:tblW w:w="8040" w:type="dxa"/>
        <w:tblCellSpacing w:w="15" w:type="dxa"/>
        <w:shd w:val="clear" w:color="auto" w:fill="FFFFFF"/>
        <w:tblCellMar>
          <w:top w:w="15" w:type="dxa"/>
          <w:left w:w="15" w:type="dxa"/>
          <w:bottom w:w="15" w:type="dxa"/>
          <w:right w:w="15" w:type="dxa"/>
        </w:tblCellMar>
        <w:tblLook w:val="04A0"/>
      </w:tblPr>
      <w:tblGrid>
        <w:gridCol w:w="8040"/>
      </w:tblGrid>
      <w:tr w:rsidR="002B3E92" w:rsidRPr="00F5768A">
        <w:trPr>
          <w:trHeight w:val="567"/>
          <w:tblCellSpacing w:w="15" w:type="dxa"/>
        </w:trPr>
        <w:tc>
          <w:tcPr>
            <w:tcW w:w="0" w:type="auto"/>
            <w:shd w:val="clear" w:color="auto" w:fill="FFFFFF"/>
          </w:tcPr>
          <w:p w:rsidR="002B3E92" w:rsidRPr="00F5768A" w:rsidRDefault="002B3E92" w:rsidP="00D04F1F">
            <w:pPr>
              <w:spacing w:after="0" w:line="240" w:lineRule="auto"/>
              <w:jc w:val="center"/>
              <w:rPr>
                <w:rFonts w:ascii="Garamond" w:eastAsia="Times New Roman" w:hAnsi="Garamond"/>
                <w:sz w:val="24"/>
                <w:szCs w:val="24"/>
                <w:lang w:eastAsia="en-GB"/>
              </w:rPr>
            </w:pPr>
          </w:p>
        </w:tc>
      </w:tr>
    </w:tbl>
    <w:p w:rsidR="002B3E92" w:rsidRPr="00F5768A" w:rsidRDefault="002B3E92" w:rsidP="00A371B8">
      <w:pPr>
        <w:pStyle w:val="FootnoteText"/>
        <w:rPr>
          <w:rFonts w:ascii="Garamond" w:hAnsi="Garamond"/>
        </w:rPr>
      </w:pPr>
    </w:p>
  </w:footnote>
  <w:footnote w:id="271">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Kun</w:t>
      </w:r>
      <w:r>
        <w:rPr>
          <w:rFonts w:ascii="Garamond" w:hAnsi="Garamond"/>
        </w:rPr>
        <w:t xml:space="preserve">ene and du Plessis became </w:t>
      </w:r>
      <w:r w:rsidRPr="00F5768A">
        <w:rPr>
          <w:rFonts w:ascii="Garamond" w:hAnsi="Garamond"/>
        </w:rPr>
        <w:t>friends while working together in exile for the ANC in London during the early 1960</w:t>
      </w:r>
      <w:r>
        <w:rPr>
          <w:rFonts w:ascii="Garamond" w:hAnsi="Garamond"/>
        </w:rPr>
        <w:t xml:space="preserve">s. </w:t>
      </w:r>
      <w:r w:rsidRPr="00F5768A">
        <w:rPr>
          <w:rFonts w:ascii="Garamond" w:hAnsi="Garamond"/>
        </w:rPr>
        <w:t>The future African poet laureate was  the BOA's closest and most trusted link to the ANC. As the BOA were careful in "not becoming a political mouthpiece for the ANC", Kunene's "free-thinking approach"</w:t>
      </w:r>
      <w:r>
        <w:rPr>
          <w:rFonts w:ascii="Garamond" w:hAnsi="Garamond"/>
        </w:rPr>
        <w:t xml:space="preserve"> (interview du Plessis, 2012)</w:t>
      </w:r>
      <w:r w:rsidRPr="00F5768A">
        <w:rPr>
          <w:rFonts w:ascii="Garamond" w:hAnsi="Garamond"/>
        </w:rPr>
        <w:t xml:space="preserve"> was highly valued.  </w:t>
      </w:r>
    </w:p>
  </w:footnote>
  <w:footnote w:id="272">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On the importance of the International Defence and Aid Fund (IDAF) to the BOA, du Plessis writes on his account of the Outspan campaigns on the SAHO, SADET and IISH websites: "If there is any single other organization in the world to which the BOA is greatly indebted then that is the International Defence and Aid Fund (IDAF) in London for its continued publication of well-researched and documented books o</w:t>
      </w:r>
      <w:r>
        <w:rPr>
          <w:rFonts w:ascii="Garamond" w:hAnsi="Garamond"/>
        </w:rPr>
        <w:t>n apartheid. The BOA translated</w:t>
      </w:r>
      <w:r w:rsidRPr="00F5768A">
        <w:rPr>
          <w:rFonts w:ascii="Garamond" w:hAnsi="Garamond"/>
        </w:rPr>
        <w:t xml:space="preserve"> most of these into Dutch and distributed them in a joint venture by the NOVIB and BOA. Since then it would have been difficult for people in Holland to say “We did not know!”" (2009: 22-23)   </w:t>
      </w:r>
    </w:p>
  </w:footnote>
  <w:footnote w:id="273">
    <w:p w:rsidR="002B3E92" w:rsidRPr="00F5768A" w:rsidRDefault="002B3E92" w:rsidP="001731AC">
      <w:pPr>
        <w:rPr>
          <w:rFonts w:ascii="Garamond" w:hAnsi="Garamond"/>
        </w:rPr>
      </w:pPr>
    </w:p>
    <w:p w:rsidR="002B3E92" w:rsidRPr="00F5768A" w:rsidRDefault="002B3E92" w:rsidP="001731AC">
      <w:pPr>
        <w:pStyle w:val="FootnoteText"/>
        <w:rPr>
          <w:rFonts w:ascii="Garamond" w:hAnsi="Garamond"/>
        </w:rPr>
      </w:pPr>
    </w:p>
  </w:footnote>
  <w:footnote w:id="274">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Headline translated from</w:t>
      </w:r>
      <w:r>
        <w:rPr>
          <w:rFonts w:ascii="Garamond" w:hAnsi="Garamond"/>
        </w:rPr>
        <w:t xml:space="preserve"> van Rooyen (1978), writing for</w:t>
      </w:r>
      <w:r w:rsidRPr="00F5768A">
        <w:rPr>
          <w:rFonts w:ascii="Garamond" w:hAnsi="Garamond"/>
        </w:rPr>
        <w:t xml:space="preserve"> </w:t>
      </w:r>
      <w:r>
        <w:rPr>
          <w:rFonts w:ascii="Garamond" w:hAnsi="Garamond"/>
        </w:rPr>
        <w:t xml:space="preserve">NOVIB and reprinted in </w:t>
      </w:r>
      <w:r w:rsidRPr="00F5768A">
        <w:rPr>
          <w:rFonts w:ascii="Garamond" w:hAnsi="Garamond"/>
        </w:rPr>
        <w:t xml:space="preserve">the Dutch anti-apartheid monthly, Amandla: 'De BOA - karavaan komt ook bij u' </w:t>
      </w:r>
    </w:p>
  </w:footnote>
  <w:footnote w:id="275">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w:t>
      </w:r>
      <w:r w:rsidRPr="00F5768A">
        <w:rPr>
          <w:rFonts w:ascii="Garamond" w:hAnsi="Garamond"/>
          <w:i/>
          <w:color w:val="000000"/>
          <w:shd w:val="clear" w:color="auto" w:fill="FFFFFF"/>
        </w:rPr>
        <w:t>Nederlandse Organisatie Voor Internationale Bijstand,</w:t>
      </w:r>
      <w:r w:rsidRPr="00F5768A">
        <w:rPr>
          <w:rFonts w:ascii="Garamond" w:hAnsi="Garamond"/>
          <w:color w:val="000000"/>
          <w:shd w:val="clear" w:color="auto" w:fill="FFFFFF"/>
        </w:rPr>
        <w:t xml:space="preserve"> or </w:t>
      </w:r>
      <w:r w:rsidRPr="00F5768A">
        <w:rPr>
          <w:rFonts w:ascii="Garamond" w:hAnsi="Garamond"/>
          <w:i/>
          <w:color w:val="000000"/>
          <w:shd w:val="clear" w:color="auto" w:fill="FFFFFF"/>
        </w:rPr>
        <w:t xml:space="preserve">Dutch Organization For International Aid </w:t>
      </w:r>
      <w:r w:rsidRPr="00F5768A">
        <w:rPr>
          <w:rFonts w:ascii="Garamond" w:hAnsi="Garamond"/>
          <w:color w:val="000000"/>
          <w:shd w:val="clear" w:color="auto" w:fill="FFFFFF"/>
        </w:rPr>
        <w:t xml:space="preserve">(NOVIB) were founded in </w:t>
      </w:r>
      <w:r>
        <w:rPr>
          <w:rFonts w:ascii="Garamond" w:hAnsi="Garamond"/>
          <w:color w:val="000000"/>
          <w:shd w:val="clear" w:color="auto" w:fill="FFFFFF"/>
        </w:rPr>
        <w:t xml:space="preserve">1956. During the 1970s and 80s, </w:t>
      </w:r>
      <w:r w:rsidRPr="00F5768A">
        <w:rPr>
          <w:rFonts w:ascii="Garamond" w:hAnsi="Garamond"/>
          <w:color w:val="000000"/>
          <w:shd w:val="clear" w:color="auto" w:fill="FFFFFF"/>
        </w:rPr>
        <w:t>NOVIB became the largest development charity in Holland. In 1994 the organization became an affiliate of OXFAM.</w:t>
      </w:r>
    </w:p>
  </w:footnote>
  <w:footnote w:id="276">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The 'black stockings area' derives from 'zwarte-kousenkerken' (Dutch for 'black stockings churches'), is a colloquialism used to infer the conservative and extreme Calvanistic people of the Christian Reformed Church and the Restored Reformed Church, living in the North East of the Dutch 'bible-belt'. In these towns the BOA found it difficult to make an impression. </w:t>
      </w:r>
    </w:p>
  </w:footnote>
  <w:footnote w:id="277">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Leiden Against Apartheid in December 1979 was the first of fifty-five urban campaigns conducted across Holland over the next decade. Among these, forty town campaigns were considered by the BOA to be a success. These included: Apeldoorn, Delft, Gouda, Vlaardingen, Assen, Zwolle, Den Bosch, Rotterdam, Utrecht, Culemborg, Groningen, Woerden, Haarlem, Roermond, Maastricht, Heerlen, Sittard, Breda, Eindhoven, Roosendaal, Bergen op Zoom, Hoogeveen, Enschede, Leeuwarden, Amersfoort, Leiderdorp, Oegstgeest, Hilversum, Arnhem, Oss, Beverwijk, Ijmond, Nijmegen, Deventer, Alphen aan de Rijn, Zoeterwoude, Drachten, Heerenveen, Sassenheim and Wageningen.</w:t>
      </w:r>
    </w:p>
  </w:footnote>
  <w:footnote w:id="278">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w:t>
      </w:r>
      <w:r w:rsidRPr="00F5768A">
        <w:rPr>
          <w:rFonts w:ascii="Garamond" w:hAnsi="Garamond"/>
          <w:color w:val="000000"/>
          <w:shd w:val="clear" w:color="auto" w:fill="FFFFFF"/>
        </w:rPr>
        <w:t xml:space="preserve">The original Xhosa proverb is 'Iqaqa aliziva kunuka' which translates as 'A skunk does not smell its own smell' (Stewart, 2005: 95) </w:t>
      </w:r>
      <w:r w:rsidRPr="00F5768A">
        <w:rPr>
          <w:rFonts w:ascii="Garamond" w:hAnsi="Garamond"/>
        </w:rPr>
        <w:t xml:space="preserve">The quote is from an eleven page booklet intended for the visit of the UN Committee Against Apartheid to Holland in 1988. The booklet is entitled </w:t>
      </w:r>
      <w:r w:rsidRPr="00F5768A">
        <w:rPr>
          <w:rFonts w:ascii="Garamond" w:hAnsi="Garamond"/>
          <w:i/>
        </w:rPr>
        <w:t>A brief sketch of the BOA-urban campaigns in The Netherlands</w:t>
      </w:r>
      <w:r w:rsidRPr="00F5768A">
        <w:rPr>
          <w:rFonts w:ascii="Garamond" w:hAnsi="Garamond"/>
        </w:rPr>
        <w:t>.</w:t>
      </w:r>
    </w:p>
  </w:footnote>
  <w:footnote w:id="279">
    <w:p w:rsidR="002B3E92" w:rsidRPr="00EF2EDE" w:rsidRDefault="002B3E92" w:rsidP="00A371B8">
      <w:pPr>
        <w:pStyle w:val="FootnoteText"/>
        <w:jc w:val="both"/>
        <w:rPr>
          <w:rFonts w:ascii="Garamond" w:hAnsi="Garamond"/>
        </w:rPr>
      </w:pPr>
      <w:r w:rsidRPr="00232326">
        <w:rPr>
          <w:rStyle w:val="FootnoteReference"/>
          <w:rFonts w:ascii="Garamond" w:hAnsi="Garamond"/>
        </w:rPr>
        <w:footnoteRef/>
      </w:r>
      <w:r>
        <w:rPr>
          <w:rFonts w:ascii="Garamond" w:hAnsi="Garamond"/>
        </w:rPr>
        <w:t xml:space="preserve"> Translated in part </w:t>
      </w:r>
      <w:r w:rsidRPr="00232326">
        <w:rPr>
          <w:rFonts w:ascii="Garamond" w:hAnsi="Garamond"/>
        </w:rPr>
        <w:t>by Lili Dreikhausen</w:t>
      </w:r>
      <w:r>
        <w:rPr>
          <w:rFonts w:ascii="Garamond" w:hAnsi="Garamond"/>
        </w:rPr>
        <w:t xml:space="preserve">, </w:t>
      </w:r>
      <w:r w:rsidRPr="009601FE">
        <w:rPr>
          <w:rFonts w:ascii="Garamond" w:eastAsia="BatangChe" w:hAnsi="Garamond"/>
          <w:i/>
          <w:shd w:val="clear" w:color="auto" w:fill="FFFFFF"/>
        </w:rPr>
        <w:t>Abschlußbericht der Aktion</w:t>
      </w:r>
      <w:r>
        <w:rPr>
          <w:rFonts w:ascii="Garamond" w:eastAsia="BatangChe" w:hAnsi="Garamond"/>
          <w:i/>
          <w:shd w:val="clear" w:color="auto" w:fill="FFFFFF"/>
        </w:rPr>
        <w:t xml:space="preserve">, </w:t>
      </w:r>
      <w:r>
        <w:rPr>
          <w:rFonts w:ascii="Garamond" w:eastAsia="BatangChe" w:hAnsi="Garamond"/>
          <w:shd w:val="clear" w:color="auto" w:fill="FFFFFF"/>
        </w:rPr>
        <w:t xml:space="preserve">or </w:t>
      </w:r>
      <w:r w:rsidRPr="00B27C08">
        <w:rPr>
          <w:rFonts w:ascii="Garamond" w:eastAsia="BatangChe" w:hAnsi="Garamond"/>
          <w:i/>
          <w:shd w:val="clear" w:color="auto" w:fill="FFFFFF"/>
        </w:rPr>
        <w:t>Models for Action</w:t>
      </w:r>
      <w:r>
        <w:rPr>
          <w:rFonts w:ascii="Garamond" w:eastAsia="BatangChe" w:hAnsi="Garamond"/>
          <w:shd w:val="clear" w:color="auto" w:fill="FFFFFF"/>
        </w:rPr>
        <w:t>, is a twenty page report of Leiden Against Apartheid. The document provides a detailed assessment of the different strategies used by the BOA during the campaign, and was composed with the desire to use the BOA's model for grassroots activism as a template for antiracism that could be transposed across other European cities.</w:t>
      </w:r>
    </w:p>
  </w:footnote>
  <w:footnote w:id="280">
    <w:p w:rsidR="002B3E92" w:rsidRDefault="002B3E92">
      <w:pPr>
        <w:pStyle w:val="FootnoteText"/>
      </w:pPr>
      <w:r>
        <w:rPr>
          <w:rStyle w:val="FootnoteReference"/>
        </w:rPr>
        <w:footnoteRef/>
      </w:r>
      <w:r>
        <w:t xml:space="preserve"> </w:t>
      </w:r>
      <w:r w:rsidRPr="00F5768A">
        <w:rPr>
          <w:rFonts w:ascii="Garamond" w:hAnsi="Garamond"/>
        </w:rPr>
        <w:t xml:space="preserve">Nieuwenhuijs, H. (1982). </w:t>
      </w:r>
      <w:r w:rsidRPr="00F5768A">
        <w:rPr>
          <w:rFonts w:ascii="Garamond" w:hAnsi="Garamond"/>
          <w:iCs/>
        </w:rPr>
        <w:t>Actieweek "Leiden tegen Apartheid" waar Industriebond FNV ook bij betrokken was. Tentoonstelling in "De Waag". V.l.n.r.:  Oskam, Prins en Verstraete: Actieweek. Images courtesy of IISH.</w:t>
      </w:r>
    </w:p>
  </w:footnote>
  <w:footnote w:id="281">
    <w:p w:rsidR="002B3E92" w:rsidRPr="00F5768A" w:rsidRDefault="002B3E92" w:rsidP="00A371B8">
      <w:pPr>
        <w:pStyle w:val="FootnoteText"/>
        <w:jc w:val="both"/>
        <w:rPr>
          <w:rFonts w:ascii="Garamond" w:eastAsia="BatangChe" w:hAnsi="Garamond"/>
        </w:rPr>
      </w:pPr>
      <w:r w:rsidRPr="00F5768A">
        <w:rPr>
          <w:rStyle w:val="FootnoteReference"/>
          <w:rFonts w:ascii="Garamond" w:eastAsia="BatangChe" w:hAnsi="Garamond"/>
        </w:rPr>
        <w:footnoteRef/>
      </w:r>
      <w:r w:rsidRPr="00F5768A">
        <w:rPr>
          <w:rFonts w:ascii="Garamond" w:eastAsia="BatangChe" w:hAnsi="Garamond"/>
        </w:rPr>
        <w:t xml:space="preserve"> According to Mahlangu's mother, these were Soloman's last words before his execution on February 7th, 1979. They were adopted as the slogan for the ANC freedom school at Mazimbu. Mahlangu was typical of the young black generation of Biko-inspired students who left South Africa following the Soweto uprising in 1976. He trained as an MK soldier in Tanzania before returning to South Africa with the mission to protect students against the apartheid</w:t>
      </w:r>
      <w:r>
        <w:rPr>
          <w:rFonts w:ascii="Garamond" w:eastAsia="BatangChe" w:hAnsi="Garamond"/>
        </w:rPr>
        <w:t xml:space="preserve"> police and military (Morrow et</w:t>
      </w:r>
      <w:r w:rsidRPr="00F5768A">
        <w:rPr>
          <w:rFonts w:ascii="Garamond" w:eastAsia="BatangChe" w:hAnsi="Garamond"/>
        </w:rPr>
        <w:t xml:space="preserve"> al</w:t>
      </w:r>
      <w:r>
        <w:rPr>
          <w:rFonts w:ascii="Garamond" w:eastAsia="BatangChe" w:hAnsi="Garamond"/>
        </w:rPr>
        <w:t>.</w:t>
      </w:r>
      <w:r w:rsidRPr="00F5768A">
        <w:rPr>
          <w:rFonts w:ascii="Garamond" w:eastAsia="BatangChe" w:hAnsi="Garamond"/>
        </w:rPr>
        <w:t>, 2004: 12-13).</w:t>
      </w:r>
    </w:p>
  </w:footnote>
  <w:footnote w:id="282">
    <w:p w:rsidR="002B3E92" w:rsidRPr="00EF343A" w:rsidRDefault="002B3E92" w:rsidP="00A371B8">
      <w:pPr>
        <w:pStyle w:val="FootnoteText"/>
        <w:rPr>
          <w:rFonts w:ascii="Garamond" w:hAnsi="Garamond"/>
        </w:rPr>
      </w:pPr>
      <w:r w:rsidRPr="00EF343A">
        <w:rPr>
          <w:rStyle w:val="FootnoteReference"/>
          <w:rFonts w:ascii="Garamond" w:hAnsi="Garamond"/>
        </w:rPr>
        <w:footnoteRef/>
      </w:r>
      <w:r w:rsidRPr="00EF343A">
        <w:rPr>
          <w:rFonts w:ascii="Garamond" w:hAnsi="Garamond"/>
        </w:rPr>
        <w:t xml:space="preserve"> In the following section on trade union activism I show how the BOA and the FNV worked together at the 1978 'Workers of the World Unite' conference.</w:t>
      </w:r>
    </w:p>
  </w:footnote>
  <w:footnote w:id="283">
    <w:p w:rsidR="002B3E92" w:rsidRPr="00F5768A" w:rsidRDefault="002B3E92" w:rsidP="00A371B8">
      <w:pPr>
        <w:pStyle w:val="FootnoteText"/>
        <w:rPr>
          <w:rFonts w:ascii="Garamond" w:hAnsi="Garamond"/>
        </w:rPr>
      </w:pPr>
      <w:r w:rsidRPr="00EF343A">
        <w:rPr>
          <w:rStyle w:val="FootnoteReference"/>
          <w:rFonts w:ascii="Garamond" w:hAnsi="Garamond"/>
        </w:rPr>
        <w:footnoteRef/>
      </w:r>
      <w:r w:rsidRPr="00EF343A">
        <w:rPr>
          <w:rFonts w:ascii="Garamond" w:hAnsi="Garamond"/>
        </w:rPr>
        <w:t xml:space="preserve"> For a fascinating short interview with Archibald Sibeko from 2008, see http://gn.northumbria.ac.uk/gn/exhibitions/politicsandpeople/zolazembeinterview</w:t>
      </w:r>
    </w:p>
  </w:footnote>
  <w:footnote w:id="284">
    <w:p w:rsidR="002B3E92" w:rsidRPr="00F5768A" w:rsidRDefault="002B3E92" w:rsidP="00A371B8">
      <w:pPr>
        <w:pStyle w:val="FootnoteText"/>
        <w:rPr>
          <w:rFonts w:ascii="Garamond" w:hAnsi="Garamond"/>
          <w:i/>
        </w:rPr>
      </w:pPr>
      <w:r w:rsidRPr="00F5768A">
        <w:rPr>
          <w:rStyle w:val="FootnoteReference"/>
          <w:rFonts w:ascii="Garamond" w:hAnsi="Garamond"/>
        </w:rPr>
        <w:footnoteRef/>
      </w:r>
      <w:r w:rsidRPr="00F5768A">
        <w:rPr>
          <w:rFonts w:ascii="Garamond" w:hAnsi="Garamond"/>
        </w:rPr>
        <w:t xml:space="preserve"> The South African Congress of Trade Unions was founded in 1955 with the intention of organizing black labour into large scale national unions that could challenge racial exploitation in the workplace, and present an alternative to white supremacy. Many SACTU members were exiled, imprisoned, tortured and killed by the apartheid regime. During the Soweto uprisings of 1976, SACTU co-ordinated a strike of 500,000 workers in the </w:t>
      </w:r>
      <w:r w:rsidRPr="00F5768A">
        <w:rPr>
          <w:rFonts w:ascii="Garamond" w:hAnsi="Garamond"/>
          <w:i/>
        </w:rPr>
        <w:t>East Cape .</w:t>
      </w:r>
    </w:p>
  </w:footnote>
  <w:footnote w:id="285">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International Confederation of </w:t>
      </w:r>
      <w:r>
        <w:rPr>
          <w:rFonts w:ascii="Garamond" w:hAnsi="Garamond"/>
        </w:rPr>
        <w:t xml:space="preserve">Free </w:t>
      </w:r>
      <w:r w:rsidRPr="00F5768A">
        <w:rPr>
          <w:rFonts w:ascii="Garamond" w:hAnsi="Garamond"/>
        </w:rPr>
        <w:t>Trade Unions</w:t>
      </w:r>
      <w:r>
        <w:rPr>
          <w:rFonts w:ascii="Garamond" w:hAnsi="Garamond"/>
        </w:rPr>
        <w:t>.</w:t>
      </w:r>
    </w:p>
  </w:footnote>
  <w:footnote w:id="286">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Kliptown Freedom Charter was the declaration of the principles of the Congress Alliance (consisting of the ANC, the Coloured People's Congress, The South African Indian Congress, and the South African Congress of Democrats). The charter set out a vision for a democratic post-apartheid government, committed to nonracialism, human rights and social security (Kelk Mager &amp; Malaudzi, 2011). The declaration acted as an ideologi</w:t>
      </w:r>
      <w:r>
        <w:rPr>
          <w:rFonts w:ascii="Garamond" w:hAnsi="Garamond"/>
        </w:rPr>
        <w:t>cal starting point for the BOA.</w:t>
      </w:r>
    </w:p>
  </w:footnote>
  <w:footnote w:id="287">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At a conference on consumer boycotts at Birkbeck college in June 2013, South African historian Saul Dubow asserted that "with trade unions and black organizations, there was never a real passionate support for sanctions, because you know boycotts didn't really support their industrial strength" (Dubow, 2013, conference notes). This commonly held view is misleading and doesn't take into account Albert Lutuli's international (1960) call for boycotts, SACTU's 1963 conference resolution supporting international boycotts, the demands made by the liberation movements (ANC, SACTU, PAC) to boycott emigration to South Africa, and SACTU's complete support for the BOA Outspan boycott. </w:t>
      </w:r>
    </w:p>
  </w:footnote>
  <w:footnote w:id="288">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Mbeki's speech originally published in the magazine </w:t>
      </w:r>
      <w:r w:rsidRPr="00F5768A">
        <w:rPr>
          <w:rFonts w:ascii="Garamond" w:hAnsi="Garamond"/>
          <w:i/>
        </w:rPr>
        <w:t xml:space="preserve">Fighting Talk, </w:t>
      </w:r>
      <w:r w:rsidRPr="00F5768A">
        <w:rPr>
          <w:rFonts w:ascii="Garamond" w:hAnsi="Garamond"/>
        </w:rPr>
        <w:t>is quoted in Luckhardt &amp; Wall (1980: 341).</w:t>
      </w:r>
    </w:p>
  </w:footnote>
  <w:footnote w:id="289">
    <w:p w:rsidR="002B3E92" w:rsidRPr="00F5768A" w:rsidRDefault="002B3E92" w:rsidP="00A371B8">
      <w:pPr>
        <w:spacing w:after="0" w:line="360" w:lineRule="auto"/>
        <w:jc w:val="both"/>
        <w:rPr>
          <w:rFonts w:ascii="Garamond" w:hAnsi="Garamond"/>
          <w:sz w:val="20"/>
          <w:szCs w:val="20"/>
        </w:rPr>
      </w:pPr>
      <w:r w:rsidRPr="00F5768A">
        <w:rPr>
          <w:rStyle w:val="FootnoteReference"/>
          <w:rFonts w:ascii="Garamond" w:hAnsi="Garamond"/>
          <w:sz w:val="20"/>
          <w:szCs w:val="20"/>
        </w:rPr>
        <w:footnoteRef/>
      </w:r>
      <w:r w:rsidRPr="00F5768A">
        <w:rPr>
          <w:rFonts w:ascii="Garamond" w:hAnsi="Garamond"/>
          <w:sz w:val="20"/>
          <w:szCs w:val="20"/>
        </w:rPr>
        <w:t xml:space="preserve"> Forward of a conference resolution passed in 1963 in Luckhardt &amp; Wall, </w:t>
      </w:r>
      <w:r>
        <w:rPr>
          <w:rFonts w:ascii="Garamond" w:hAnsi="Garamond"/>
          <w:sz w:val="20"/>
          <w:szCs w:val="20"/>
        </w:rPr>
        <w:t>(</w:t>
      </w:r>
      <w:r w:rsidRPr="00F5768A">
        <w:rPr>
          <w:rFonts w:ascii="Garamond" w:hAnsi="Garamond"/>
          <w:sz w:val="20"/>
          <w:szCs w:val="20"/>
        </w:rPr>
        <w:t>1980: 346)</w:t>
      </w:r>
    </w:p>
  </w:footnote>
  <w:footnote w:id="290">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Delegates from the British trade unions declined invitation. </w:t>
      </w:r>
    </w:p>
  </w:footnote>
  <w:footnote w:id="291">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speech is recorded in the accompanying pamphlet for in Workers of the World United Against Apartheid</w:t>
      </w:r>
    </w:p>
  </w:footnote>
  <w:footnote w:id="292">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Spear of the Nation, or the uMkhonto weSiwze (MK), were the military arm of the ANC founded in 1961.</w:t>
      </w:r>
    </w:p>
  </w:footnote>
  <w:footnote w:id="293">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Deriving from Bolshevik posters of the 1920s, the term agitprop is intended to encapsulate the subversive intent of a piece of cultural production to agitate and propagandize. Following Soweto, songs by the Mayibuye Cultural Ensemble were adapted from freedom songs of the ANC's Spear of the Nation camps </w:t>
      </w:r>
      <w:r>
        <w:rPr>
          <w:rFonts w:ascii="Garamond" w:hAnsi="Garamond"/>
        </w:rPr>
        <w:t>in Southern Africa. Gavin Brown’s website on the Non-</w:t>
      </w:r>
      <w:r w:rsidRPr="00F5768A">
        <w:rPr>
          <w:rFonts w:ascii="Garamond" w:hAnsi="Garamond"/>
        </w:rPr>
        <w:t>Stop Picket make several references to Mayibuye group songs being sung outside the South African embassy from 1986-90.</w:t>
      </w:r>
    </w:p>
  </w:footnote>
  <w:footnote w:id="294">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Anton De Kom was a Surinamese a</w:t>
      </w:r>
      <w:r>
        <w:rPr>
          <w:rFonts w:ascii="Garamond" w:hAnsi="Garamond"/>
        </w:rPr>
        <w:t xml:space="preserve">nti-colonialist, author of </w:t>
      </w:r>
      <w:r w:rsidRPr="00F5768A">
        <w:rPr>
          <w:rFonts w:ascii="Garamond" w:hAnsi="Garamond"/>
          <w:i/>
        </w:rPr>
        <w:t>We Slaves of Suriname</w:t>
      </w:r>
      <w:r w:rsidRPr="00F5768A">
        <w:rPr>
          <w:rFonts w:ascii="Garamond" w:hAnsi="Garamond"/>
        </w:rPr>
        <w:t>. In 1944 he was betrayed by the resistance movement and handed over to the SS. He died of tuberculosis in Auschwitz in 1945. His daughter, Judith de Kom worked with the BOA while singing and reciting poetry with Zapata in the 1970s. During the 1970s she was a dedicated antiracist campaigner.  Anton was 'rediscovered' by Dutch academics during this period.</w:t>
      </w:r>
    </w:p>
  </w:footnote>
  <w:footnote w:id="295">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Roeland Muskens has kindly provided permission for me to publicly disclose some private content exchanged through emails. His thesis on Dutch Anti-Apartheid 1960-90, due to be published in 2013, will present the following synopsis of the BOA: </w:t>
      </w:r>
      <w:r w:rsidRPr="00F5768A">
        <w:rPr>
          <w:rFonts w:ascii="Garamond" w:hAnsi="Garamond"/>
          <w:color w:val="000000"/>
        </w:rPr>
        <w:t>"The Outspan boycot is in my view the first big success of the (wider) movement. After 1978, BOA got marginalized and other organisations took over. I Interviewed Tjitte de Vries, one of the founders of BOA and Rob van der Aa (mainly on his poster: do not squeeze out an African). Esau (du Plessis) is still on my list".</w:t>
      </w:r>
    </w:p>
  </w:footnote>
  <w:footnote w:id="296">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Some of the arguments from this thesis have been published in blog format on my website, </w:t>
      </w:r>
      <w:r w:rsidRPr="00F5768A">
        <w:rPr>
          <w:rFonts w:ascii="Garamond" w:hAnsi="Garamond"/>
          <w:i/>
        </w:rPr>
        <w:t>Chomping at the bloodied bit</w:t>
      </w:r>
      <w:r w:rsidRPr="00F5768A">
        <w:rPr>
          <w:rFonts w:ascii="Garamond" w:hAnsi="Garamond"/>
        </w:rPr>
        <w:t xml:space="preserve"> during 2012 and 2013. Following the publication of these posts on the BOA, Muskens contacted me, and finally made contact with du Plessis. A core intention of the website, and this thesis, is to stimulate academic and activist interest in the BOA as an organization that contested multiple forms of racism. </w:t>
      </w:r>
    </w:p>
  </w:footnote>
  <w:footnote w:id="297">
    <w:p w:rsidR="002B3E92" w:rsidRPr="00DD5ACC" w:rsidRDefault="002B3E92" w:rsidP="00A371B8">
      <w:pPr>
        <w:pStyle w:val="FootnoteText"/>
        <w:rPr>
          <w:rFonts w:ascii="Garamond" w:hAnsi="Garamond"/>
        </w:rPr>
      </w:pPr>
      <w:r w:rsidRPr="00DD5ACC">
        <w:rPr>
          <w:rStyle w:val="FootnoteReference"/>
          <w:rFonts w:ascii="Garamond" w:hAnsi="Garamond"/>
        </w:rPr>
        <w:footnoteRef/>
      </w:r>
      <w:r w:rsidRPr="00DD5ACC">
        <w:rPr>
          <w:rFonts w:ascii="Garamond" w:hAnsi="Garamond"/>
        </w:rPr>
        <w:t>Marx had previously noted how 'pressure from without' had brought down Robert Peel's government. On the 4th December 1854 Marx wrote in the</w:t>
      </w:r>
      <w:r w:rsidRPr="00DD5ACC">
        <w:rPr>
          <w:rFonts w:ascii="Garamond" w:hAnsi="Garamond"/>
          <w:i/>
        </w:rPr>
        <w:t xml:space="preserve"> New York Daily Tribune</w:t>
      </w:r>
      <w:r w:rsidRPr="00DD5ACC">
        <w:rPr>
          <w:rFonts w:ascii="Garamond" w:hAnsi="Garamond"/>
        </w:rPr>
        <w:t>: "</w:t>
      </w:r>
      <w:r w:rsidRPr="00DD5ACC">
        <w:rPr>
          <w:rFonts w:ascii="Garamond" w:hAnsi="Garamond"/>
          <w:color w:val="000000"/>
          <w:shd w:val="clear" w:color="auto" w:fill="FFFFFF"/>
        </w:rPr>
        <w:t xml:space="preserve">Who repealed the Corn Laws? Assuredly not the voters who had elected a Protectionist Parliament, still less the Protectionist Parliament itself, but only and exclusively the pressure from without". See, </w:t>
      </w:r>
      <w:r w:rsidRPr="00DD5ACC">
        <w:rPr>
          <w:rFonts w:ascii="Garamond" w:hAnsi="Garamond"/>
        </w:rPr>
        <w:t>http://www.spartacus.schoolnet.co.uk/TUmarx.htm.</w:t>
      </w:r>
    </w:p>
  </w:footnote>
  <w:footnote w:id="298">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Death threats were received and in 1976 an attempt to end du Plessis' life failed (interview Veerman, 2011).</w:t>
      </w:r>
    </w:p>
  </w:footnote>
  <w:footnote w:id="299">
    <w:p w:rsidR="002B3E92" w:rsidRPr="00F5768A" w:rsidRDefault="002B3E92" w:rsidP="00A371B8">
      <w:pPr>
        <w:pStyle w:val="FootnoteText"/>
        <w:jc w:val="both"/>
        <w:rPr>
          <w:rFonts w:ascii="Garamond" w:hAnsi="Garamond"/>
        </w:rPr>
      </w:pPr>
      <w:r w:rsidRPr="00F5768A">
        <w:rPr>
          <w:rStyle w:val="FootnoteReference"/>
          <w:rFonts w:ascii="Garamond" w:hAnsi="Garamond"/>
        </w:rPr>
        <w:footnoteRef/>
      </w:r>
      <w:r w:rsidRPr="00F5768A">
        <w:rPr>
          <w:rFonts w:ascii="Garamond" w:hAnsi="Garamond"/>
        </w:rPr>
        <w:t xml:space="preserve"> However, the framework for SADET volume three on international solidarity movements is attuned to the nationalization of anti-apartheid activism. The chapters are split according to nations and regions.</w:t>
      </w:r>
    </w:p>
  </w:footnote>
  <w:footnote w:id="300">
    <w:p w:rsidR="002B3E92" w:rsidRPr="00DD5ACC" w:rsidRDefault="002B3E92" w:rsidP="00DD5ACC">
      <w:pPr>
        <w:autoSpaceDE w:val="0"/>
        <w:autoSpaceDN w:val="0"/>
        <w:adjustRightInd w:val="0"/>
        <w:spacing w:after="0" w:line="240" w:lineRule="auto"/>
        <w:jc w:val="both"/>
        <w:rPr>
          <w:rFonts w:ascii="Garamond" w:hAnsi="Garamond"/>
          <w:sz w:val="20"/>
          <w:szCs w:val="20"/>
        </w:rPr>
      </w:pPr>
      <w:r w:rsidRPr="00F5768A">
        <w:rPr>
          <w:rStyle w:val="FootnoteReference"/>
          <w:rFonts w:ascii="Garamond" w:hAnsi="Garamond"/>
          <w:sz w:val="20"/>
          <w:szCs w:val="20"/>
        </w:rPr>
        <w:footnoteRef/>
      </w:r>
      <w:r w:rsidRPr="00F5768A">
        <w:rPr>
          <w:rFonts w:ascii="Garamond" w:hAnsi="Garamond"/>
          <w:sz w:val="20"/>
          <w:szCs w:val="20"/>
        </w:rPr>
        <w:t xml:space="preserve"> In Genevieve Klein's (2001) MA thesis on Dutch anti-apartheid, Kenneth Grundy's (1974) article </w:t>
      </w:r>
      <w:r w:rsidRPr="00F5768A">
        <w:rPr>
          <w:rFonts w:ascii="Garamond" w:hAnsi="Garamond"/>
          <w:i/>
          <w:sz w:val="20"/>
          <w:szCs w:val="20"/>
        </w:rPr>
        <w:t xml:space="preserve">Dutch Policy toward South Africa </w:t>
      </w:r>
      <w:r w:rsidRPr="00F5768A">
        <w:rPr>
          <w:rFonts w:ascii="Garamond" w:hAnsi="Garamond"/>
          <w:sz w:val="20"/>
          <w:szCs w:val="20"/>
        </w:rPr>
        <w:t>is briefly considered with the introduction, "the interesting fact about this publication is that Grundy is an American, whereas most other works are written by either South Africans or the Dutch" (2001: 20).  Klein suggests that Grundy concludes his study with a sympathetic position towards Dutch relations with South Africa: "ending with the view that in the modern capitalist system Holland’s actions could not really have been otherwise" (ibid., 2001). But Grundy says more than this. The importance of Dutch policy is "symbolic and exemplary" (1974: 158), the Dutch are "predisposed not to abandon South Africa" (ibid., 159), in 1974 to attack South Africa was "stylish and accepted by middle ground...who in turn criticise apartheid on more moderate terms...they counsel patience, understanding and continued patience as if dialogue would somehow change things" (ibid. 159). Most importantly Grundy's conclusion expresses the view that "the 'blood ties' prevent a complete severance between South Africa and Holland. The result is that dialogue becomes the core</w:t>
      </w:r>
      <w:r>
        <w:rPr>
          <w:rFonts w:ascii="Garamond" w:hAnsi="Garamond"/>
          <w:sz w:val="20"/>
          <w:szCs w:val="20"/>
        </w:rPr>
        <w:t xml:space="preserve"> of Dutch policy" (ibid., 160).</w:t>
      </w:r>
    </w:p>
  </w:footnote>
  <w:footnote w:id="301">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This chapter evidences that the BOA were omitted from key Dutch anti-apartheid publications at the end of the  era. Their work did not appear on the extensive IISH web document on anti-apartheid until 2009. The organization's work is not archived in Holland. The bibliography</w:t>
      </w:r>
      <w:r>
        <w:rPr>
          <w:rFonts w:ascii="Garamond" w:hAnsi="Garamond"/>
        </w:rPr>
        <w:t xml:space="preserve"> of Dutch anti-apartheid by Erik van der Bergh published in 2000, published by the South African Embassy</w:t>
      </w:r>
      <w:r w:rsidRPr="00F5768A">
        <w:rPr>
          <w:rFonts w:ascii="Garamond" w:hAnsi="Garamond"/>
        </w:rPr>
        <w:t>.</w:t>
      </w:r>
    </w:p>
  </w:footnote>
  <w:footnote w:id="302">
    <w:p w:rsidR="002B3E92" w:rsidRPr="00DD5ACC" w:rsidRDefault="002B3E92" w:rsidP="00A371B8">
      <w:pPr>
        <w:pStyle w:val="FootnoteText"/>
        <w:rPr>
          <w:rFonts w:ascii="Garamond" w:hAnsi="Garamond"/>
        </w:rPr>
      </w:pPr>
      <w:r w:rsidRPr="00DD5ACC">
        <w:rPr>
          <w:rStyle w:val="FootnoteReference"/>
          <w:rFonts w:ascii="Garamond" w:hAnsi="Garamond"/>
        </w:rPr>
        <w:footnoteRef/>
      </w:r>
      <w:r w:rsidRPr="00DD5ACC">
        <w:rPr>
          <w:rFonts w:ascii="Garamond" w:hAnsi="Garamond"/>
        </w:rPr>
        <w:t>Page six of web-dossier, http://socialhistory.org/sites/default/files/docs/collections/open-letter-esau.pdf [Last accessed 18/10/2013]</w:t>
      </w:r>
    </w:p>
  </w:footnote>
  <w:footnote w:id="303">
    <w:p w:rsidR="002B3E92" w:rsidRPr="00F5768A" w:rsidRDefault="002B3E92" w:rsidP="00A371B8">
      <w:pPr>
        <w:pStyle w:val="FootnoteText"/>
        <w:rPr>
          <w:rFonts w:ascii="Garamond" w:hAnsi="Garamond"/>
        </w:rPr>
      </w:pPr>
      <w:r w:rsidRPr="00F5768A">
        <w:rPr>
          <w:rStyle w:val="FootnoteReference"/>
          <w:rFonts w:ascii="Garamond" w:hAnsi="Garamond"/>
        </w:rPr>
        <w:footnoteRef/>
      </w:r>
      <w:r w:rsidRPr="00F5768A">
        <w:rPr>
          <w:rFonts w:ascii="Garamond" w:hAnsi="Garamond"/>
        </w:rPr>
        <w:t xml:space="preserve"> The limitations to my largely ethnographic dialogic approach to the BOA are hinted at here. The splinter group were unknown to me until October 2013. Other details of note include an attack on the BOA in </w:t>
      </w:r>
    </w:p>
  </w:footnote>
  <w:footnote w:id="304">
    <w:p w:rsidR="002B3E92" w:rsidRPr="00F5768A" w:rsidRDefault="002B3E92" w:rsidP="00A371B8">
      <w:pPr>
        <w:pStyle w:val="FootnoteText"/>
        <w:rPr>
          <w:rFonts w:ascii="Garamond" w:hAnsi="Garamond"/>
        </w:rPr>
      </w:pPr>
      <w:r w:rsidRPr="00F5768A">
        <w:rPr>
          <w:rStyle w:val="FootnoteReference"/>
          <w:rFonts w:ascii="Garamond" w:hAnsi="Garamond"/>
        </w:rPr>
        <w:footnoteRef/>
      </w:r>
      <w:r>
        <w:rPr>
          <w:rFonts w:ascii="Garamond" w:hAnsi="Garamond"/>
        </w:rPr>
        <w:t xml:space="preserve"> Translated from Dutch.</w:t>
      </w:r>
    </w:p>
  </w:footnote>
  <w:footnote w:id="305">
    <w:p w:rsidR="002B3E92" w:rsidRPr="004B03BB" w:rsidRDefault="002B3E92" w:rsidP="008A2663">
      <w:pPr>
        <w:pStyle w:val="FootnoteText"/>
        <w:rPr>
          <w:rFonts w:ascii="Garamond" w:hAnsi="Garamond"/>
        </w:rPr>
      </w:pPr>
      <w:r w:rsidRPr="004B03BB">
        <w:rPr>
          <w:rStyle w:val="FootnoteReference"/>
          <w:rFonts w:ascii="Garamond" w:hAnsi="Garamond"/>
        </w:rPr>
        <w:footnoteRef/>
      </w:r>
      <w:r w:rsidRPr="004B03BB">
        <w:rPr>
          <w:rFonts w:ascii="Garamond" w:hAnsi="Garamond"/>
        </w:rPr>
        <w:t>I</w:t>
      </w:r>
      <w:r>
        <w:rPr>
          <w:rFonts w:ascii="Garamond" w:hAnsi="Garamond"/>
        </w:rPr>
        <w:t>n chapter one I</w:t>
      </w:r>
      <w:r w:rsidRPr="004B03BB">
        <w:rPr>
          <w:rFonts w:ascii="Garamond" w:hAnsi="Garamond"/>
        </w:rPr>
        <w:t xml:space="preserve"> define</w:t>
      </w:r>
      <w:r>
        <w:rPr>
          <w:rFonts w:ascii="Garamond" w:hAnsi="Garamond"/>
        </w:rPr>
        <w:t>d</w:t>
      </w:r>
      <w:r w:rsidRPr="004B03BB">
        <w:rPr>
          <w:rFonts w:ascii="Garamond" w:hAnsi="Garamond"/>
        </w:rPr>
        <w:t xml:space="preserve"> commodity boycott organizations as groups </w:t>
      </w:r>
      <w:r w:rsidRPr="004B03BB">
        <w:rPr>
          <w:rFonts w:ascii="Garamond" w:hAnsi="Garamond"/>
          <w:i/>
        </w:rPr>
        <w:t xml:space="preserve">which </w:t>
      </w:r>
      <w:r w:rsidRPr="004B03BB">
        <w:rPr>
          <w:rFonts w:ascii="Garamond" w:eastAsia="Times New Roman" w:hAnsi="Garamond"/>
          <w:i/>
          <w:color w:val="000000"/>
          <w:lang w:val="en-US"/>
        </w:rPr>
        <w:t>withdraw or divert from, persuade others to withdraw or divert from, or threaten to withdraw or divert from the purchasing of, or into, singular or sets of commodities, services or workplaces offered for sale or loan by retailers, companies or states</w:t>
      </w:r>
      <w:r>
        <w:rPr>
          <w:rFonts w:ascii="Garamond" w:eastAsia="Times New Roman" w:hAnsi="Garamond"/>
          <w:color w:val="000000"/>
          <w:lang w:val="en-US"/>
        </w:rPr>
        <w:t>.</w:t>
      </w:r>
    </w:p>
  </w:footnote>
  <w:footnote w:id="306">
    <w:p w:rsidR="002B3E92" w:rsidRPr="00A22168" w:rsidRDefault="002B3E92" w:rsidP="008A2663">
      <w:pPr>
        <w:pStyle w:val="clearformatting"/>
        <w:rPr>
          <w:sz w:val="20"/>
          <w:szCs w:val="20"/>
        </w:rPr>
      </w:pPr>
      <w:r w:rsidRPr="00A22168">
        <w:rPr>
          <w:rStyle w:val="FootnoteReference"/>
          <w:sz w:val="20"/>
          <w:szCs w:val="20"/>
        </w:rPr>
        <w:footnoteRef/>
      </w:r>
      <w:r w:rsidRPr="00A22168">
        <w:rPr>
          <w:sz w:val="20"/>
          <w:szCs w:val="20"/>
        </w:rPr>
        <w:t xml:space="preserve"> </w:t>
      </w:r>
      <w:r w:rsidRPr="008A2663">
        <w:rPr>
          <w:rStyle w:val="Subtitle1"/>
          <w:rFonts w:cs="Arial"/>
          <w:bCs/>
          <w:i/>
          <w:sz w:val="20"/>
        </w:rPr>
        <w:t>Jaffa, The Orange's Clockwork</w:t>
      </w:r>
      <w:r w:rsidRPr="008A2663">
        <w:rPr>
          <w:rStyle w:val="Subtitle1"/>
          <w:rFonts w:cs="Arial"/>
          <w:bCs/>
          <w:sz w:val="20"/>
        </w:rPr>
        <w:t xml:space="preserve"> (2010) Eyal Sivan. Momento Films.</w:t>
      </w:r>
    </w:p>
    <w:p w:rsidR="002B3E92" w:rsidRDefault="002B3E92" w:rsidP="008A2663">
      <w:pPr>
        <w:pStyle w:val="FootnoteText"/>
      </w:pPr>
    </w:p>
  </w:footnote>
  <w:footnote w:id="307">
    <w:p w:rsidR="002B3E92" w:rsidRPr="00395033" w:rsidRDefault="002B3E92" w:rsidP="008A2663">
      <w:pPr>
        <w:spacing w:after="0" w:line="240" w:lineRule="auto"/>
        <w:jc w:val="both"/>
        <w:rPr>
          <w:rFonts w:ascii="Garamond" w:hAnsi="Garamond"/>
          <w:sz w:val="20"/>
          <w:szCs w:val="20"/>
        </w:rPr>
      </w:pPr>
      <w:r w:rsidRPr="00CD54A0">
        <w:rPr>
          <w:rStyle w:val="FootnoteReference"/>
          <w:rFonts w:ascii="Garamond" w:hAnsi="Garamond"/>
          <w:sz w:val="20"/>
          <w:szCs w:val="20"/>
        </w:rPr>
        <w:footnoteRef/>
      </w:r>
      <w:r w:rsidRPr="00CD54A0">
        <w:rPr>
          <w:rFonts w:ascii="Garamond" w:hAnsi="Garamond"/>
          <w:sz w:val="20"/>
          <w:szCs w:val="20"/>
        </w:rPr>
        <w:t xml:space="preserve"> For example </w:t>
      </w:r>
      <w:r>
        <w:rPr>
          <w:rFonts w:ascii="Garamond" w:hAnsi="Garamond"/>
          <w:sz w:val="20"/>
          <w:szCs w:val="20"/>
        </w:rPr>
        <w:t>Birmingham Society's Free P</w:t>
      </w:r>
      <w:r w:rsidRPr="00CD54A0">
        <w:rPr>
          <w:rFonts w:ascii="Garamond" w:hAnsi="Garamond"/>
          <w:sz w:val="20"/>
          <w:szCs w:val="20"/>
        </w:rPr>
        <w:t xml:space="preserve">roduce movement in the 1820s connected the moral purity of sugar produced by free labour from the East Indies with perceived feminine </w:t>
      </w:r>
      <w:r>
        <w:rPr>
          <w:rFonts w:ascii="Garamond" w:hAnsi="Garamond"/>
          <w:sz w:val="20"/>
          <w:szCs w:val="20"/>
        </w:rPr>
        <w:t>sensibilities</w:t>
      </w:r>
      <w:r w:rsidRPr="00CD54A0">
        <w:rPr>
          <w:rFonts w:ascii="Garamond" w:hAnsi="Garamond"/>
          <w:sz w:val="20"/>
          <w:szCs w:val="20"/>
        </w:rPr>
        <w:t xml:space="preserve"> of sweetness and purity (Midgley, 1996</w:t>
      </w:r>
      <w:r>
        <w:rPr>
          <w:rFonts w:ascii="Garamond" w:hAnsi="Garamond"/>
          <w:sz w:val="20"/>
          <w:szCs w:val="20"/>
        </w:rPr>
        <w:t xml:space="preserve">). This extends to other commodities: the </w:t>
      </w:r>
      <w:r w:rsidRPr="00CD54A0">
        <w:rPr>
          <w:rFonts w:ascii="Garamond" w:hAnsi="Garamond"/>
          <w:sz w:val="20"/>
          <w:szCs w:val="20"/>
        </w:rPr>
        <w:t>S</w:t>
      </w:r>
      <w:r>
        <w:rPr>
          <w:rFonts w:ascii="Garamond" w:hAnsi="Garamond"/>
          <w:sz w:val="20"/>
          <w:szCs w:val="20"/>
        </w:rPr>
        <w:t>wadeshi valorization of homespun</w:t>
      </w:r>
      <w:r w:rsidRPr="00CD54A0">
        <w:rPr>
          <w:rFonts w:ascii="Garamond" w:hAnsi="Garamond"/>
          <w:sz w:val="20"/>
          <w:szCs w:val="20"/>
        </w:rPr>
        <w:t xml:space="preserve"> </w:t>
      </w:r>
      <w:r>
        <w:rPr>
          <w:rFonts w:ascii="Garamond" w:hAnsi="Garamond"/>
          <w:sz w:val="20"/>
          <w:szCs w:val="20"/>
        </w:rPr>
        <w:t>kadi (</w:t>
      </w:r>
      <w:r w:rsidRPr="00CD54A0">
        <w:rPr>
          <w:rFonts w:ascii="Garamond" w:hAnsi="Garamond"/>
          <w:sz w:val="20"/>
          <w:szCs w:val="20"/>
        </w:rPr>
        <w:t>cloth</w:t>
      </w:r>
      <w:r>
        <w:rPr>
          <w:rFonts w:ascii="Garamond" w:hAnsi="Garamond"/>
          <w:sz w:val="20"/>
          <w:szCs w:val="20"/>
        </w:rPr>
        <w:t>)</w:t>
      </w:r>
      <w:r w:rsidRPr="00CD54A0">
        <w:rPr>
          <w:rFonts w:ascii="Garamond" w:hAnsi="Garamond"/>
          <w:sz w:val="20"/>
          <w:szCs w:val="20"/>
        </w:rPr>
        <w:t xml:space="preserve"> as</w:t>
      </w:r>
      <w:r>
        <w:rPr>
          <w:rFonts w:ascii="Garamond" w:hAnsi="Garamond"/>
          <w:sz w:val="20"/>
          <w:szCs w:val="20"/>
        </w:rPr>
        <w:t xml:space="preserve"> good quality was tied to its power to embody organic unity, purity, and authenticity </w:t>
      </w:r>
      <w:r w:rsidRPr="00CD54A0">
        <w:rPr>
          <w:rFonts w:ascii="Garamond" w:hAnsi="Garamond"/>
          <w:sz w:val="20"/>
          <w:szCs w:val="20"/>
        </w:rPr>
        <w:t xml:space="preserve">at the </w:t>
      </w:r>
      <w:r>
        <w:rPr>
          <w:rFonts w:ascii="Garamond" w:hAnsi="Garamond"/>
          <w:sz w:val="20"/>
          <w:szCs w:val="20"/>
        </w:rPr>
        <w:t>start of the twentieth century.</w:t>
      </w:r>
    </w:p>
  </w:footnote>
  <w:footnote w:id="308">
    <w:p w:rsidR="002B3E92" w:rsidRPr="00882047" w:rsidRDefault="002B3E92" w:rsidP="008A2663">
      <w:pPr>
        <w:pStyle w:val="FootnoteText"/>
        <w:rPr>
          <w:rFonts w:ascii="Garamond" w:hAnsi="Garamond"/>
        </w:rPr>
      </w:pPr>
      <w:r w:rsidRPr="00882047">
        <w:rPr>
          <w:rStyle w:val="FootnoteReference"/>
          <w:rFonts w:ascii="Garamond" w:hAnsi="Garamond"/>
        </w:rPr>
        <w:footnoteRef/>
      </w:r>
      <w:r w:rsidRPr="00882047">
        <w:rPr>
          <w:rFonts w:ascii="Garamond" w:hAnsi="Garamond"/>
        </w:rPr>
        <w:t xml:space="preserve"> </w:t>
      </w:r>
      <w:r w:rsidRPr="00882047">
        <w:rPr>
          <w:rFonts w:ascii="Garamond" w:hAnsi="Garamond" w:cs="Arial"/>
          <w:shd w:val="clear" w:color="auto" w:fill="FFFFFF"/>
        </w:rPr>
        <w:t xml:space="preserve">In 2005, Palestinian civil society issued a call for a campaign of boycotts, divestment and sanctions (BDS) against Israel. </w:t>
      </w:r>
      <w:hyperlink r:id="rId2" w:history="1">
        <w:r w:rsidRPr="00882047">
          <w:rPr>
            <w:rStyle w:val="Hyperlink"/>
            <w:rFonts w:ascii="Garamond" w:hAnsi="Garamond"/>
            <w:color w:val="auto"/>
          </w:rPr>
          <w:t>http://www.bdsmovement.net/</w:t>
        </w:r>
      </w:hyperlink>
      <w:r w:rsidRPr="00882047">
        <w:rPr>
          <w:rFonts w:ascii="Garamond" w:hAnsi="Garamond"/>
        </w:rPr>
        <w:t xml:space="preserve"> [Last accessed 13/7/2013]</w:t>
      </w:r>
    </w:p>
  </w:footnote>
  <w:footnote w:id="309">
    <w:p w:rsidR="002B3E92" w:rsidRPr="00E02CAD" w:rsidRDefault="002B3E92" w:rsidP="008A2663">
      <w:pPr>
        <w:pStyle w:val="FootnoteText"/>
        <w:rPr>
          <w:rFonts w:ascii="Garamond" w:hAnsi="Garamond"/>
        </w:rPr>
      </w:pPr>
      <w:r w:rsidRPr="00E02CAD">
        <w:rPr>
          <w:rStyle w:val="FootnoteReference"/>
          <w:rFonts w:ascii="Garamond" w:hAnsi="Garamond"/>
        </w:rPr>
        <w:footnoteRef/>
      </w:r>
      <w:r w:rsidRPr="00E02CAD">
        <w:rPr>
          <w:rFonts w:ascii="Garamond" w:hAnsi="Garamond"/>
        </w:rPr>
        <w:t xml:space="preserve"> </w:t>
      </w:r>
      <w:hyperlink r:id="rId3" w:history="1">
        <w:r w:rsidRPr="00E02CAD">
          <w:rPr>
            <w:rStyle w:val="Hyperlink"/>
            <w:rFonts w:ascii="Garamond" w:hAnsi="Garamond"/>
            <w:color w:val="auto"/>
          </w:rPr>
          <w:t>http://www.samkinsley.com/2013/07/17/annemarie-mol-cultivating-bodies/</w:t>
        </w:r>
      </w:hyperlink>
      <w:r w:rsidRPr="00E02CAD">
        <w:rPr>
          <w:rFonts w:ascii="Garamond" w:hAnsi="Garamond"/>
        </w:rPr>
        <w:t xml:space="preserve"> [Last accessed 20/10/2013]</w:t>
      </w:r>
      <w:r>
        <w:rPr>
          <w:rFonts w:ascii="Garamond" w:hAnsi="Garamond"/>
        </w:rPr>
        <w:t>.</w:t>
      </w:r>
    </w:p>
  </w:footnote>
  <w:footnote w:id="310">
    <w:p w:rsidR="002B3E92" w:rsidRPr="00E670BD" w:rsidRDefault="002B3E92" w:rsidP="008A2663">
      <w:pPr>
        <w:pStyle w:val="FootnoteText"/>
        <w:rPr>
          <w:rFonts w:ascii="Garamond" w:hAnsi="Garamond"/>
        </w:rPr>
      </w:pPr>
      <w:r w:rsidRPr="00E670BD">
        <w:rPr>
          <w:rStyle w:val="FootnoteReference"/>
          <w:rFonts w:ascii="Garamond" w:hAnsi="Garamond"/>
        </w:rPr>
        <w:footnoteRef/>
      </w:r>
      <w:r w:rsidRPr="00E670BD">
        <w:rPr>
          <w:rFonts w:ascii="Garamond" w:hAnsi="Garamond"/>
        </w:rPr>
        <w:t xml:space="preserve"> Mediaries can “make new ‘wes’ and </w:t>
      </w:r>
      <w:r>
        <w:rPr>
          <w:rFonts w:ascii="Garamond" w:hAnsi="Garamond"/>
        </w:rPr>
        <w:t>‘it</w:t>
      </w:r>
      <w:r w:rsidRPr="00E670BD">
        <w:rPr>
          <w:rFonts w:ascii="Garamond" w:hAnsi="Garamond"/>
        </w:rPr>
        <w:t>s</w:t>
      </w:r>
      <w:r>
        <w:rPr>
          <w:rFonts w:ascii="Garamond" w:hAnsi="Garamond"/>
        </w:rPr>
        <w:t>’</w:t>
      </w:r>
      <w:r w:rsidRPr="00E670BD">
        <w:rPr>
          <w:rFonts w:ascii="Garamond" w:hAnsi="Garamond"/>
        </w:rPr>
        <w:t>...and unexpected connections as they produce new means of holding things together, connections which not only code but also produce wonder and enchantment</w:t>
      </w:r>
      <w:r>
        <w:rPr>
          <w:rFonts w:ascii="Garamond" w:hAnsi="Garamond"/>
        </w:rPr>
        <w:t>…</w:t>
      </w:r>
      <w:r w:rsidRPr="00E670BD">
        <w:rPr>
          <w:rFonts w:ascii="Garamond" w:hAnsi="Garamond"/>
        </w:rPr>
        <w:t>and set off all kinds of bodily reactions, some explicit, some veiled” (Thrift, 2003: 9).</w:t>
      </w:r>
    </w:p>
  </w:footnote>
  <w:footnote w:id="311">
    <w:p w:rsidR="002B3E92" w:rsidRPr="00E670BD" w:rsidRDefault="002B3E92" w:rsidP="008A2663">
      <w:pPr>
        <w:pStyle w:val="FootnoteText"/>
        <w:rPr>
          <w:rFonts w:ascii="Garamond" w:hAnsi="Garamond"/>
        </w:rPr>
      </w:pPr>
      <w:r w:rsidRPr="00E670BD">
        <w:rPr>
          <w:rStyle w:val="FootnoteReference"/>
          <w:rFonts w:ascii="Garamond" w:hAnsi="Garamond"/>
        </w:rPr>
        <w:footnoteRef/>
      </w:r>
      <w:r w:rsidRPr="00E670BD">
        <w:rPr>
          <w:rFonts w:ascii="Garamond" w:hAnsi="Garamond"/>
        </w:rPr>
        <w:t xml:space="preserve"> Following Morton (2000), Sheller (2002) and Shreck (2007), I take a politics of radical food to mean the contestation of social hegemonies through particular types of food consumption </w:t>
      </w:r>
    </w:p>
  </w:footnote>
  <w:footnote w:id="312">
    <w:p w:rsidR="002B3E92" w:rsidRDefault="002B3E92" w:rsidP="008A2663">
      <w:pPr>
        <w:pStyle w:val="FootnoteText"/>
      </w:pPr>
      <w:r w:rsidRPr="00E670BD">
        <w:rPr>
          <w:rStyle w:val="FootnoteReference"/>
          <w:rFonts w:ascii="Garamond" w:hAnsi="Garamond"/>
        </w:rPr>
        <w:footnoteRef/>
      </w:r>
      <w:r w:rsidRPr="00E670BD">
        <w:rPr>
          <w:rFonts w:ascii="Garamond" w:hAnsi="Garamond"/>
        </w:rPr>
        <w:t xml:space="preserve"> Morton (2000) situates the blood-sugar topos at the intersection of Romanticism and radical food</w:t>
      </w:r>
      <w:r>
        <w:t>.</w:t>
      </w:r>
    </w:p>
  </w:footnote>
  <w:footnote w:id="313">
    <w:p w:rsidR="002B3E92" w:rsidRDefault="002B3E92" w:rsidP="008A2663">
      <w:pPr>
        <w:pStyle w:val="FootnoteText"/>
      </w:pPr>
      <w:r w:rsidRPr="0037001D">
        <w:rPr>
          <w:rStyle w:val="FootnoteReference"/>
          <w:rFonts w:ascii="Garamond" w:hAnsi="Garamond"/>
        </w:rPr>
        <w:footnoteRef/>
      </w:r>
      <w:r w:rsidRPr="0037001D">
        <w:rPr>
          <w:rFonts w:ascii="Garamond" w:hAnsi="Garamond"/>
        </w:rPr>
        <w:t xml:space="preserve"> In similarity to the work of branders, boycotters seek to fix</w:t>
      </w:r>
      <w:r w:rsidRPr="0037001D">
        <w:rPr>
          <w:rFonts w:ascii="Garamond" w:hAnsi="Garamond" w:cs="Times New Roman"/>
        </w:rPr>
        <w:t xml:space="preserve"> cultural meanings around consumption</w:t>
      </w:r>
      <w:r>
        <w:rPr>
          <w:rFonts w:ascii="Garamond" w:hAnsi="Garamond" w:cs="Times New Roman"/>
        </w:rPr>
        <w:t xml:space="preserve"> in a world  increasing shaped by flexibility and flux (see Hearn, 2008).</w:t>
      </w:r>
    </w:p>
  </w:footnote>
  <w:footnote w:id="314">
    <w:p w:rsidR="002B3E92" w:rsidRPr="003E7FFE" w:rsidRDefault="002B3E92" w:rsidP="008A2663">
      <w:pPr>
        <w:pStyle w:val="FootnoteText"/>
        <w:jc w:val="both"/>
        <w:rPr>
          <w:rFonts w:ascii="Garamond" w:hAnsi="Garamond"/>
        </w:rPr>
      </w:pPr>
      <w:r w:rsidRPr="003E7FFE">
        <w:rPr>
          <w:rStyle w:val="FootnoteReference"/>
          <w:rFonts w:ascii="Garamond" w:hAnsi="Garamond"/>
        </w:rPr>
        <w:footnoteRef/>
      </w:r>
      <w:r w:rsidRPr="003E7FFE">
        <w:rPr>
          <w:rFonts w:ascii="Garamond" w:hAnsi="Garamond"/>
        </w:rPr>
        <w:t xml:space="preserve"> </w:t>
      </w:r>
      <w:r>
        <w:rPr>
          <w:rFonts w:ascii="Garamond" w:hAnsi="Garamond"/>
        </w:rPr>
        <w:t xml:space="preserve">As Serres (2008) shows across </w:t>
      </w:r>
      <w:r>
        <w:rPr>
          <w:rFonts w:ascii="Garamond" w:hAnsi="Garamond"/>
          <w:i/>
        </w:rPr>
        <w:t xml:space="preserve">The Five Senses, </w:t>
      </w:r>
      <w:r>
        <w:rPr>
          <w:rFonts w:ascii="Garamond" w:hAnsi="Garamond"/>
        </w:rPr>
        <w:t>e</w:t>
      </w:r>
      <w:r w:rsidRPr="003E7FFE">
        <w:rPr>
          <w:rFonts w:ascii="Garamond" w:hAnsi="Garamond"/>
        </w:rPr>
        <w:t xml:space="preserve">mpiricists </w:t>
      </w:r>
      <w:r>
        <w:rPr>
          <w:rFonts w:ascii="Garamond" w:hAnsi="Garamond"/>
        </w:rPr>
        <w:t xml:space="preserve">broadly derive knowledge </w:t>
      </w:r>
      <w:r w:rsidRPr="003E7FFE">
        <w:rPr>
          <w:rFonts w:ascii="Garamond" w:hAnsi="Garamond"/>
        </w:rPr>
        <w:t>from sensory experiences with the world.</w:t>
      </w:r>
      <w:r>
        <w:rPr>
          <w:rFonts w:ascii="Garamond" w:hAnsi="Garamond"/>
        </w:rPr>
        <w:t xml:space="preserve"> The last decade has witnessed a proliferation of affective and emotional empirical data in cultural geography research.  A 2011 workshop held by the RGS </w:t>
      </w:r>
      <w:r>
        <w:rPr>
          <w:rFonts w:ascii="Garamond" w:hAnsi="Garamond"/>
          <w:i/>
        </w:rPr>
        <w:t>Social &amp; Cultural</w:t>
      </w:r>
      <w:r w:rsidRPr="00334483">
        <w:rPr>
          <w:rFonts w:ascii="Garamond" w:hAnsi="Garamond"/>
          <w:i/>
        </w:rPr>
        <w:t xml:space="preserve"> Geography Research Group</w:t>
      </w:r>
      <w:r>
        <w:rPr>
          <w:rFonts w:ascii="Garamond" w:hAnsi="Garamond"/>
        </w:rPr>
        <w:t xml:space="preserve"> suggested that sensory data constituted the 'new empirics' of cultural geography research. See </w:t>
      </w:r>
      <w:r w:rsidRPr="00F51419">
        <w:rPr>
          <w:rFonts w:ascii="Garamond" w:hAnsi="Garamond"/>
        </w:rPr>
        <w:t>http://www.scgrg.org/geography-and-the-new-empirics/</w:t>
      </w:r>
      <w:r>
        <w:rPr>
          <w:rFonts w:ascii="Garamond" w:hAnsi="Garamond"/>
        </w:rPr>
        <w:t xml:space="preserve"> [Last accessed 23/7/13]. </w:t>
      </w:r>
    </w:p>
  </w:footnote>
  <w:footnote w:id="315">
    <w:p w:rsidR="002B3E92" w:rsidRPr="00670DCD" w:rsidRDefault="002B3E92" w:rsidP="008A2663">
      <w:pPr>
        <w:pStyle w:val="FootnoteText"/>
        <w:rPr>
          <w:rFonts w:ascii="Garamond" w:hAnsi="Garamond"/>
        </w:rPr>
      </w:pPr>
      <w:r w:rsidRPr="00670DCD">
        <w:rPr>
          <w:rStyle w:val="FootnoteReference"/>
          <w:rFonts w:ascii="Garamond" w:hAnsi="Garamond"/>
        </w:rPr>
        <w:footnoteRef/>
      </w:r>
      <w:r w:rsidRPr="00670DCD">
        <w:rPr>
          <w:rFonts w:ascii="Garamond" w:hAnsi="Garamond"/>
        </w:rPr>
        <w:t xml:space="preserve"> See </w:t>
      </w:r>
      <w:r>
        <w:rPr>
          <w:rFonts w:ascii="Garamond" w:hAnsi="Garamond" w:cs="Times New Roman"/>
        </w:rPr>
        <w:t>Goodwin et. al (2001) and</w:t>
      </w:r>
      <w:r w:rsidRPr="00670DCD">
        <w:rPr>
          <w:rFonts w:ascii="Garamond" w:hAnsi="Garamond" w:cs="Times New Roman"/>
        </w:rPr>
        <w:t xml:space="preserve"> </w:t>
      </w:r>
      <w:r>
        <w:rPr>
          <w:rFonts w:ascii="Garamond" w:hAnsi="Garamond" w:cs="Times New Roman"/>
        </w:rPr>
        <w:t>Flam &amp; King (2005) for empirical and theoretical accounts of the 'emotional turn' in social movements. Gregory-Smith's (2012) PhD thesis on the use of self-reflexive emotions in ethical consumption delineates types of pride, shame and guilt (reactive, existential, social, private, religious) felt by consumers and encouraged through ethical consumption marketing campaigns.</w:t>
      </w:r>
    </w:p>
  </w:footnote>
  <w:footnote w:id="316">
    <w:p w:rsidR="002B3E92" w:rsidRPr="00CB403B" w:rsidRDefault="002B3E92" w:rsidP="008A2663">
      <w:pPr>
        <w:pStyle w:val="FootnoteText"/>
        <w:rPr>
          <w:rFonts w:ascii="Garamond" w:hAnsi="Garamond"/>
        </w:rPr>
      </w:pPr>
      <w:r w:rsidRPr="00CB403B">
        <w:rPr>
          <w:rStyle w:val="FootnoteReference"/>
          <w:rFonts w:ascii="Garamond" w:hAnsi="Garamond"/>
        </w:rPr>
        <w:footnoteRef/>
      </w:r>
      <w:r>
        <w:rPr>
          <w:rFonts w:ascii="Garamond" w:hAnsi="Garamond"/>
        </w:rPr>
        <w:t xml:space="preserve"> The aesthetics of g</w:t>
      </w:r>
      <w:r w:rsidRPr="00CB403B">
        <w:rPr>
          <w:rFonts w:ascii="Garamond" w:hAnsi="Garamond"/>
        </w:rPr>
        <w:t>lamour, according to Thrift is the dominant affective field through which 'capitalism captivates'</w:t>
      </w:r>
      <w:r>
        <w:rPr>
          <w:rFonts w:ascii="Garamond" w:hAnsi="Garamond"/>
        </w:rPr>
        <w:t>;</w:t>
      </w:r>
      <w:r w:rsidRPr="00CB403B">
        <w:rPr>
          <w:rFonts w:ascii="Garamond" w:hAnsi="Garamond"/>
        </w:rPr>
        <w:t xml:space="preserve"> a "form of secular magic, conjured up by the commercial sphere" (2010:</w:t>
      </w:r>
      <w:r>
        <w:rPr>
          <w:rFonts w:ascii="Garamond" w:hAnsi="Garamond"/>
        </w:rPr>
        <w:t xml:space="preserve"> 297). For </w:t>
      </w:r>
      <w:r w:rsidRPr="00CB403B">
        <w:rPr>
          <w:rFonts w:ascii="Garamond" w:hAnsi="Garamond"/>
        </w:rPr>
        <w:t xml:space="preserve">Thrift </w:t>
      </w:r>
      <w:r>
        <w:rPr>
          <w:rFonts w:ascii="Garamond" w:hAnsi="Garamond"/>
        </w:rPr>
        <w:t>the aesthetics of glamour are composed of three tenets;</w:t>
      </w:r>
      <w:r w:rsidRPr="00CB403B">
        <w:rPr>
          <w:rFonts w:ascii="Garamond" w:hAnsi="Garamond"/>
        </w:rPr>
        <w:t xml:space="preserve"> the displacement of emotio</w:t>
      </w:r>
      <w:r>
        <w:rPr>
          <w:rFonts w:ascii="Garamond" w:hAnsi="Garamond"/>
        </w:rPr>
        <w:t xml:space="preserve">ns or identities onto an object, </w:t>
      </w:r>
      <w:r w:rsidRPr="00CB403B">
        <w:rPr>
          <w:rFonts w:ascii="Garamond" w:hAnsi="Garamond"/>
        </w:rPr>
        <w:t>the creation of multiple selves</w:t>
      </w:r>
      <w:r>
        <w:rPr>
          <w:rFonts w:ascii="Garamond" w:hAnsi="Garamond"/>
        </w:rPr>
        <w:t xml:space="preserve"> through an object, and the cal</w:t>
      </w:r>
      <w:r w:rsidRPr="00CB403B">
        <w:rPr>
          <w:rFonts w:ascii="Garamond" w:hAnsi="Garamond"/>
        </w:rPr>
        <w:t xml:space="preserve">culated generation of a "willing acceptance of manipulation through fake feeling" (ibid.:299).  </w:t>
      </w:r>
    </w:p>
  </w:footnote>
  <w:footnote w:id="317">
    <w:p w:rsidR="002B3E92" w:rsidRPr="00262CC7" w:rsidRDefault="002B3E92" w:rsidP="008A2663">
      <w:pPr>
        <w:pStyle w:val="FootnoteText"/>
        <w:jc w:val="both"/>
        <w:rPr>
          <w:rFonts w:ascii="Garamond" w:hAnsi="Garamond"/>
        </w:rPr>
      </w:pPr>
      <w:r w:rsidRPr="00262CC7">
        <w:rPr>
          <w:rStyle w:val="FootnoteReference"/>
          <w:rFonts w:ascii="Garamond" w:hAnsi="Garamond"/>
        </w:rPr>
        <w:footnoteRef/>
      </w:r>
      <w:r>
        <w:rPr>
          <w:rFonts w:ascii="Garamond" w:hAnsi="Garamond"/>
        </w:rPr>
        <w:t xml:space="preserve"> For anthropologist</w:t>
      </w:r>
      <w:r w:rsidRPr="00262CC7">
        <w:rPr>
          <w:rFonts w:ascii="Garamond" w:hAnsi="Garamond"/>
        </w:rPr>
        <w:t xml:space="preserve"> Arjun Appadurai, "perspectival constructs" (1990: 327) around images, people, ideas, money and machinery form the building blocks of the imagined worlds required for contemporary societies to function. </w:t>
      </w:r>
      <w:r>
        <w:rPr>
          <w:rFonts w:ascii="Garamond" w:hAnsi="Garamond"/>
        </w:rPr>
        <w:t>Here I propose that perspectival constructs are held in tension with processes of creative destruction. Marshall Berman writes that capitalism is a cyclical process of destruction and renewal:</w:t>
      </w:r>
      <w:r w:rsidRPr="00262CC7">
        <w:rPr>
          <w:rFonts w:ascii="Garamond" w:hAnsi="Garamond"/>
        </w:rPr>
        <w:t xml:space="preserve"> </w:t>
      </w:r>
      <w:r w:rsidRPr="00262CC7">
        <w:rPr>
          <w:rStyle w:val="apple-converted-space"/>
          <w:rFonts w:ascii="Garamond" w:hAnsi="Garamond" w:cs="Arial"/>
          <w:color w:val="000000"/>
          <w:shd w:val="clear" w:color="auto" w:fill="FFFFFF"/>
        </w:rPr>
        <w:t> </w:t>
      </w:r>
      <w:r w:rsidRPr="00262CC7">
        <w:rPr>
          <w:rFonts w:ascii="Garamond" w:hAnsi="Garamond" w:cs="Arial"/>
          <w:color w:val="000000"/>
          <w:shd w:val="clear" w:color="auto" w:fill="FFFFFF"/>
        </w:rPr>
        <w:t>"All that is solid" — from the clothes on our backs to the looms and mills that weave them, to the men and women who work the machines, to the houses and neighborhoods the workers live in, to the firms and corporations that exploit the workers, to the towns and cities and whole regions and even nations that embrace them all — all these are made to be broken tomorrow, smashed or shredded or pulverized or dissolved, so they can be recycled or replaced next week, and the whole process can go on again and again, hopefully forever, in ever more profitable forms</w:t>
      </w:r>
      <w:r>
        <w:rPr>
          <w:rFonts w:ascii="Garamond" w:hAnsi="Garamond" w:cs="Arial"/>
          <w:color w:val="000000"/>
          <w:shd w:val="clear" w:color="auto" w:fill="FFFFFF"/>
        </w:rPr>
        <w:t>" (Berman, 1987: 99). Berman describes the process of capitalist production; boycott movements, as I have shown, appropriate many of the value-adding processes of capitalism (branding, creative destruction, semiotic-play, life-style politics), in order to forward their own prerogatives. As Richardson-Ngwenya (2009), and Brooks (2012) show in their theses on Caribbean sugar and transnational second-hand clothes markets respectively, the ethics of boycotters and consumer-led movements operate within and across existing markets. Fair trade 'ethical' consumer actions are part of contemporary processes of creative destruction by moving places of production and creating new 'spatial fixes' (Harvey, 2005a), and diversifying capitalism into 'ethical' markets and commodities.</w:t>
      </w:r>
    </w:p>
  </w:footnote>
  <w:footnote w:id="318">
    <w:p w:rsidR="002B3E92" w:rsidRPr="006D4EAE" w:rsidRDefault="002B3E92" w:rsidP="008A2663">
      <w:pPr>
        <w:autoSpaceDE w:val="0"/>
        <w:autoSpaceDN w:val="0"/>
        <w:adjustRightInd w:val="0"/>
        <w:spacing w:after="0" w:line="240" w:lineRule="auto"/>
        <w:rPr>
          <w:rFonts w:ascii="Garamond" w:hAnsi="Garamond" w:cs="AdvTI"/>
          <w:sz w:val="20"/>
          <w:szCs w:val="20"/>
        </w:rPr>
      </w:pPr>
      <w:r w:rsidRPr="006D4EAE">
        <w:rPr>
          <w:rStyle w:val="FootnoteReference"/>
          <w:rFonts w:ascii="Garamond" w:hAnsi="Garamond"/>
          <w:sz w:val="20"/>
          <w:szCs w:val="20"/>
        </w:rPr>
        <w:footnoteRef/>
      </w:r>
      <w:r w:rsidRPr="006D4EAE">
        <w:rPr>
          <w:rFonts w:ascii="Garamond" w:hAnsi="Garamond"/>
          <w:sz w:val="20"/>
          <w:szCs w:val="20"/>
        </w:rPr>
        <w:t xml:space="preserve"> Emibrayer &amp; Desmond propose that people are products of their institutions. The authors argue that more than simple situated accounts of positionality, antiracist perspectives require "</w:t>
      </w:r>
      <w:r w:rsidRPr="006D4EAE">
        <w:rPr>
          <w:rFonts w:ascii="Garamond" w:hAnsi="Garamond" w:cs="AdvTI"/>
          <w:sz w:val="20"/>
          <w:szCs w:val="20"/>
        </w:rPr>
        <w:t xml:space="preserve">rigorous institutional analyses </w:t>
      </w:r>
      <w:r w:rsidRPr="006D4EAE">
        <w:rPr>
          <w:rFonts w:ascii="Garamond" w:hAnsi="Garamond" w:cs="AdvTR"/>
          <w:sz w:val="20"/>
          <w:szCs w:val="20"/>
        </w:rPr>
        <w:t xml:space="preserve">of the social and historical structures that condition one’s thinking and inner experience" (2011: 19).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92" w:rsidRPr="00C90301" w:rsidRDefault="002B3E92">
    <w:pPr>
      <w:pStyle w:val="Header"/>
      <w:rPr>
        <w:color w:val="A6A6A6" w:themeColor="background1" w:themeShade="A6"/>
        <w:sz w:val="16"/>
      </w:rPr>
    </w:pPr>
    <w:r w:rsidRPr="00C90301">
      <w:rPr>
        <w:color w:val="A6A6A6" w:themeColor="background1" w:themeShade="A6"/>
        <w:sz w:val="16"/>
      </w:rPr>
      <w:t>Hugh Crosfield</w:t>
    </w:r>
    <w:r>
      <w:rPr>
        <w:color w:val="A6A6A6" w:themeColor="background1" w:themeShade="A6"/>
        <w:sz w:val="16"/>
      </w:rPr>
      <w:t xml:space="preserve">                                                                                        PhD Thesis: Commodity boycotts, activist bodywork and race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138668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9D00A6A2"/>
    <w:lvl w:ilvl="0">
      <w:start w:val="1"/>
      <w:numFmt w:val="decimal"/>
      <w:lvlText w:val="%1."/>
      <w:lvlJc w:val="left"/>
      <w:pPr>
        <w:tabs>
          <w:tab w:val="num" w:pos="1492"/>
        </w:tabs>
        <w:ind w:left="1492" w:hanging="360"/>
      </w:pPr>
    </w:lvl>
  </w:abstractNum>
  <w:abstractNum w:abstractNumId="2">
    <w:nsid w:val="FFFFFF7D"/>
    <w:multiLevelType w:val="singleLevel"/>
    <w:tmpl w:val="32AA202C"/>
    <w:lvl w:ilvl="0">
      <w:start w:val="1"/>
      <w:numFmt w:val="decimal"/>
      <w:lvlText w:val="%1."/>
      <w:lvlJc w:val="left"/>
      <w:pPr>
        <w:tabs>
          <w:tab w:val="num" w:pos="1209"/>
        </w:tabs>
        <w:ind w:left="1209" w:hanging="360"/>
      </w:pPr>
    </w:lvl>
  </w:abstractNum>
  <w:abstractNum w:abstractNumId="3">
    <w:nsid w:val="FFFFFF7E"/>
    <w:multiLevelType w:val="singleLevel"/>
    <w:tmpl w:val="74EE38E0"/>
    <w:lvl w:ilvl="0">
      <w:start w:val="1"/>
      <w:numFmt w:val="decimal"/>
      <w:lvlText w:val="%1."/>
      <w:lvlJc w:val="left"/>
      <w:pPr>
        <w:tabs>
          <w:tab w:val="num" w:pos="926"/>
        </w:tabs>
        <w:ind w:left="926" w:hanging="360"/>
      </w:pPr>
    </w:lvl>
  </w:abstractNum>
  <w:abstractNum w:abstractNumId="4">
    <w:nsid w:val="FFFFFF7F"/>
    <w:multiLevelType w:val="singleLevel"/>
    <w:tmpl w:val="598A64E8"/>
    <w:lvl w:ilvl="0">
      <w:start w:val="1"/>
      <w:numFmt w:val="decimal"/>
      <w:lvlText w:val="%1."/>
      <w:lvlJc w:val="left"/>
      <w:pPr>
        <w:tabs>
          <w:tab w:val="num" w:pos="643"/>
        </w:tabs>
        <w:ind w:left="643" w:hanging="360"/>
      </w:pPr>
    </w:lvl>
  </w:abstractNum>
  <w:abstractNum w:abstractNumId="5">
    <w:nsid w:val="FFFFFF80"/>
    <w:multiLevelType w:val="singleLevel"/>
    <w:tmpl w:val="910CFCFA"/>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13BEDBCA"/>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88DE4B3E"/>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E666668C"/>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B1D26078"/>
    <w:lvl w:ilvl="0">
      <w:start w:val="1"/>
      <w:numFmt w:val="decimal"/>
      <w:lvlText w:val="%1."/>
      <w:lvlJc w:val="left"/>
      <w:pPr>
        <w:tabs>
          <w:tab w:val="num" w:pos="360"/>
        </w:tabs>
        <w:ind w:left="360" w:hanging="360"/>
      </w:pPr>
    </w:lvl>
  </w:abstractNum>
  <w:abstractNum w:abstractNumId="10">
    <w:nsid w:val="FFFFFF89"/>
    <w:multiLevelType w:val="singleLevel"/>
    <w:tmpl w:val="8CF03738"/>
    <w:lvl w:ilvl="0">
      <w:start w:val="1"/>
      <w:numFmt w:val="bullet"/>
      <w:lvlText w:val=""/>
      <w:lvlJc w:val="left"/>
      <w:pPr>
        <w:tabs>
          <w:tab w:val="num" w:pos="360"/>
        </w:tabs>
        <w:ind w:left="360" w:hanging="360"/>
      </w:pPr>
      <w:rPr>
        <w:rFonts w:ascii="Symbol" w:hAnsi="Symbol" w:hint="default"/>
      </w:rPr>
    </w:lvl>
  </w:abstractNum>
  <w:abstractNum w:abstractNumId="11">
    <w:nsid w:val="10F2544C"/>
    <w:multiLevelType w:val="hybridMultilevel"/>
    <w:tmpl w:val="70CCB0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Museo Sans 100"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Museo Sans 100"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Museo Sans 100"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17F30A33"/>
    <w:multiLevelType w:val="hybridMultilevel"/>
    <w:tmpl w:val="E28EEB2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Museo Sans 100"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Museo Sans 100"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Museo Sans 100" w:hint="default"/>
      </w:rPr>
    </w:lvl>
    <w:lvl w:ilvl="8" w:tplc="08090005" w:tentative="1">
      <w:start w:val="1"/>
      <w:numFmt w:val="bullet"/>
      <w:lvlText w:val=""/>
      <w:lvlJc w:val="left"/>
      <w:pPr>
        <w:ind w:left="7200" w:hanging="360"/>
      </w:pPr>
      <w:rPr>
        <w:rFonts w:ascii="Wingdings" w:hAnsi="Wingdings" w:hint="default"/>
      </w:rPr>
    </w:lvl>
  </w:abstractNum>
  <w:abstractNum w:abstractNumId="13">
    <w:nsid w:val="1CB051E4"/>
    <w:multiLevelType w:val="hybridMultilevel"/>
    <w:tmpl w:val="BC5EE9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Museo Sans 100"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Museo Sans 100"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Museo Sans 100"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28C25276"/>
    <w:multiLevelType w:val="singleLevel"/>
    <w:tmpl w:val="745C6BF2"/>
    <w:lvl w:ilvl="0">
      <w:start w:val="1"/>
      <w:numFmt w:val="decimal"/>
      <w:lvlText w:val="%1)"/>
      <w:legacy w:legacy="1" w:legacySpace="0" w:legacyIndent="360"/>
      <w:lvlJc w:val="left"/>
      <w:rPr>
        <w:rFonts w:ascii="Times New Roman" w:hAnsi="Times New Roman" w:cs="Times New Roman" w:hint="default"/>
      </w:rPr>
    </w:lvl>
  </w:abstractNum>
  <w:abstractNum w:abstractNumId="15">
    <w:nsid w:val="2F175001"/>
    <w:multiLevelType w:val="hybridMultilevel"/>
    <w:tmpl w:val="972E3F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Museo Sans 100"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Museo Sans 100"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Museo Sans 100"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362F6561"/>
    <w:multiLevelType w:val="hybridMultilevel"/>
    <w:tmpl w:val="14742C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Museo Sans 100"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Museo Sans 100"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Museo Sans 100"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51236F50"/>
    <w:multiLevelType w:val="hybridMultilevel"/>
    <w:tmpl w:val="513E4C6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4A44EBF"/>
    <w:multiLevelType w:val="hybridMultilevel"/>
    <w:tmpl w:val="93FEE1D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Museo Sans 100"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Museo Sans 100"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Museo Sans 100"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614D205E"/>
    <w:multiLevelType w:val="hybridMultilevel"/>
    <w:tmpl w:val="E67A9820"/>
    <w:lvl w:ilvl="0" w:tplc="BFA49AE2">
      <w:start w:val="1"/>
      <w:numFmt w:val="lowerRoman"/>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AB72FEA"/>
    <w:multiLevelType w:val="hybridMultilevel"/>
    <w:tmpl w:val="C8C0E186"/>
    <w:lvl w:ilvl="0" w:tplc="0AA82C34">
      <w:start w:val="1"/>
      <w:numFmt w:val="lowerRoman"/>
      <w:lvlText w:val="%1."/>
      <w:lvlJc w:val="right"/>
      <w:pPr>
        <w:ind w:left="540" w:hanging="18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5"/>
  </w:num>
  <w:num w:numId="3">
    <w:abstractNumId w:val="16"/>
  </w:num>
  <w:num w:numId="4">
    <w:abstractNumId w:val="12"/>
  </w:num>
  <w:num w:numId="5">
    <w:abstractNumId w:val="13"/>
  </w:num>
  <w:num w:numId="6">
    <w:abstractNumId w:val="11"/>
  </w:num>
  <w:num w:numId="7">
    <w:abstractNumId w:val="18"/>
  </w:num>
  <w:num w:numId="8">
    <w:abstractNumId w:val="20"/>
  </w:num>
  <w:num w:numId="9">
    <w:abstractNumId w:val="19"/>
  </w:num>
  <w:num w:numId="10">
    <w:abstractNumId w:val="14"/>
  </w:num>
  <w:num w:numId="11">
    <w:abstractNumId w:val="14"/>
    <w:lvlOverride w:ilvl="0">
      <w:lvl w:ilvl="0">
        <w:start w:val="2"/>
        <w:numFmt w:val="decimal"/>
        <w:lvlText w:val="%1)"/>
        <w:legacy w:legacy="1" w:legacySpace="0" w:legacyIndent="360"/>
        <w:lvlJc w:val="left"/>
        <w:rPr>
          <w:rFonts w:ascii="Times New Roman" w:hAnsi="Times New Roman" w:cs="Times New Roman" w:hint="default"/>
        </w:rPr>
      </w:lvl>
    </w:lvlOverride>
  </w:num>
  <w:num w:numId="12">
    <w:abstractNumId w:val="10"/>
  </w:num>
  <w:num w:numId="13">
    <w:abstractNumId w:val="8"/>
  </w:num>
  <w:num w:numId="14">
    <w:abstractNumId w:val="7"/>
  </w:num>
  <w:num w:numId="15">
    <w:abstractNumId w:val="6"/>
  </w:num>
  <w:num w:numId="16">
    <w:abstractNumId w:val="5"/>
  </w:num>
  <w:num w:numId="17">
    <w:abstractNumId w:val="9"/>
  </w:num>
  <w:num w:numId="18">
    <w:abstractNumId w:val="4"/>
  </w:num>
  <w:num w:numId="19">
    <w:abstractNumId w:val="3"/>
  </w:num>
  <w:num w:numId="20">
    <w:abstractNumId w:val="2"/>
  </w:num>
  <w:num w:numId="21">
    <w:abstractNumId w:val="1"/>
  </w:num>
  <w:num w:numId="2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stylePaneFormatFilter w:val="0004"/>
  <w:doNotTrackMoves/>
  <w:defaultTabStop w:val="720"/>
  <w:hyphenationZone w:val="357"/>
  <w:drawingGridHorizontalSpacing w:val="360"/>
  <w:drawingGridVerticalSpacing w:val="360"/>
  <w:displayHorizontalDrawingGridEvery w:val="0"/>
  <w:displayVerticalDrawingGridEvery w:val="0"/>
  <w:characterSpacingControl w:val="doNotCompress"/>
  <w:hdrShapeDefaults>
    <o:shapedefaults v:ext="edit" spidmax="5122"/>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E702FB"/>
    <w:rsid w:val="0000513E"/>
    <w:rsid w:val="00011342"/>
    <w:rsid w:val="000121E6"/>
    <w:rsid w:val="0001718F"/>
    <w:rsid w:val="000173D8"/>
    <w:rsid w:val="0002426D"/>
    <w:rsid w:val="00026BC9"/>
    <w:rsid w:val="00027FC5"/>
    <w:rsid w:val="00030952"/>
    <w:rsid w:val="00031E7C"/>
    <w:rsid w:val="000325E3"/>
    <w:rsid w:val="00037B38"/>
    <w:rsid w:val="00040F6B"/>
    <w:rsid w:val="00047160"/>
    <w:rsid w:val="0005002E"/>
    <w:rsid w:val="00050126"/>
    <w:rsid w:val="00051D37"/>
    <w:rsid w:val="00052AFB"/>
    <w:rsid w:val="00065498"/>
    <w:rsid w:val="0008493D"/>
    <w:rsid w:val="000A22D8"/>
    <w:rsid w:val="000A459F"/>
    <w:rsid w:val="000B2FEB"/>
    <w:rsid w:val="000B6D76"/>
    <w:rsid w:val="000C6B9F"/>
    <w:rsid w:val="000F6335"/>
    <w:rsid w:val="00107CF0"/>
    <w:rsid w:val="0011372D"/>
    <w:rsid w:val="00152971"/>
    <w:rsid w:val="001650FA"/>
    <w:rsid w:val="001675F1"/>
    <w:rsid w:val="001731AC"/>
    <w:rsid w:val="0018733B"/>
    <w:rsid w:val="001924B1"/>
    <w:rsid w:val="001A184A"/>
    <w:rsid w:val="001A482E"/>
    <w:rsid w:val="001A6B91"/>
    <w:rsid w:val="001B6D85"/>
    <w:rsid w:val="001B78CA"/>
    <w:rsid w:val="001C1DA4"/>
    <w:rsid w:val="001C3CB8"/>
    <w:rsid w:val="001C4BEF"/>
    <w:rsid w:val="001C4CAD"/>
    <w:rsid w:val="001D0B39"/>
    <w:rsid w:val="001D671E"/>
    <w:rsid w:val="001D6EDE"/>
    <w:rsid w:val="001E4E8B"/>
    <w:rsid w:val="002049D4"/>
    <w:rsid w:val="002135A6"/>
    <w:rsid w:val="0021647D"/>
    <w:rsid w:val="00220759"/>
    <w:rsid w:val="002372C8"/>
    <w:rsid w:val="00241A99"/>
    <w:rsid w:val="002706A8"/>
    <w:rsid w:val="0027665A"/>
    <w:rsid w:val="0028120F"/>
    <w:rsid w:val="00285EEC"/>
    <w:rsid w:val="00286723"/>
    <w:rsid w:val="00293D4C"/>
    <w:rsid w:val="002968B4"/>
    <w:rsid w:val="002A7090"/>
    <w:rsid w:val="002B1E92"/>
    <w:rsid w:val="002B3E92"/>
    <w:rsid w:val="002B7723"/>
    <w:rsid w:val="002C0568"/>
    <w:rsid w:val="002C799B"/>
    <w:rsid w:val="002D1C8E"/>
    <w:rsid w:val="002D22FA"/>
    <w:rsid w:val="002E47A9"/>
    <w:rsid w:val="002E5C82"/>
    <w:rsid w:val="002F2533"/>
    <w:rsid w:val="002F66C2"/>
    <w:rsid w:val="00301985"/>
    <w:rsid w:val="00304D0A"/>
    <w:rsid w:val="00311B5B"/>
    <w:rsid w:val="0032295C"/>
    <w:rsid w:val="00353742"/>
    <w:rsid w:val="00357F93"/>
    <w:rsid w:val="0038222D"/>
    <w:rsid w:val="00390A04"/>
    <w:rsid w:val="00396A69"/>
    <w:rsid w:val="003B1C62"/>
    <w:rsid w:val="003C311C"/>
    <w:rsid w:val="003C5544"/>
    <w:rsid w:val="003C7C26"/>
    <w:rsid w:val="003D1BF6"/>
    <w:rsid w:val="003E091C"/>
    <w:rsid w:val="003E1963"/>
    <w:rsid w:val="003E253D"/>
    <w:rsid w:val="003E49FB"/>
    <w:rsid w:val="003F019C"/>
    <w:rsid w:val="003F4A98"/>
    <w:rsid w:val="003F545A"/>
    <w:rsid w:val="003F5ACF"/>
    <w:rsid w:val="00405E8B"/>
    <w:rsid w:val="0040671D"/>
    <w:rsid w:val="00407502"/>
    <w:rsid w:val="00410C58"/>
    <w:rsid w:val="00417E04"/>
    <w:rsid w:val="00425E18"/>
    <w:rsid w:val="00434B8C"/>
    <w:rsid w:val="004365A0"/>
    <w:rsid w:val="0044499A"/>
    <w:rsid w:val="00446259"/>
    <w:rsid w:val="0045538B"/>
    <w:rsid w:val="00462E99"/>
    <w:rsid w:val="0047048E"/>
    <w:rsid w:val="00472B3A"/>
    <w:rsid w:val="00476935"/>
    <w:rsid w:val="0048108D"/>
    <w:rsid w:val="004837E5"/>
    <w:rsid w:val="00492437"/>
    <w:rsid w:val="004A7172"/>
    <w:rsid w:val="004B3DC8"/>
    <w:rsid w:val="004B75DB"/>
    <w:rsid w:val="004D28E6"/>
    <w:rsid w:val="004E7C68"/>
    <w:rsid w:val="004F49DC"/>
    <w:rsid w:val="0050393D"/>
    <w:rsid w:val="00504CFD"/>
    <w:rsid w:val="005064FE"/>
    <w:rsid w:val="005103F1"/>
    <w:rsid w:val="005136D3"/>
    <w:rsid w:val="00516868"/>
    <w:rsid w:val="00520BAC"/>
    <w:rsid w:val="005227C3"/>
    <w:rsid w:val="00533819"/>
    <w:rsid w:val="00544A26"/>
    <w:rsid w:val="00552517"/>
    <w:rsid w:val="005A74B4"/>
    <w:rsid w:val="005B48FD"/>
    <w:rsid w:val="005B52A5"/>
    <w:rsid w:val="005C2571"/>
    <w:rsid w:val="005C4FD8"/>
    <w:rsid w:val="005D6F68"/>
    <w:rsid w:val="005D7559"/>
    <w:rsid w:val="005E787F"/>
    <w:rsid w:val="005F4B74"/>
    <w:rsid w:val="00602DEA"/>
    <w:rsid w:val="00605B4F"/>
    <w:rsid w:val="00637B89"/>
    <w:rsid w:val="006500C4"/>
    <w:rsid w:val="00656382"/>
    <w:rsid w:val="006579E1"/>
    <w:rsid w:val="00661D6D"/>
    <w:rsid w:val="00666B91"/>
    <w:rsid w:val="00682343"/>
    <w:rsid w:val="00691864"/>
    <w:rsid w:val="00692C8F"/>
    <w:rsid w:val="006B1236"/>
    <w:rsid w:val="006B620C"/>
    <w:rsid w:val="006C1ED4"/>
    <w:rsid w:val="006E2B44"/>
    <w:rsid w:val="006E416B"/>
    <w:rsid w:val="006E588F"/>
    <w:rsid w:val="006F323A"/>
    <w:rsid w:val="00713C2E"/>
    <w:rsid w:val="00726382"/>
    <w:rsid w:val="00737910"/>
    <w:rsid w:val="007437F5"/>
    <w:rsid w:val="00751122"/>
    <w:rsid w:val="00763F5C"/>
    <w:rsid w:val="00767529"/>
    <w:rsid w:val="00774F2F"/>
    <w:rsid w:val="007802A9"/>
    <w:rsid w:val="00781383"/>
    <w:rsid w:val="007955B7"/>
    <w:rsid w:val="00797AB3"/>
    <w:rsid w:val="007A00C8"/>
    <w:rsid w:val="007A6D4D"/>
    <w:rsid w:val="007B431E"/>
    <w:rsid w:val="007B58DB"/>
    <w:rsid w:val="007B7E34"/>
    <w:rsid w:val="007D3EE3"/>
    <w:rsid w:val="007E10FB"/>
    <w:rsid w:val="007F618F"/>
    <w:rsid w:val="007F7038"/>
    <w:rsid w:val="008064A5"/>
    <w:rsid w:val="0081353C"/>
    <w:rsid w:val="00814F86"/>
    <w:rsid w:val="0083336B"/>
    <w:rsid w:val="0083568A"/>
    <w:rsid w:val="00841153"/>
    <w:rsid w:val="00847500"/>
    <w:rsid w:val="00850BA2"/>
    <w:rsid w:val="00863240"/>
    <w:rsid w:val="00865243"/>
    <w:rsid w:val="008802EE"/>
    <w:rsid w:val="008929D6"/>
    <w:rsid w:val="008963EA"/>
    <w:rsid w:val="00897670"/>
    <w:rsid w:val="008A2663"/>
    <w:rsid w:val="008B61F1"/>
    <w:rsid w:val="008D3C87"/>
    <w:rsid w:val="008D6027"/>
    <w:rsid w:val="008E6FF6"/>
    <w:rsid w:val="008F3BFD"/>
    <w:rsid w:val="00904423"/>
    <w:rsid w:val="0091291A"/>
    <w:rsid w:val="00943FE2"/>
    <w:rsid w:val="00955205"/>
    <w:rsid w:val="00960766"/>
    <w:rsid w:val="0096303B"/>
    <w:rsid w:val="00992269"/>
    <w:rsid w:val="00992E53"/>
    <w:rsid w:val="0099596F"/>
    <w:rsid w:val="009A2190"/>
    <w:rsid w:val="009C3F75"/>
    <w:rsid w:val="009E10F2"/>
    <w:rsid w:val="009F5B6C"/>
    <w:rsid w:val="00A053CA"/>
    <w:rsid w:val="00A05ED2"/>
    <w:rsid w:val="00A15440"/>
    <w:rsid w:val="00A1744E"/>
    <w:rsid w:val="00A17799"/>
    <w:rsid w:val="00A2748C"/>
    <w:rsid w:val="00A304E4"/>
    <w:rsid w:val="00A34E40"/>
    <w:rsid w:val="00A371B8"/>
    <w:rsid w:val="00A426A3"/>
    <w:rsid w:val="00A54DCD"/>
    <w:rsid w:val="00A6449D"/>
    <w:rsid w:val="00A70185"/>
    <w:rsid w:val="00A7088C"/>
    <w:rsid w:val="00A74967"/>
    <w:rsid w:val="00A820B9"/>
    <w:rsid w:val="00A84115"/>
    <w:rsid w:val="00A96BB2"/>
    <w:rsid w:val="00A96D26"/>
    <w:rsid w:val="00AB16ED"/>
    <w:rsid w:val="00AB34E6"/>
    <w:rsid w:val="00AD306C"/>
    <w:rsid w:val="00AE029C"/>
    <w:rsid w:val="00AE09DA"/>
    <w:rsid w:val="00AF1668"/>
    <w:rsid w:val="00AF2165"/>
    <w:rsid w:val="00AF247E"/>
    <w:rsid w:val="00AF4361"/>
    <w:rsid w:val="00AF727C"/>
    <w:rsid w:val="00B002F4"/>
    <w:rsid w:val="00B22355"/>
    <w:rsid w:val="00B55D6E"/>
    <w:rsid w:val="00B61BF5"/>
    <w:rsid w:val="00B66F92"/>
    <w:rsid w:val="00B71FBE"/>
    <w:rsid w:val="00B75A18"/>
    <w:rsid w:val="00B81EBB"/>
    <w:rsid w:val="00B83595"/>
    <w:rsid w:val="00B848A8"/>
    <w:rsid w:val="00B935B7"/>
    <w:rsid w:val="00B97E85"/>
    <w:rsid w:val="00BA0F0B"/>
    <w:rsid w:val="00BB2602"/>
    <w:rsid w:val="00BB2D2C"/>
    <w:rsid w:val="00BB49E2"/>
    <w:rsid w:val="00BD0A0B"/>
    <w:rsid w:val="00BD2DBB"/>
    <w:rsid w:val="00BD45F4"/>
    <w:rsid w:val="00BD7BCA"/>
    <w:rsid w:val="00BF35F2"/>
    <w:rsid w:val="00BF7262"/>
    <w:rsid w:val="00C23576"/>
    <w:rsid w:val="00C624D0"/>
    <w:rsid w:val="00C70D6B"/>
    <w:rsid w:val="00C72372"/>
    <w:rsid w:val="00C90301"/>
    <w:rsid w:val="00C93102"/>
    <w:rsid w:val="00C93F78"/>
    <w:rsid w:val="00CA2A42"/>
    <w:rsid w:val="00CA2C51"/>
    <w:rsid w:val="00CA7EC5"/>
    <w:rsid w:val="00CC496A"/>
    <w:rsid w:val="00CE4428"/>
    <w:rsid w:val="00CE6C4E"/>
    <w:rsid w:val="00CE757B"/>
    <w:rsid w:val="00CF12D9"/>
    <w:rsid w:val="00CF2C3C"/>
    <w:rsid w:val="00D01EAB"/>
    <w:rsid w:val="00D04F1F"/>
    <w:rsid w:val="00D054AC"/>
    <w:rsid w:val="00D05F40"/>
    <w:rsid w:val="00D25F81"/>
    <w:rsid w:val="00D26307"/>
    <w:rsid w:val="00D27824"/>
    <w:rsid w:val="00D4129F"/>
    <w:rsid w:val="00D45CBB"/>
    <w:rsid w:val="00D5435A"/>
    <w:rsid w:val="00D57889"/>
    <w:rsid w:val="00D657E4"/>
    <w:rsid w:val="00D819BA"/>
    <w:rsid w:val="00D921C8"/>
    <w:rsid w:val="00DA7195"/>
    <w:rsid w:val="00DB6347"/>
    <w:rsid w:val="00DB7421"/>
    <w:rsid w:val="00DC23A2"/>
    <w:rsid w:val="00DC54AF"/>
    <w:rsid w:val="00DD2983"/>
    <w:rsid w:val="00DD5ACC"/>
    <w:rsid w:val="00DF2DF8"/>
    <w:rsid w:val="00E01C3C"/>
    <w:rsid w:val="00E16D7A"/>
    <w:rsid w:val="00E35D3F"/>
    <w:rsid w:val="00E36EFA"/>
    <w:rsid w:val="00E4365A"/>
    <w:rsid w:val="00E444C9"/>
    <w:rsid w:val="00E4533B"/>
    <w:rsid w:val="00E45DAD"/>
    <w:rsid w:val="00E469FF"/>
    <w:rsid w:val="00E55C40"/>
    <w:rsid w:val="00E702FB"/>
    <w:rsid w:val="00E75C68"/>
    <w:rsid w:val="00E90398"/>
    <w:rsid w:val="00E92BD6"/>
    <w:rsid w:val="00EF343A"/>
    <w:rsid w:val="00F04316"/>
    <w:rsid w:val="00F07857"/>
    <w:rsid w:val="00F152DB"/>
    <w:rsid w:val="00F21F6B"/>
    <w:rsid w:val="00F34D83"/>
    <w:rsid w:val="00F4135C"/>
    <w:rsid w:val="00F44C33"/>
    <w:rsid w:val="00F6105D"/>
    <w:rsid w:val="00F635D3"/>
    <w:rsid w:val="00F744AB"/>
    <w:rsid w:val="00F74C95"/>
    <w:rsid w:val="00F82CA4"/>
    <w:rsid w:val="00F83103"/>
    <w:rsid w:val="00F907C9"/>
    <w:rsid w:val="00F90E7B"/>
    <w:rsid w:val="00F960B3"/>
    <w:rsid w:val="00FA78BB"/>
    <w:rsid w:val="00FA79FD"/>
    <w:rsid w:val="00FA7CDA"/>
    <w:rsid w:val="00FA7F0D"/>
    <w:rsid w:val="00FC7545"/>
    <w:rsid w:val="00FD7E5F"/>
    <w:rsid w:val="00FF40B9"/>
  </w:rsids>
  <m:mathPr>
    <m:mathFont m:val="Cambria Math"/>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able of figures" w:uiPriority="99"/>
    <w:lsdException w:name="Balloon Text" w:uiPriority="99"/>
  </w:latentStyles>
  <w:style w:type="paragraph" w:default="1" w:styleId="Normal">
    <w:name w:val="Normal"/>
    <w:qFormat/>
    <w:rsid w:val="00C90301"/>
    <w:pPr>
      <w:spacing w:after="200" w:line="276" w:lineRule="auto"/>
    </w:pPr>
    <w:rPr>
      <w:sz w:val="22"/>
      <w:szCs w:val="22"/>
      <w:lang w:val="en-GB"/>
    </w:rPr>
  </w:style>
  <w:style w:type="paragraph" w:styleId="Heading1">
    <w:name w:val="heading 1"/>
    <w:basedOn w:val="Normal"/>
    <w:next w:val="Normal"/>
    <w:link w:val="Heading1Char"/>
    <w:uiPriority w:val="9"/>
    <w:qFormat/>
    <w:rsid w:val="00FA7F0D"/>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049D4"/>
    <w:pPr>
      <w:keepNext/>
      <w:keepLines/>
      <w:spacing w:after="0" w:line="360" w:lineRule="auto"/>
      <w:outlineLvl w:val="1"/>
    </w:pPr>
    <w:rPr>
      <w:rFonts w:ascii="Garamond" w:eastAsiaTheme="majorEastAsia" w:hAnsi="Garamond" w:cstheme="majorBidi"/>
      <w:b/>
      <w:bCs/>
      <w:sz w:val="24"/>
      <w:szCs w:val="26"/>
    </w:rPr>
  </w:style>
  <w:style w:type="paragraph" w:styleId="Heading3">
    <w:name w:val="heading 3"/>
    <w:basedOn w:val="Normal"/>
    <w:next w:val="Normal"/>
    <w:link w:val="Heading3Char"/>
    <w:uiPriority w:val="99"/>
    <w:unhideWhenUsed/>
    <w:qFormat/>
    <w:rsid w:val="00BA0F0B"/>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unhideWhenUsed/>
    <w:qFormat/>
    <w:rsid w:val="00BA0F0B"/>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BB49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24AC"/>
    <w:rPr>
      <w:rFonts w:ascii="Lucida Grande" w:hAnsi="Lucida Grande"/>
      <w:sz w:val="18"/>
      <w:szCs w:val="18"/>
    </w:rPr>
  </w:style>
  <w:style w:type="character" w:customStyle="1" w:styleId="Heading1Char">
    <w:name w:val="Heading 1 Char"/>
    <w:basedOn w:val="DefaultParagraphFont"/>
    <w:link w:val="Heading1"/>
    <w:uiPriority w:val="9"/>
    <w:rsid w:val="00FA7F0D"/>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rsid w:val="002049D4"/>
    <w:rPr>
      <w:rFonts w:ascii="Garamond" w:eastAsiaTheme="majorEastAsia" w:hAnsi="Garamond" w:cstheme="majorBidi"/>
      <w:b/>
      <w:bCs/>
      <w:szCs w:val="26"/>
      <w:lang w:val="en-GB"/>
    </w:rPr>
  </w:style>
  <w:style w:type="character" w:customStyle="1" w:styleId="Heading3Char">
    <w:name w:val="Heading 3 Char"/>
    <w:basedOn w:val="DefaultParagraphFont"/>
    <w:link w:val="Heading3"/>
    <w:uiPriority w:val="99"/>
    <w:rsid w:val="00BA0F0B"/>
    <w:rPr>
      <w:rFonts w:ascii="Cambria" w:eastAsia="Times New Roman" w:hAnsi="Cambria" w:cs="Times New Roman"/>
      <w:b/>
      <w:bCs/>
      <w:color w:val="4F81BD"/>
      <w:sz w:val="22"/>
      <w:szCs w:val="22"/>
      <w:lang w:val="en-GB"/>
    </w:rPr>
  </w:style>
  <w:style w:type="character" w:customStyle="1" w:styleId="Heading4Char">
    <w:name w:val="Heading 4 Char"/>
    <w:basedOn w:val="DefaultParagraphFont"/>
    <w:link w:val="Heading4"/>
    <w:uiPriority w:val="99"/>
    <w:rsid w:val="00BA0F0B"/>
    <w:rPr>
      <w:rFonts w:ascii="Cambria" w:eastAsia="Times New Roman" w:hAnsi="Cambria" w:cs="Times New Roman"/>
      <w:b/>
      <w:bCs/>
      <w:i/>
      <w:iCs/>
      <w:color w:val="4F81BD"/>
      <w:sz w:val="22"/>
      <w:szCs w:val="22"/>
      <w:lang w:val="en-GB"/>
    </w:rPr>
  </w:style>
  <w:style w:type="character" w:customStyle="1" w:styleId="BalloonTextChar1">
    <w:name w:val="Balloon Text Char1"/>
    <w:basedOn w:val="DefaultParagraphFont"/>
    <w:link w:val="BalloonText"/>
    <w:uiPriority w:val="99"/>
    <w:semiHidden/>
    <w:rsid w:val="00BB49E2"/>
    <w:rPr>
      <w:rFonts w:ascii="Tahoma" w:hAnsi="Tahoma" w:cs="Tahoma"/>
      <w:sz w:val="16"/>
      <w:szCs w:val="16"/>
      <w:lang w:val="en-GB"/>
    </w:rPr>
  </w:style>
  <w:style w:type="character" w:customStyle="1" w:styleId="BalloonTextChar0">
    <w:name w:val="Balloon Text Char"/>
    <w:basedOn w:val="DefaultParagraphFont"/>
    <w:uiPriority w:val="99"/>
    <w:semiHidden/>
    <w:rsid w:val="007D30A2"/>
    <w:rPr>
      <w:rFonts w:ascii="Lucida Grande" w:hAnsi="Lucida Grande"/>
      <w:sz w:val="18"/>
      <w:szCs w:val="18"/>
    </w:rPr>
  </w:style>
  <w:style w:type="character" w:customStyle="1" w:styleId="BalloonTextChar3">
    <w:name w:val="Balloon Text Char3"/>
    <w:basedOn w:val="DefaultParagraphFont"/>
    <w:uiPriority w:val="99"/>
    <w:semiHidden/>
    <w:rsid w:val="007D30A2"/>
    <w:rPr>
      <w:rFonts w:ascii="Lucida Grande" w:hAnsi="Lucida Grande"/>
      <w:sz w:val="18"/>
      <w:szCs w:val="18"/>
    </w:rPr>
  </w:style>
  <w:style w:type="paragraph" w:customStyle="1" w:styleId="Default">
    <w:name w:val="Default"/>
    <w:uiPriority w:val="99"/>
    <w:rsid w:val="00C90301"/>
    <w:pPr>
      <w:autoSpaceDE w:val="0"/>
      <w:autoSpaceDN w:val="0"/>
      <w:adjustRightInd w:val="0"/>
    </w:pPr>
    <w:rPr>
      <w:rFonts w:ascii="Times New Roman" w:hAnsi="Times New Roman" w:cs="Times New Roman"/>
      <w:color w:val="000000"/>
      <w:lang w:val="en-GB"/>
    </w:rPr>
  </w:style>
  <w:style w:type="paragraph" w:styleId="Header">
    <w:name w:val="header"/>
    <w:basedOn w:val="Normal"/>
    <w:link w:val="HeaderChar"/>
    <w:uiPriority w:val="99"/>
    <w:unhideWhenUsed/>
    <w:rsid w:val="00C90301"/>
    <w:pPr>
      <w:tabs>
        <w:tab w:val="center" w:pos="4320"/>
        <w:tab w:val="right" w:pos="8640"/>
      </w:tabs>
      <w:spacing w:after="0" w:line="240" w:lineRule="auto"/>
    </w:pPr>
  </w:style>
  <w:style w:type="character" w:customStyle="1" w:styleId="HeaderChar">
    <w:name w:val="Header Char"/>
    <w:basedOn w:val="DefaultParagraphFont"/>
    <w:link w:val="Header"/>
    <w:uiPriority w:val="99"/>
    <w:rsid w:val="00C90301"/>
    <w:rPr>
      <w:sz w:val="22"/>
      <w:szCs w:val="22"/>
      <w:lang w:val="en-GB"/>
    </w:rPr>
  </w:style>
  <w:style w:type="paragraph" w:styleId="Footer">
    <w:name w:val="footer"/>
    <w:basedOn w:val="Normal"/>
    <w:link w:val="FooterChar"/>
    <w:uiPriority w:val="99"/>
    <w:unhideWhenUsed/>
    <w:rsid w:val="00C90301"/>
    <w:pPr>
      <w:tabs>
        <w:tab w:val="center" w:pos="4320"/>
        <w:tab w:val="right" w:pos="8640"/>
      </w:tabs>
      <w:spacing w:after="0" w:line="240" w:lineRule="auto"/>
    </w:pPr>
  </w:style>
  <w:style w:type="character" w:customStyle="1" w:styleId="FooterChar">
    <w:name w:val="Footer Char"/>
    <w:basedOn w:val="DefaultParagraphFont"/>
    <w:link w:val="Footer"/>
    <w:uiPriority w:val="99"/>
    <w:rsid w:val="00C90301"/>
    <w:rPr>
      <w:sz w:val="22"/>
      <w:szCs w:val="22"/>
      <w:lang w:val="en-GB"/>
    </w:rPr>
  </w:style>
  <w:style w:type="character" w:styleId="PageNumber">
    <w:name w:val="page number"/>
    <w:basedOn w:val="DefaultParagraphFont"/>
    <w:uiPriority w:val="99"/>
    <w:semiHidden/>
    <w:unhideWhenUsed/>
    <w:rsid w:val="00C90301"/>
  </w:style>
  <w:style w:type="character" w:customStyle="1" w:styleId="BalloonTextChar2">
    <w:name w:val="Balloon Text Char2"/>
    <w:basedOn w:val="DefaultParagraphFont"/>
    <w:uiPriority w:val="99"/>
    <w:semiHidden/>
    <w:rsid w:val="00BB49E2"/>
    <w:rPr>
      <w:rFonts w:ascii="Lucida Grande" w:hAnsi="Lucida Grande"/>
      <w:sz w:val="18"/>
      <w:szCs w:val="18"/>
      <w:lang w:val="en-GB"/>
    </w:rPr>
  </w:style>
  <w:style w:type="paragraph" w:styleId="FootnoteText">
    <w:name w:val="footnote text"/>
    <w:basedOn w:val="Normal"/>
    <w:link w:val="FootnoteTextChar"/>
    <w:uiPriority w:val="99"/>
    <w:unhideWhenUsed/>
    <w:rsid w:val="00BB49E2"/>
    <w:pPr>
      <w:spacing w:after="0" w:line="240" w:lineRule="auto"/>
    </w:pPr>
    <w:rPr>
      <w:sz w:val="20"/>
      <w:szCs w:val="20"/>
    </w:rPr>
  </w:style>
  <w:style w:type="character" w:customStyle="1" w:styleId="FootnoteTextChar">
    <w:name w:val="Footnote Text Char"/>
    <w:basedOn w:val="DefaultParagraphFont"/>
    <w:link w:val="FootnoteText"/>
    <w:uiPriority w:val="99"/>
    <w:rsid w:val="00BB49E2"/>
    <w:rPr>
      <w:sz w:val="20"/>
      <w:szCs w:val="20"/>
      <w:lang w:val="en-GB"/>
    </w:rPr>
  </w:style>
  <w:style w:type="character" w:styleId="FootnoteReference">
    <w:name w:val="footnote reference"/>
    <w:basedOn w:val="DefaultParagraphFont"/>
    <w:uiPriority w:val="99"/>
    <w:semiHidden/>
    <w:unhideWhenUsed/>
    <w:rsid w:val="00BB49E2"/>
    <w:rPr>
      <w:vertAlign w:val="superscript"/>
    </w:rPr>
  </w:style>
  <w:style w:type="character" w:styleId="Strong">
    <w:name w:val="Strong"/>
    <w:basedOn w:val="DefaultParagraphFont"/>
    <w:uiPriority w:val="22"/>
    <w:qFormat/>
    <w:rsid w:val="00BB49E2"/>
    <w:rPr>
      <w:b/>
      <w:bCs/>
    </w:rPr>
  </w:style>
  <w:style w:type="paragraph" w:styleId="ListParagraph">
    <w:name w:val="List Paragraph"/>
    <w:basedOn w:val="Normal"/>
    <w:uiPriority w:val="34"/>
    <w:qFormat/>
    <w:rsid w:val="00BB49E2"/>
    <w:pPr>
      <w:ind w:left="720"/>
      <w:contextualSpacing/>
    </w:pPr>
  </w:style>
  <w:style w:type="character" w:styleId="Hyperlink">
    <w:name w:val="Hyperlink"/>
    <w:basedOn w:val="DefaultParagraphFont"/>
    <w:uiPriority w:val="99"/>
    <w:unhideWhenUsed/>
    <w:rsid w:val="00BB49E2"/>
    <w:rPr>
      <w:color w:val="0000FF" w:themeColor="hyperlink"/>
      <w:u w:val="single"/>
    </w:rPr>
  </w:style>
  <w:style w:type="character" w:customStyle="1" w:styleId="apple-converted-space">
    <w:name w:val="apple-converted-space"/>
    <w:basedOn w:val="DefaultParagraphFont"/>
    <w:rsid w:val="00BB49E2"/>
  </w:style>
  <w:style w:type="character" w:customStyle="1" w:styleId="author">
    <w:name w:val="author"/>
    <w:basedOn w:val="DefaultParagraphFont"/>
    <w:rsid w:val="00BB49E2"/>
  </w:style>
  <w:style w:type="character" w:customStyle="1" w:styleId="CommentTextChar">
    <w:name w:val="Comment Text Char"/>
    <w:basedOn w:val="DefaultParagraphFont"/>
    <w:link w:val="CommentText"/>
    <w:uiPriority w:val="99"/>
    <w:semiHidden/>
    <w:rsid w:val="00BB49E2"/>
    <w:rPr>
      <w:sz w:val="20"/>
      <w:szCs w:val="20"/>
      <w:lang w:val="en-GB"/>
    </w:rPr>
  </w:style>
  <w:style w:type="paragraph" w:styleId="CommentText">
    <w:name w:val="annotation text"/>
    <w:basedOn w:val="Normal"/>
    <w:link w:val="CommentTextChar"/>
    <w:uiPriority w:val="99"/>
    <w:semiHidden/>
    <w:unhideWhenUsed/>
    <w:rsid w:val="00BB49E2"/>
    <w:pPr>
      <w:spacing w:line="240" w:lineRule="auto"/>
    </w:pPr>
    <w:rPr>
      <w:sz w:val="20"/>
      <w:szCs w:val="20"/>
    </w:rPr>
  </w:style>
  <w:style w:type="character" w:customStyle="1" w:styleId="CommentSubjectChar">
    <w:name w:val="Comment Subject Char"/>
    <w:basedOn w:val="CommentTextChar"/>
    <w:link w:val="CommentSubject"/>
    <w:uiPriority w:val="99"/>
    <w:semiHidden/>
    <w:rsid w:val="00BB49E2"/>
    <w:rPr>
      <w:b/>
      <w:bCs/>
      <w:sz w:val="20"/>
      <w:szCs w:val="20"/>
      <w:lang w:val="en-GB"/>
    </w:rPr>
  </w:style>
  <w:style w:type="paragraph" w:styleId="CommentSubject">
    <w:name w:val="annotation subject"/>
    <w:basedOn w:val="CommentText"/>
    <w:next w:val="CommentText"/>
    <w:link w:val="CommentSubjectChar"/>
    <w:uiPriority w:val="99"/>
    <w:semiHidden/>
    <w:unhideWhenUsed/>
    <w:rsid w:val="00BB49E2"/>
    <w:rPr>
      <w:b/>
      <w:bCs/>
    </w:rPr>
  </w:style>
  <w:style w:type="table" w:styleId="TableGrid">
    <w:name w:val="Table Grid"/>
    <w:basedOn w:val="TableNormal"/>
    <w:uiPriority w:val="59"/>
    <w:rsid w:val="00BB49E2"/>
    <w:rPr>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B49E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B49E2"/>
    <w:rPr>
      <w:i/>
      <w:iCs/>
    </w:rPr>
  </w:style>
  <w:style w:type="character" w:customStyle="1" w:styleId="a">
    <w:name w:val="a"/>
    <w:basedOn w:val="DefaultParagraphFont"/>
    <w:rsid w:val="00BB49E2"/>
  </w:style>
  <w:style w:type="character" w:customStyle="1" w:styleId="citation">
    <w:name w:val="citation"/>
    <w:basedOn w:val="DefaultParagraphFont"/>
    <w:uiPriority w:val="99"/>
    <w:rsid w:val="00BB49E2"/>
  </w:style>
  <w:style w:type="character" w:customStyle="1" w:styleId="l7">
    <w:name w:val="l7"/>
    <w:basedOn w:val="DefaultParagraphFont"/>
    <w:rsid w:val="00BB49E2"/>
  </w:style>
  <w:style w:type="character" w:customStyle="1" w:styleId="l6">
    <w:name w:val="l6"/>
    <w:basedOn w:val="DefaultParagraphFont"/>
    <w:rsid w:val="00BB49E2"/>
  </w:style>
  <w:style w:type="character" w:customStyle="1" w:styleId="l12">
    <w:name w:val="l12"/>
    <w:basedOn w:val="DefaultParagraphFont"/>
    <w:rsid w:val="00BB49E2"/>
  </w:style>
  <w:style w:type="character" w:customStyle="1" w:styleId="highlight">
    <w:name w:val="highlight"/>
    <w:basedOn w:val="DefaultParagraphFont"/>
    <w:rsid w:val="00BB49E2"/>
  </w:style>
  <w:style w:type="character" w:customStyle="1" w:styleId="addmd">
    <w:name w:val="addmd"/>
    <w:basedOn w:val="DefaultParagraphFont"/>
    <w:uiPriority w:val="99"/>
    <w:rsid w:val="00BB49E2"/>
  </w:style>
  <w:style w:type="paragraph" w:styleId="Caption">
    <w:name w:val="caption"/>
    <w:basedOn w:val="Normal"/>
    <w:next w:val="Normal"/>
    <w:uiPriority w:val="35"/>
    <w:unhideWhenUsed/>
    <w:qFormat/>
    <w:rsid w:val="00BB49E2"/>
    <w:pPr>
      <w:spacing w:line="240" w:lineRule="auto"/>
    </w:pPr>
    <w:rPr>
      <w:b/>
      <w:bCs/>
      <w:color w:val="4F81BD" w:themeColor="accent1"/>
      <w:sz w:val="18"/>
      <w:szCs w:val="18"/>
    </w:rPr>
  </w:style>
  <w:style w:type="paragraph" w:styleId="TOC1">
    <w:name w:val="toc 1"/>
    <w:basedOn w:val="Normal"/>
    <w:next w:val="Normal"/>
    <w:autoRedefine/>
    <w:uiPriority w:val="39"/>
    <w:unhideWhenUsed/>
    <w:rsid w:val="00960766"/>
    <w:pPr>
      <w:tabs>
        <w:tab w:val="right" w:leader="dot" w:pos="8290"/>
      </w:tabs>
      <w:spacing w:before="120" w:after="0"/>
    </w:pPr>
    <w:rPr>
      <w:rFonts w:ascii="Garamond" w:hAnsi="Garamond"/>
      <w:b/>
      <w:noProof/>
      <w:szCs w:val="24"/>
    </w:rPr>
  </w:style>
  <w:style w:type="paragraph" w:styleId="TOC2">
    <w:name w:val="toc 2"/>
    <w:basedOn w:val="Normal"/>
    <w:next w:val="Normal"/>
    <w:autoRedefine/>
    <w:uiPriority w:val="39"/>
    <w:semiHidden/>
    <w:unhideWhenUsed/>
    <w:rsid w:val="002968B4"/>
    <w:pPr>
      <w:spacing w:after="0"/>
      <w:ind w:left="220"/>
    </w:pPr>
    <w:rPr>
      <w:b/>
    </w:rPr>
  </w:style>
  <w:style w:type="paragraph" w:styleId="TOC3">
    <w:name w:val="toc 3"/>
    <w:basedOn w:val="Normal"/>
    <w:next w:val="Normal"/>
    <w:autoRedefine/>
    <w:uiPriority w:val="39"/>
    <w:semiHidden/>
    <w:unhideWhenUsed/>
    <w:rsid w:val="002968B4"/>
    <w:pPr>
      <w:spacing w:after="0"/>
      <w:ind w:left="440"/>
    </w:pPr>
  </w:style>
  <w:style w:type="paragraph" w:styleId="TOC4">
    <w:name w:val="toc 4"/>
    <w:basedOn w:val="Normal"/>
    <w:next w:val="Normal"/>
    <w:autoRedefine/>
    <w:uiPriority w:val="39"/>
    <w:semiHidden/>
    <w:unhideWhenUsed/>
    <w:rsid w:val="002968B4"/>
    <w:pPr>
      <w:spacing w:after="0"/>
      <w:ind w:left="660"/>
    </w:pPr>
    <w:rPr>
      <w:sz w:val="20"/>
      <w:szCs w:val="20"/>
    </w:rPr>
  </w:style>
  <w:style w:type="paragraph" w:styleId="TOC5">
    <w:name w:val="toc 5"/>
    <w:basedOn w:val="Normal"/>
    <w:next w:val="Normal"/>
    <w:autoRedefine/>
    <w:uiPriority w:val="39"/>
    <w:semiHidden/>
    <w:unhideWhenUsed/>
    <w:rsid w:val="002968B4"/>
    <w:pPr>
      <w:spacing w:after="0"/>
      <w:ind w:left="880"/>
    </w:pPr>
    <w:rPr>
      <w:sz w:val="20"/>
      <w:szCs w:val="20"/>
    </w:rPr>
  </w:style>
  <w:style w:type="paragraph" w:styleId="TOC6">
    <w:name w:val="toc 6"/>
    <w:basedOn w:val="Normal"/>
    <w:next w:val="Normal"/>
    <w:autoRedefine/>
    <w:uiPriority w:val="39"/>
    <w:semiHidden/>
    <w:unhideWhenUsed/>
    <w:rsid w:val="002968B4"/>
    <w:pPr>
      <w:spacing w:after="0"/>
      <w:ind w:left="1100"/>
    </w:pPr>
    <w:rPr>
      <w:sz w:val="20"/>
      <w:szCs w:val="20"/>
    </w:rPr>
  </w:style>
  <w:style w:type="paragraph" w:styleId="TOC7">
    <w:name w:val="toc 7"/>
    <w:basedOn w:val="Normal"/>
    <w:next w:val="Normal"/>
    <w:autoRedefine/>
    <w:uiPriority w:val="39"/>
    <w:semiHidden/>
    <w:unhideWhenUsed/>
    <w:rsid w:val="002968B4"/>
    <w:pPr>
      <w:spacing w:after="0"/>
      <w:ind w:left="1320"/>
    </w:pPr>
    <w:rPr>
      <w:sz w:val="20"/>
      <w:szCs w:val="20"/>
    </w:rPr>
  </w:style>
  <w:style w:type="paragraph" w:styleId="TOC8">
    <w:name w:val="toc 8"/>
    <w:basedOn w:val="Normal"/>
    <w:next w:val="Normal"/>
    <w:autoRedefine/>
    <w:uiPriority w:val="39"/>
    <w:semiHidden/>
    <w:unhideWhenUsed/>
    <w:rsid w:val="002968B4"/>
    <w:pPr>
      <w:spacing w:after="0"/>
      <w:ind w:left="1540"/>
    </w:pPr>
    <w:rPr>
      <w:sz w:val="20"/>
      <w:szCs w:val="20"/>
    </w:rPr>
  </w:style>
  <w:style w:type="paragraph" w:styleId="TOC9">
    <w:name w:val="toc 9"/>
    <w:basedOn w:val="Normal"/>
    <w:next w:val="Normal"/>
    <w:autoRedefine/>
    <w:uiPriority w:val="39"/>
    <w:semiHidden/>
    <w:unhideWhenUsed/>
    <w:rsid w:val="002968B4"/>
    <w:pPr>
      <w:spacing w:after="0"/>
      <w:ind w:left="1760"/>
    </w:pPr>
    <w:rPr>
      <w:sz w:val="20"/>
      <w:szCs w:val="20"/>
    </w:rPr>
  </w:style>
  <w:style w:type="character" w:customStyle="1" w:styleId="st">
    <w:name w:val="st"/>
    <w:basedOn w:val="DefaultParagraphFont"/>
    <w:uiPriority w:val="99"/>
    <w:rsid w:val="002D22FA"/>
  </w:style>
  <w:style w:type="character" w:customStyle="1" w:styleId="A2">
    <w:name w:val="A2"/>
    <w:uiPriority w:val="99"/>
    <w:rsid w:val="002D22FA"/>
    <w:rPr>
      <w:color w:val="000000"/>
      <w:sz w:val="18"/>
      <w:szCs w:val="18"/>
    </w:rPr>
  </w:style>
  <w:style w:type="paragraph" w:customStyle="1" w:styleId="wp-caption-text">
    <w:name w:val="wp-caption-text"/>
    <w:basedOn w:val="Normal"/>
    <w:uiPriority w:val="99"/>
    <w:rsid w:val="002D22F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etail-web-price">
    <w:name w:val="detail-web-price"/>
    <w:basedOn w:val="DefaultParagraphFont"/>
    <w:uiPriority w:val="99"/>
    <w:rsid w:val="002D22FA"/>
  </w:style>
  <w:style w:type="character" w:customStyle="1" w:styleId="detail-regular-price">
    <w:name w:val="detail-regular-price"/>
    <w:basedOn w:val="DefaultParagraphFont"/>
    <w:uiPriority w:val="99"/>
    <w:rsid w:val="002D22FA"/>
  </w:style>
  <w:style w:type="paragraph" w:customStyle="1" w:styleId="Title1">
    <w:name w:val="Title1"/>
    <w:basedOn w:val="Normal"/>
    <w:uiPriority w:val="99"/>
    <w:rsid w:val="002D22F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articlecategory">
    <w:name w:val="articlecategory"/>
    <w:basedOn w:val="Normal"/>
    <w:uiPriority w:val="99"/>
    <w:rsid w:val="002D22F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ableofFigures">
    <w:name w:val="table of figures"/>
    <w:basedOn w:val="Normal"/>
    <w:next w:val="Normal"/>
    <w:uiPriority w:val="99"/>
    <w:unhideWhenUsed/>
    <w:rsid w:val="00434B8C"/>
    <w:pPr>
      <w:ind w:left="440" w:hanging="440"/>
    </w:pPr>
  </w:style>
  <w:style w:type="paragraph" w:customStyle="1" w:styleId="Style1">
    <w:name w:val="Style1"/>
    <w:qFormat/>
    <w:rsid w:val="005064FE"/>
    <w:pPr>
      <w:spacing w:before="100" w:beforeAutospacing="1" w:afterAutospacing="1"/>
    </w:pPr>
    <w:rPr>
      <w:rFonts w:ascii="Times New Roman" w:eastAsia="Times New Roman" w:hAnsi="Times New Roman" w:cs="Times New Roman"/>
      <w:sz w:val="22"/>
      <w:szCs w:val="22"/>
      <w:lang w:val="en-GB" w:eastAsia="en-GB"/>
    </w:rPr>
  </w:style>
  <w:style w:type="character" w:styleId="FollowedHyperlink">
    <w:name w:val="FollowedHyperlink"/>
    <w:basedOn w:val="DefaultParagraphFont"/>
    <w:uiPriority w:val="99"/>
    <w:unhideWhenUsed/>
    <w:rsid w:val="00BB2602"/>
    <w:rPr>
      <w:color w:val="800080" w:themeColor="followedHyperlink"/>
      <w:u w:val="single"/>
    </w:rPr>
  </w:style>
  <w:style w:type="character" w:customStyle="1" w:styleId="hps">
    <w:name w:val="hps"/>
    <w:basedOn w:val="DefaultParagraphFont"/>
    <w:rsid w:val="00BA0F0B"/>
  </w:style>
  <w:style w:type="character" w:customStyle="1" w:styleId="shorttext">
    <w:name w:val="short_text"/>
    <w:basedOn w:val="DefaultParagraphFont"/>
    <w:rsid w:val="00BA0F0B"/>
  </w:style>
  <w:style w:type="character" w:customStyle="1" w:styleId="slug-pub-date">
    <w:name w:val="slug-pub-date"/>
    <w:basedOn w:val="DefaultParagraphFont"/>
    <w:rsid w:val="00BA0F0B"/>
  </w:style>
  <w:style w:type="character" w:customStyle="1" w:styleId="slug-vol">
    <w:name w:val="slug-vol"/>
    <w:basedOn w:val="DefaultParagraphFont"/>
    <w:rsid w:val="00BA0F0B"/>
  </w:style>
  <w:style w:type="character" w:customStyle="1" w:styleId="slug-issue">
    <w:name w:val="slug-issue"/>
    <w:basedOn w:val="DefaultParagraphFont"/>
    <w:rsid w:val="00BA0F0B"/>
  </w:style>
  <w:style w:type="character" w:customStyle="1" w:styleId="slug-pages">
    <w:name w:val="slug-pages"/>
    <w:basedOn w:val="DefaultParagraphFont"/>
    <w:rsid w:val="00BA0F0B"/>
  </w:style>
  <w:style w:type="character" w:customStyle="1" w:styleId="name">
    <w:name w:val="name"/>
    <w:basedOn w:val="DefaultParagraphFont"/>
    <w:rsid w:val="00BA0F0B"/>
  </w:style>
  <w:style w:type="paragraph" w:customStyle="1" w:styleId="clearformatting">
    <w:name w:val="clear formatting"/>
    <w:basedOn w:val="NormalWeb"/>
    <w:rsid w:val="002049D4"/>
    <w:pPr>
      <w:shd w:val="clear" w:color="auto" w:fill="FFFFFF"/>
      <w:spacing w:before="0" w:beforeAutospacing="0" w:after="0" w:afterAutospacing="0" w:line="360" w:lineRule="auto"/>
      <w:jc w:val="both"/>
      <w:textAlignment w:val="baseline"/>
    </w:pPr>
    <w:rPr>
      <w:rFonts w:ascii="Garamond" w:hAnsi="Garamond"/>
    </w:rPr>
  </w:style>
  <w:style w:type="character" w:styleId="CommentReference">
    <w:name w:val="annotation reference"/>
    <w:basedOn w:val="DefaultParagraphFont"/>
    <w:uiPriority w:val="99"/>
    <w:semiHidden/>
    <w:unhideWhenUsed/>
    <w:rsid w:val="00472B3A"/>
    <w:rPr>
      <w:sz w:val="16"/>
      <w:szCs w:val="16"/>
    </w:rPr>
  </w:style>
  <w:style w:type="character" w:customStyle="1" w:styleId="inline-heading">
    <w:name w:val="inline-heading"/>
    <w:basedOn w:val="DefaultParagraphFont"/>
    <w:rsid w:val="00472B3A"/>
  </w:style>
  <w:style w:type="paragraph" w:customStyle="1" w:styleId="Pa0">
    <w:name w:val="Pa0"/>
    <w:basedOn w:val="Default"/>
    <w:next w:val="Default"/>
    <w:uiPriority w:val="99"/>
    <w:rsid w:val="00472B3A"/>
    <w:pPr>
      <w:spacing w:line="241" w:lineRule="atLeast"/>
    </w:pPr>
    <w:rPr>
      <w:rFonts w:ascii="Museo Sans 100" w:hAnsi="Museo Sans 100" w:cstheme="minorBidi"/>
      <w:color w:val="auto"/>
    </w:rPr>
  </w:style>
  <w:style w:type="character" w:styleId="HTMLCite">
    <w:name w:val="HTML Cite"/>
    <w:basedOn w:val="DefaultParagraphFont"/>
    <w:uiPriority w:val="99"/>
    <w:semiHidden/>
    <w:unhideWhenUsed/>
    <w:rsid w:val="00472B3A"/>
    <w:rPr>
      <w:i/>
      <w:iCs/>
    </w:rPr>
  </w:style>
  <w:style w:type="paragraph" w:customStyle="1" w:styleId="articledetails">
    <w:name w:val="articledetails"/>
    <w:basedOn w:val="Normal"/>
    <w:rsid w:val="003F4A9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ubtitle1">
    <w:name w:val="Subtitle1"/>
    <w:basedOn w:val="DefaultParagraphFont"/>
    <w:rsid w:val="008A2663"/>
  </w:style>
  <w:style w:type="character" w:customStyle="1" w:styleId="fn">
    <w:name w:val="fn"/>
    <w:basedOn w:val="DefaultParagraphFont"/>
    <w:rsid w:val="007437F5"/>
  </w:style>
  <w:style w:type="character" w:customStyle="1" w:styleId="cit-name-surname">
    <w:name w:val="cit-name-surname"/>
    <w:basedOn w:val="DefaultParagraphFont"/>
    <w:rsid w:val="007437F5"/>
  </w:style>
  <w:style w:type="character" w:customStyle="1" w:styleId="cit-source">
    <w:name w:val="cit-source"/>
    <w:basedOn w:val="DefaultParagraphFont"/>
    <w:rsid w:val="007437F5"/>
  </w:style>
  <w:style w:type="character" w:customStyle="1" w:styleId="cit-publ-loc">
    <w:name w:val="cit-publ-loc"/>
    <w:basedOn w:val="DefaultParagraphFont"/>
    <w:rsid w:val="007437F5"/>
  </w:style>
  <w:style w:type="character" w:customStyle="1" w:styleId="cit-publ-name">
    <w:name w:val="cit-publ-name"/>
    <w:basedOn w:val="DefaultParagraphFont"/>
    <w:rsid w:val="007437F5"/>
  </w:style>
  <w:style w:type="character" w:customStyle="1" w:styleId="cit-pub-date">
    <w:name w:val="cit-pub-date"/>
    <w:basedOn w:val="DefaultParagraphFont"/>
    <w:rsid w:val="007437F5"/>
  </w:style>
  <w:style w:type="character" w:customStyle="1" w:styleId="cit-article-title">
    <w:name w:val="cit-article-title"/>
    <w:basedOn w:val="DefaultParagraphFont"/>
    <w:rsid w:val="007437F5"/>
  </w:style>
  <w:style w:type="character" w:customStyle="1" w:styleId="cit-fpage">
    <w:name w:val="cit-fpage"/>
    <w:basedOn w:val="DefaultParagraphFont"/>
    <w:rsid w:val="007437F5"/>
  </w:style>
  <w:style w:type="character" w:customStyle="1" w:styleId="cit-lpage">
    <w:name w:val="cit-lpage"/>
    <w:basedOn w:val="DefaultParagraphFont"/>
    <w:rsid w:val="007437F5"/>
  </w:style>
  <w:style w:type="character" w:customStyle="1" w:styleId="ft">
    <w:name w:val="ft"/>
    <w:basedOn w:val="DefaultParagraphFont"/>
    <w:rsid w:val="007437F5"/>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4.jpeg"/><Relationship Id="rId21" Type="http://schemas.openxmlformats.org/officeDocument/2006/relationships/image" Target="media/image9.jpeg"/><Relationship Id="rId42" Type="http://schemas.openxmlformats.org/officeDocument/2006/relationships/image" Target="media/image28.jpeg"/><Relationship Id="rId47" Type="http://schemas.openxmlformats.org/officeDocument/2006/relationships/hyperlink" Target="http://hughcrosfield.files.wordpress.com/2012/11/inspan-girls-6-the-marketplace-jpg.jpg" TargetMode="External"/><Relationship Id="rId63" Type="http://schemas.openxmlformats.org/officeDocument/2006/relationships/hyperlink" Target="http://africanactivist.msu.edu/organization.php?name=Anti-Apartheids+Beweging+Nederland+" TargetMode="External"/><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9.jpeg"/><Relationship Id="rId133" Type="http://schemas.openxmlformats.org/officeDocument/2006/relationships/image" Target="media/image110.png"/><Relationship Id="rId138" Type="http://schemas.openxmlformats.org/officeDocument/2006/relationships/image" Target="media/image115.png"/><Relationship Id="rId16" Type="http://schemas.openxmlformats.org/officeDocument/2006/relationships/footer" Target="footer4.xml"/><Relationship Id="rId107" Type="http://schemas.openxmlformats.org/officeDocument/2006/relationships/image" Target="media/image84.tiff"/><Relationship Id="rId11" Type="http://schemas.openxmlformats.org/officeDocument/2006/relationships/image" Target="media/image1.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hyperlink" Target="http://hughcrosfield.files.wordpress.com/2012/11/inspan-girls-plakboek-nr-2-pg-05-3.jpg" TargetMode="External"/><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emf"/><Relationship Id="rId102" Type="http://schemas.openxmlformats.org/officeDocument/2006/relationships/image" Target="media/image79.jpeg"/><Relationship Id="rId123" Type="http://schemas.openxmlformats.org/officeDocument/2006/relationships/image" Target="media/image100.tiff"/><Relationship Id="rId128" Type="http://schemas.openxmlformats.org/officeDocument/2006/relationships/image" Target="media/image105.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footnotes" Target="footnotes.xml"/><Relationship Id="rId90" Type="http://schemas.openxmlformats.org/officeDocument/2006/relationships/image" Target="media/image69.png"/><Relationship Id="rId95" Type="http://schemas.openxmlformats.org/officeDocument/2006/relationships/image" Target="media/image74.jpeg"/><Relationship Id="rId22" Type="http://schemas.openxmlformats.org/officeDocument/2006/relationships/image" Target="media/image10.jpeg"/><Relationship Id="rId27" Type="http://schemas.openxmlformats.org/officeDocument/2006/relationships/image" Target="media/image14.tiff"/><Relationship Id="rId43" Type="http://schemas.openxmlformats.org/officeDocument/2006/relationships/hyperlink" Target="http://hughcrosfield.files.wordpress.com/2012/11/img003.jpg" TargetMode="External"/><Relationship Id="rId48" Type="http://schemas.openxmlformats.org/officeDocument/2006/relationships/image" Target="media/image31.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0.tiff"/><Relationship Id="rId118" Type="http://schemas.openxmlformats.org/officeDocument/2006/relationships/image" Target="media/image95.jpe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26.jpeg"/><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hyperlink" Target="http://ebooks.cambridge.org/chapter.jsf?bid=CBO9780511519017&amp;cid=CBO9780511519017A013"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6.pn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tiff"/><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4.jpeg"/><Relationship Id="rId20" Type="http://schemas.openxmlformats.org/officeDocument/2006/relationships/image" Target="media/image8.jpeg"/><Relationship Id="rId41" Type="http://schemas.openxmlformats.org/officeDocument/2006/relationships/hyperlink" Target="http://hughcrosfield.files.wordpress.com/2012/11/photo.jpg" TargetMode="External"/><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88.jpeg"/><Relationship Id="rId132" Type="http://schemas.openxmlformats.org/officeDocument/2006/relationships/image" Target="media/image109.jpeg"/><Relationship Id="rId140" Type="http://schemas.openxmlformats.org/officeDocument/2006/relationships/image" Target="media/image117.jpeg"/><Relationship Id="rId145" Type="http://schemas.openxmlformats.org/officeDocument/2006/relationships/image" Target="media/image121.jpe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hughcrosfield.files.wordpress.com/2012/11/faith-de-haas-jpg.jpg" TargetMode="External"/><Relationship Id="rId57" Type="http://schemas.openxmlformats.org/officeDocument/2006/relationships/image" Target="media/image37.jpeg"/><Relationship Id="rId106" Type="http://schemas.openxmlformats.org/officeDocument/2006/relationships/image" Target="media/image83.jpeg"/><Relationship Id="rId114" Type="http://schemas.openxmlformats.org/officeDocument/2006/relationships/image" Target="media/image91.tiff"/><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footer" Target="footer3.xml"/><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3.jpeg"/><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hyperlink" Target="http://www.marxists.org/glossary/terms/c/o.htm" TargetMode="External"/><Relationship Id="rId101" Type="http://schemas.openxmlformats.org/officeDocument/2006/relationships/image" Target="media/image78.png"/><Relationship Id="rId122" Type="http://schemas.openxmlformats.org/officeDocument/2006/relationships/image" Target="media/image99.tiff"/><Relationship Id="rId130" Type="http://schemas.openxmlformats.org/officeDocument/2006/relationships/image" Target="media/image107.jpeg"/><Relationship Id="rId135" Type="http://schemas.openxmlformats.org/officeDocument/2006/relationships/image" Target="media/image112.png"/><Relationship Id="rId143" Type="http://schemas.openxmlformats.org/officeDocument/2006/relationships/image" Target="media/image119.jpeg"/><Relationship Id="rId148" Type="http://schemas.openxmlformats.org/officeDocument/2006/relationships/image" Target="media/image124.png"/><Relationship Id="rId151" Type="http://schemas.openxmlformats.org/officeDocument/2006/relationships/image" Target="media/image127.jpe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86.jpeg"/><Relationship Id="rId34" Type="http://schemas.openxmlformats.org/officeDocument/2006/relationships/image" Target="media/image21.jpeg"/><Relationship Id="rId50" Type="http://schemas.openxmlformats.org/officeDocument/2006/relationships/image" Target="media/image32.jpeg"/><Relationship Id="rId55" Type="http://schemas.openxmlformats.org/officeDocument/2006/relationships/image" Target="media/image35.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18.jpeg"/><Relationship Id="rId146" Type="http://schemas.openxmlformats.org/officeDocument/2006/relationships/image" Target="media/image122.png"/><Relationship Id="rId7" Type="http://schemas.openxmlformats.org/officeDocument/2006/relationships/header" Target="header1.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hyperlink" Target="http://hughcrosfield.files.wordpress.com/2012/11/inspan-girls-5.png" TargetMode="External"/><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png"/><Relationship Id="rId136" Type="http://schemas.openxmlformats.org/officeDocument/2006/relationships/image" Target="media/image113.jpeg"/><Relationship Id="rId61" Type="http://schemas.openxmlformats.org/officeDocument/2006/relationships/image" Target="media/image41.png"/><Relationship Id="rId82" Type="http://schemas.openxmlformats.org/officeDocument/2006/relationships/image" Target="media/image61.jpeg"/><Relationship Id="rId152" Type="http://schemas.openxmlformats.org/officeDocument/2006/relationships/fontTable" Target="fontTable.xml"/><Relationship Id="rId19" Type="http://schemas.openxmlformats.org/officeDocument/2006/relationships/hyperlink" Target="http://en.wikipedia.org/wiki/Fort_Point_Channel" TargetMode="Externa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hyperlink" Target="http://www.marxists.org/glossary/terms/p/h.htm" TargetMode="External"/><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3.png"/><Relationship Id="rId8" Type="http://schemas.openxmlformats.org/officeDocument/2006/relationships/footer" Target="footer1.xml"/><Relationship Id="rId51" Type="http://schemas.openxmlformats.org/officeDocument/2006/relationships/hyperlink" Target="http://hughcrosfield.files.wordpress.com/2012/11/inspan-girls-3-jpg.jpg" TargetMode="External"/><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98.tiff"/><Relationship Id="rId142" Type="http://schemas.openxmlformats.org/officeDocument/2006/relationships/hyperlink" Target="http://www.somafcotrust.org.za" TargetMode="External"/><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samkinsley.com/2013/07/17/annemarie-mol-cultivating-bodies/" TargetMode="External"/><Relationship Id="rId2" Type="http://schemas.openxmlformats.org/officeDocument/2006/relationships/hyperlink" Target="http://www.bdsmovement.net/" TargetMode="External"/><Relationship Id="rId1" Type="http://schemas.openxmlformats.org/officeDocument/2006/relationships/hyperlink" Target="http://www.brown.edu/Facilities/John_Carter_Brown_Library/sugar/images/large/915-00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473</Pages>
  <Words>158686</Words>
  <Characters>904516</Characters>
  <Application>Microsoft Office Word</Application>
  <DocSecurity>0</DocSecurity>
  <Lines>7537</Lines>
  <Paragraphs>2122</Paragraphs>
  <ScaleCrop>false</ScaleCrop>
  <HeadingPairs>
    <vt:vector size="2" baseType="variant">
      <vt:variant>
        <vt:lpstr>Title</vt:lpstr>
      </vt:variant>
      <vt:variant>
        <vt:i4>1</vt:i4>
      </vt:variant>
    </vt:vector>
  </HeadingPairs>
  <TitlesOfParts>
    <vt:vector size="1" baseType="lpstr">
      <vt:lpstr/>
    </vt:vector>
  </TitlesOfParts>
  <Company>Queen Mary University of London</Company>
  <LinksUpToDate>false</LinksUpToDate>
  <CharactersWithSpaces>1061080</CharactersWithSpaces>
  <SharedDoc>false</SharedDoc>
  <HLinks>
    <vt:vector size="42" baseType="variant">
      <vt:variant>
        <vt:i4>2162747</vt:i4>
      </vt:variant>
      <vt:variant>
        <vt:i4>263</vt:i4>
      </vt:variant>
      <vt:variant>
        <vt:i4>0</vt:i4>
      </vt:variant>
      <vt:variant>
        <vt:i4>5</vt:i4>
      </vt:variant>
      <vt:variant>
        <vt:lpwstr>http://www.marxists.org/glossary/terms/p/h.htm</vt:lpwstr>
      </vt:variant>
      <vt:variant>
        <vt:lpwstr>philanthropy</vt:lpwstr>
      </vt:variant>
      <vt:variant>
        <vt:i4>3735646</vt:i4>
      </vt:variant>
      <vt:variant>
        <vt:i4>260</vt:i4>
      </vt:variant>
      <vt:variant>
        <vt:i4>0</vt:i4>
      </vt:variant>
      <vt:variant>
        <vt:i4>5</vt:i4>
      </vt:variant>
      <vt:variant>
        <vt:lpwstr>http://www.marxists.org/glossary/terms/c/o.htm</vt:lpwstr>
      </vt:variant>
      <vt:variant>
        <vt:lpwstr>community</vt:lpwstr>
      </vt:variant>
      <vt:variant>
        <vt:i4>393287</vt:i4>
      </vt:variant>
      <vt:variant>
        <vt:i4>194</vt:i4>
      </vt:variant>
      <vt:variant>
        <vt:i4>0</vt:i4>
      </vt:variant>
      <vt:variant>
        <vt:i4>5</vt:i4>
      </vt:variant>
      <vt:variant>
        <vt:lpwstr>http://africanactivist.msu.edu/organization.php?name=Anti-Apartheids+Beweging+Nederland+</vt:lpwstr>
      </vt:variant>
      <vt:variant>
        <vt:lpwstr/>
      </vt:variant>
      <vt:variant>
        <vt:i4>327774</vt:i4>
      </vt:variant>
      <vt:variant>
        <vt:i4>191</vt:i4>
      </vt:variant>
      <vt:variant>
        <vt:i4>0</vt:i4>
      </vt:variant>
      <vt:variant>
        <vt:i4>5</vt:i4>
      </vt:variant>
      <vt:variant>
        <vt:lpwstr>http://africanactivist.msu.edu/organization.php?name=Comit%C3%A9+Zuid-Afrika</vt:lpwstr>
      </vt:variant>
      <vt:variant>
        <vt:lpwstr/>
      </vt:variant>
      <vt:variant>
        <vt:i4>6881347</vt:i4>
      </vt:variant>
      <vt:variant>
        <vt:i4>39</vt:i4>
      </vt:variant>
      <vt:variant>
        <vt:i4>0</vt:i4>
      </vt:variant>
      <vt:variant>
        <vt:i4>5</vt:i4>
      </vt:variant>
      <vt:variant>
        <vt:lpwstr>http://en.wikipedia.org/wiki/Fort_Point_Channel</vt:lpwstr>
      </vt:variant>
      <vt:variant>
        <vt:lpwstr/>
      </vt:variant>
      <vt:variant>
        <vt:i4>1179661</vt:i4>
      </vt:variant>
      <vt:variant>
        <vt:i4>36</vt:i4>
      </vt:variant>
      <vt:variant>
        <vt:i4>0</vt:i4>
      </vt:variant>
      <vt:variant>
        <vt:i4>5</vt:i4>
      </vt:variant>
      <vt:variant>
        <vt:lpwstr>http://en.wikipedia.org/wiki/Commemorative_plaque</vt:lpwstr>
      </vt:variant>
      <vt:variant>
        <vt:lpwstr/>
      </vt:variant>
      <vt:variant>
        <vt:i4>524307</vt:i4>
      </vt:variant>
      <vt:variant>
        <vt:i4>0</vt:i4>
      </vt:variant>
      <vt:variant>
        <vt:i4>0</vt:i4>
      </vt:variant>
      <vt:variant>
        <vt:i4>5</vt:i4>
      </vt:variant>
      <vt:variant>
        <vt:lpwstr>http://www.brown.edu/Facilities/John_Carter_Brown_Library/sugar/images/large/915-001.html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Simone Hancox</dc:creator>
  <cp:lastModifiedBy>hugh crosfield</cp:lastModifiedBy>
  <cp:revision>2</cp:revision>
  <cp:lastPrinted>2014-06-04T13:33:00Z</cp:lastPrinted>
  <dcterms:created xsi:type="dcterms:W3CDTF">2014-06-05T14:12:00Z</dcterms:created>
  <dcterms:modified xsi:type="dcterms:W3CDTF">2014-06-05T14:12:00Z</dcterms:modified>
</cp:coreProperties>
</file>